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B7B" w:rsidRDefault="006300EE" w:rsidP="006300EE">
      <w:r>
        <w:tab/>
      </w:r>
      <w:r>
        <w:tab/>
      </w:r>
      <w:r>
        <w:tab/>
        <w:t xml:space="preserve">             </w:t>
      </w:r>
      <w:r w:rsidR="00D84019">
        <w:tab/>
        <w:t xml:space="preserve">       </w:t>
      </w:r>
      <w:r>
        <w:t xml:space="preserve"> </w:t>
      </w:r>
      <w:r w:rsidR="00D84019">
        <w:t xml:space="preserve">    </w:t>
      </w:r>
      <w:r>
        <w:t>2015-05-</w:t>
      </w:r>
      <w:r w:rsidR="00D84019">
        <w:t>25</w:t>
      </w:r>
      <w:r>
        <w:t xml:space="preserve">      </w:t>
      </w:r>
      <w:r w:rsidR="00D84019">
        <w:t xml:space="preserve">   Nr. 17P-193</w:t>
      </w:r>
      <w:r>
        <w:t>-(7.4.8)</w:t>
      </w:r>
    </w:p>
    <w:p w:rsidR="00B27CA9" w:rsidRDefault="00D84019" w:rsidP="00B27CA9">
      <w:r>
        <w:tab/>
      </w:r>
      <w:r>
        <w:tab/>
      </w:r>
      <w:r>
        <w:tab/>
      </w:r>
      <w:r>
        <w:tab/>
        <w:t xml:space="preserve">         </w:t>
      </w:r>
      <w:r w:rsidR="006300EE">
        <w:t xml:space="preserve">Į  2015-04-28      </w:t>
      </w:r>
    </w:p>
    <w:p w:rsidR="00D84019" w:rsidRPr="00B27CA9" w:rsidRDefault="00D84019" w:rsidP="00B27CA9"/>
    <w:p w:rsidR="00BF0B7B" w:rsidRDefault="00D84019" w:rsidP="00BF0B7B">
      <w:pPr>
        <w:pStyle w:val="Pavadinimas"/>
        <w:rPr>
          <w:b/>
        </w:rPr>
      </w:pPr>
      <w:r>
        <w:rPr>
          <w:b/>
        </w:rPr>
        <w:t>Konsultacija</w:t>
      </w:r>
    </w:p>
    <w:p w:rsidR="00B27CA9" w:rsidRDefault="00B27CA9" w:rsidP="00BF0B7B">
      <w:pPr>
        <w:pStyle w:val="Pavadinimas"/>
        <w:rPr>
          <w:b/>
        </w:rPr>
      </w:pPr>
    </w:p>
    <w:p w:rsidR="00D84019" w:rsidRPr="005C0309" w:rsidRDefault="00D84019" w:rsidP="00BF0B7B">
      <w:pPr>
        <w:pStyle w:val="Pavadinimas"/>
        <w:rPr>
          <w:b/>
        </w:rPr>
      </w:pPr>
    </w:p>
    <w:p w:rsidR="00455C40" w:rsidRPr="00FF51E1" w:rsidRDefault="00BF0B7B" w:rsidP="00FF51E1">
      <w:pPr>
        <w:pStyle w:val="Tekstas"/>
        <w:spacing w:before="0" w:after="0"/>
        <w:ind w:right="0" w:firstLine="1134"/>
      </w:pPr>
      <w:r w:rsidRPr="005C0309">
        <w:t>Teisėjų etikos ir drausmės komisijoje (toliau – Komisija) gautas prašymas suteikti konsultaciją</w:t>
      </w:r>
      <w:r w:rsidR="00D84019">
        <w:t>,</w:t>
      </w:r>
      <w:r w:rsidR="004D50DD" w:rsidRPr="005C0309">
        <w:t xml:space="preserve"> ar suderinama su teismo pirmininkės pareigomis finansinių lėšų skolinimasis iš pavaldinių; kaip pakinta santykiai tarp vadovo ir pavaldinių, kai tarp šių asmenų atsiranda skolintojo ir skolininko santykiai</w:t>
      </w:r>
      <w:r w:rsidR="00FF51E1">
        <w:t>;</w:t>
      </w:r>
      <w:r w:rsidR="004D50DD" w:rsidRPr="005C0309">
        <w:t xml:space="preserve"> ar toks pokytis suderinamas su te</w:t>
      </w:r>
      <w:r w:rsidR="005E6D7C" w:rsidRPr="005C0309">
        <w:t>is</w:t>
      </w:r>
      <w:r w:rsidR="004D50DD" w:rsidRPr="005C0309">
        <w:t>ėjo etikai keliamais klausimais.</w:t>
      </w:r>
    </w:p>
    <w:p w:rsidR="0076790C" w:rsidRPr="0076790C" w:rsidRDefault="00EB3DA0" w:rsidP="0076790C">
      <w:pPr>
        <w:shd w:val="clear" w:color="auto" w:fill="FFFFFF"/>
        <w:ind w:firstLine="1134"/>
        <w:jc w:val="both"/>
      </w:pPr>
      <w:r w:rsidRPr="005C0309">
        <w:rPr>
          <w:color w:val="000000"/>
        </w:rPr>
        <w:t>Teisėjų etikos kodekso</w:t>
      </w:r>
      <w:r w:rsidR="00FF51E1">
        <w:rPr>
          <w:color w:val="000000"/>
        </w:rPr>
        <w:t xml:space="preserve"> 9 straipsnio </w:t>
      </w:r>
      <w:r w:rsidRPr="005C0309">
        <w:rPr>
          <w:color w:val="000000"/>
        </w:rPr>
        <w:t>3 d</w:t>
      </w:r>
      <w:r w:rsidR="00FF51E1">
        <w:rPr>
          <w:color w:val="000000"/>
        </w:rPr>
        <w:t>alyje</w:t>
      </w:r>
      <w:r w:rsidRPr="005C0309">
        <w:rPr>
          <w:color w:val="000000"/>
        </w:rPr>
        <w:t xml:space="preserve"> įtvirtintas nepriklausomumo</w:t>
      </w:r>
      <w:r w:rsidR="00FF51E1">
        <w:rPr>
          <w:color w:val="000000"/>
        </w:rPr>
        <w:t xml:space="preserve"> principas </w:t>
      </w:r>
      <w:r w:rsidRPr="005C0309">
        <w:rPr>
          <w:color w:val="000000"/>
        </w:rPr>
        <w:t xml:space="preserve"> įpareigoja teisėją neprisiimti įsipareigojimų ar nesiimti veiklos, kuri trukdys tinkamai atlikti teisėjo pareigas ar apribos jo, kaip teisėjo veiksmus. </w:t>
      </w:r>
      <w:r w:rsidR="00D72D5E" w:rsidRPr="005C0309">
        <w:rPr>
          <w:color w:val="000000"/>
        </w:rPr>
        <w:t>Vadovaudamasis sąžiningumo ir nesavanaudiškumo principu teisėjas privalo</w:t>
      </w:r>
      <w:r w:rsidRPr="005C0309">
        <w:rPr>
          <w:color w:val="000000"/>
        </w:rPr>
        <w:t xml:space="preserve"> </w:t>
      </w:r>
      <w:r w:rsidR="00D72D5E" w:rsidRPr="005C0309">
        <w:rPr>
          <w:color w:val="000000"/>
        </w:rPr>
        <w:t xml:space="preserve">būti nepaperkamas, nepriimti dovanų, pinigų, neatlygintinų paslaugų ar kitokių prielankumo ženklų, išskirtinių lengvatų ir nuolaidų ar kitų paslaugų iš fizinių ir juridinių asmenų, jeigu tai gali sukelti viešųjų </w:t>
      </w:r>
      <w:r w:rsidR="00B27CA9">
        <w:rPr>
          <w:color w:val="000000"/>
        </w:rPr>
        <w:t>ir privačių interesų konfliktą</w:t>
      </w:r>
      <w:r w:rsidRPr="005C0309">
        <w:rPr>
          <w:color w:val="000000"/>
        </w:rPr>
        <w:t>; nedalyvauti fina</w:t>
      </w:r>
      <w:r w:rsidR="00FF51E1">
        <w:rPr>
          <w:color w:val="000000"/>
        </w:rPr>
        <w:t>nsinėje ar komercinėje veikloje,</w:t>
      </w:r>
      <w:r w:rsidRPr="005C0309">
        <w:rPr>
          <w:color w:val="000000"/>
        </w:rPr>
        <w:t xml:space="preserve"> naudo</w:t>
      </w:r>
      <w:r w:rsidR="00FF51E1">
        <w:rPr>
          <w:color w:val="000000"/>
        </w:rPr>
        <w:t>damasis</w:t>
      </w:r>
      <w:r w:rsidRPr="005C0309">
        <w:rPr>
          <w:color w:val="000000"/>
        </w:rPr>
        <w:t xml:space="preserve"> savo pareigomis (Teisėjų etikos kodekso 12 str. </w:t>
      </w:r>
      <w:r w:rsidR="00B27CA9">
        <w:rPr>
          <w:color w:val="000000"/>
        </w:rPr>
        <w:t>5 ir 6</w:t>
      </w:r>
      <w:r w:rsidRPr="005C0309">
        <w:rPr>
          <w:color w:val="000000"/>
        </w:rPr>
        <w:t xml:space="preserve"> d.).</w:t>
      </w:r>
      <w:r w:rsidR="00D72D5E" w:rsidRPr="005C0309">
        <w:rPr>
          <w:color w:val="000000"/>
        </w:rPr>
        <w:t xml:space="preserve"> </w:t>
      </w:r>
    </w:p>
    <w:p w:rsidR="00B27CA9" w:rsidRDefault="00B27CA9" w:rsidP="00B27CA9">
      <w:pPr>
        <w:shd w:val="clear" w:color="auto" w:fill="FFFFFF"/>
        <w:ind w:firstLine="1134"/>
        <w:jc w:val="both"/>
      </w:pPr>
      <w:r>
        <w:t>Komisija pažymi, kad t</w:t>
      </w:r>
      <w:r w:rsidR="0076790C" w:rsidRPr="00C9771B">
        <w:t>eisėjo elgesio modelis formuoja visuomenės nuomonę apie teisingumo vykdymą. Pastangos suformuoti palankią nuomonę apie teisingumo vykdymą yra suprantamos ne tik kaip teisėjo orus elgesys teismo salėje, bet taip pat kaip teisėjo tinkamas elgesys bet kurioje gyvenimiškoje situacijoje. Teisėjo veikla</w:t>
      </w:r>
      <w:r w:rsidR="0076790C">
        <w:t>,</w:t>
      </w:r>
      <w:r w:rsidR="0076790C" w:rsidRPr="00C9771B">
        <w:t xml:space="preserve"> ne</w:t>
      </w:r>
      <w:r w:rsidR="0076790C">
        <w:t>susijusi su teisingumo vykdymu,</w:t>
      </w:r>
      <w:r w:rsidR="0076790C" w:rsidRPr="00C9771B">
        <w:t xml:space="preserve"> bei jo privatus gyvenimas turėtų būti tokie, kad rizika, jog iškils konfliktas su jo visuomeniniu statusu</w:t>
      </w:r>
      <w:r w:rsidR="0076790C">
        <w:t>,</w:t>
      </w:r>
      <w:r w:rsidR="0076790C" w:rsidRPr="00C9771B">
        <w:t xml:space="preserve"> būtų minimali.</w:t>
      </w:r>
      <w:r>
        <w:t xml:space="preserve"> Taigi teisėjas, tvarkydamas savo finansus ir prisiimdamas skolinius įsipareigojimus, privalo tai daryti taip, kad visuomenei nekiltų abejonių dėl </w:t>
      </w:r>
      <w:r w:rsidR="00BF2EC6">
        <w:t>jo sąžiningumo, nepriklausomumo ir nesusidarytų viešų ir privačių interesų konflikto regimybė.</w:t>
      </w:r>
    </w:p>
    <w:p w:rsidR="00B27CA9" w:rsidRDefault="00E9162F" w:rsidP="00BF2EC6">
      <w:pPr>
        <w:shd w:val="clear" w:color="auto" w:fill="FFFFFF"/>
        <w:ind w:firstLine="1134"/>
        <w:jc w:val="both"/>
      </w:pPr>
      <w:r w:rsidRPr="003C5C47">
        <w:t>Viešų ir privačių interesų derinimo valstybės tarnyboje įstatym</w:t>
      </w:r>
      <w:r w:rsidR="00BF2EC6">
        <w:t>e</w:t>
      </w:r>
      <w:r w:rsidRPr="003C5C47">
        <w:t>, kurio nuostatos, be kita ko, taikomos ir teisėjams, nustatyta, kad p</w:t>
      </w:r>
      <w:r w:rsidRPr="003C5C47">
        <w:rPr>
          <w:bCs/>
          <w:color w:val="000000"/>
          <w:shd w:val="clear" w:color="auto" w:fill="FFFFFF"/>
        </w:rPr>
        <w:t>rivatūs interesai</w:t>
      </w:r>
      <w:r w:rsidRPr="003C5C47">
        <w:rPr>
          <w:rStyle w:val="apple-converted-space"/>
          <w:color w:val="000000"/>
          <w:shd w:val="clear" w:color="auto" w:fill="FFFFFF"/>
        </w:rPr>
        <w:t> </w:t>
      </w:r>
      <w:r w:rsidRPr="003C5C47">
        <w:rPr>
          <w:color w:val="000000"/>
          <w:shd w:val="clear" w:color="auto" w:fill="FFFFFF"/>
        </w:rPr>
        <w:t xml:space="preserve">– tai asmens turtinis ar </w:t>
      </w:r>
      <w:r w:rsidRPr="00952EED">
        <w:rPr>
          <w:color w:val="000000"/>
          <w:shd w:val="clear" w:color="auto" w:fill="FFFFFF"/>
        </w:rPr>
        <w:t>neturtinis suinteresuotumas, galintis turėti įtakos sprendimams a</w:t>
      </w:r>
      <w:r w:rsidR="003C5C47" w:rsidRPr="00952EED">
        <w:rPr>
          <w:color w:val="000000"/>
          <w:shd w:val="clear" w:color="auto" w:fill="FFFFFF"/>
        </w:rPr>
        <w:t>tliekant tarnybines pareigas</w:t>
      </w:r>
      <w:r w:rsidR="00BF2EC6">
        <w:rPr>
          <w:color w:val="000000"/>
          <w:shd w:val="clear" w:color="auto" w:fill="FFFFFF"/>
        </w:rPr>
        <w:t>;</w:t>
      </w:r>
      <w:r w:rsidR="003C5C47" w:rsidRPr="00952EED">
        <w:rPr>
          <w:color w:val="000000"/>
          <w:shd w:val="clear" w:color="auto" w:fill="FFFFFF"/>
        </w:rPr>
        <w:t xml:space="preserve"> </w:t>
      </w:r>
      <w:r w:rsidR="003C5C47" w:rsidRPr="00952EED">
        <w:rPr>
          <w:bCs/>
          <w:color w:val="000000"/>
          <w:shd w:val="clear" w:color="auto" w:fill="FFFFFF"/>
        </w:rPr>
        <w:t>interesų konfliktas</w:t>
      </w:r>
      <w:r w:rsidR="003C5C47" w:rsidRPr="003C5C47">
        <w:rPr>
          <w:rStyle w:val="apple-converted-space"/>
          <w:color w:val="000000"/>
          <w:shd w:val="clear" w:color="auto" w:fill="FFFFFF"/>
        </w:rPr>
        <w:t> </w:t>
      </w:r>
      <w:r w:rsidR="00BF2EC6">
        <w:rPr>
          <w:color w:val="000000"/>
          <w:shd w:val="clear" w:color="auto" w:fill="FFFFFF"/>
        </w:rPr>
        <w:t>– situacija, kai</w:t>
      </w:r>
      <w:r w:rsidR="003C5C47" w:rsidRPr="003C5C47">
        <w:rPr>
          <w:color w:val="000000"/>
          <w:shd w:val="clear" w:color="auto" w:fill="FFFFFF"/>
        </w:rPr>
        <w:t xml:space="preserve"> asmuo, atlikdamas pareigas ar vykdydamas pavedimą, privalo priimti sprendimą ar dalyvauti jį priimant, ar įvykdyti pavedimą, kurie susiję ir su jo privačiais interesais</w:t>
      </w:r>
      <w:r w:rsidR="003C5C47">
        <w:rPr>
          <w:color w:val="000000"/>
          <w:shd w:val="clear" w:color="auto" w:fill="FFFFFF"/>
        </w:rPr>
        <w:t xml:space="preserve">, o </w:t>
      </w:r>
      <w:r w:rsidRPr="00012857">
        <w:rPr>
          <w:color w:val="000000"/>
          <w:shd w:val="clear" w:color="auto" w:fill="FFFFFF"/>
        </w:rPr>
        <w:t>a</w:t>
      </w:r>
      <w:r w:rsidRPr="00012857">
        <w:rPr>
          <w:bCs/>
          <w:color w:val="000000"/>
          <w:shd w:val="clear" w:color="auto" w:fill="FFFFFF"/>
        </w:rPr>
        <w:t>smeninis suinteresuotumas</w:t>
      </w:r>
      <w:r w:rsidRPr="00012857">
        <w:rPr>
          <w:rStyle w:val="apple-converted-space"/>
          <w:color w:val="000000"/>
          <w:shd w:val="clear" w:color="auto" w:fill="FFFFFF"/>
        </w:rPr>
        <w:t> </w:t>
      </w:r>
      <w:r w:rsidRPr="00012857">
        <w:rPr>
          <w:color w:val="000000"/>
          <w:shd w:val="clear" w:color="auto" w:fill="FFFFFF"/>
        </w:rPr>
        <w:t>– tai asmens moralinė skola, moralinis įsipareigojimas, turtinė ar neturtinė nauda arba kitas panašaus pobūdžio interesas</w:t>
      </w:r>
      <w:r w:rsidR="00BF2EC6">
        <w:rPr>
          <w:color w:val="000000"/>
          <w:shd w:val="clear" w:color="auto" w:fill="FFFFFF"/>
        </w:rPr>
        <w:t xml:space="preserve"> </w:t>
      </w:r>
    </w:p>
    <w:p w:rsidR="00D406B7" w:rsidRPr="00A32356" w:rsidRDefault="00FA561F" w:rsidP="00B27CA9">
      <w:pPr>
        <w:shd w:val="clear" w:color="auto" w:fill="FFFFFF"/>
        <w:ind w:firstLine="1134"/>
        <w:jc w:val="both"/>
      </w:pPr>
      <w:r w:rsidRPr="00751642">
        <w:t>Komisija, įvertinusi aptartas nuostatas, daro išvadą, kad</w:t>
      </w:r>
      <w:r w:rsidR="00BF0B7B" w:rsidRPr="00751642">
        <w:t xml:space="preserve"> </w:t>
      </w:r>
      <w:r w:rsidR="00D406B7" w:rsidRPr="00751642">
        <w:t>su teismo pirmininko pareigomis finansinių lėšų skolinimasis iš pavaldinių</w:t>
      </w:r>
      <w:r w:rsidR="00B27CA9">
        <w:t xml:space="preserve"> yra </w:t>
      </w:r>
      <w:r w:rsidR="00B27CA9" w:rsidRPr="00751642">
        <w:t>nesuderinamas</w:t>
      </w:r>
      <w:r w:rsidRPr="00751642">
        <w:t xml:space="preserve">. Teismo pirmininkas yra teismo vadovas, kuriam pavaldūs kiti teismo darbuotojai, taigi finansinių lėšų skolinimasis iš pavaldinių </w:t>
      </w:r>
      <w:r w:rsidR="00D406B7" w:rsidRPr="00751642">
        <w:t>gali sukelti viešųjų ir privačių interesų konfliktą,</w:t>
      </w:r>
      <w:r w:rsidR="00B27CA9">
        <w:t xml:space="preserve"> kai teismo pirmininkas, turėdamas priimti sprendimą dėl sau pavaldaus darbuotojo, turės</w:t>
      </w:r>
      <w:r w:rsidR="00BF2EC6">
        <w:t xml:space="preserve"> privatų interesą ir asmeninį suinteresuotumą</w:t>
      </w:r>
      <w:r w:rsidR="00B27CA9">
        <w:t xml:space="preserve">. Tokiu atveju </w:t>
      </w:r>
      <w:r w:rsidR="00D406B7" w:rsidRPr="00751642">
        <w:t>gali nukentėti teismo darbas</w:t>
      </w:r>
      <w:r w:rsidR="00BF2EC6">
        <w:t xml:space="preserve"> (darbuotojai atsiduria nelygiavertėje padėtyje)</w:t>
      </w:r>
      <w:r w:rsidR="00D406B7" w:rsidRPr="00751642">
        <w:t>, taip pat gali iškilti abejonių dėl teismo nepriklausomumo ir nešališkumo.</w:t>
      </w:r>
      <w:r w:rsidRPr="00751642">
        <w:t xml:space="preserve"> Komi</w:t>
      </w:r>
      <w:r w:rsidR="00B27CA9">
        <w:t>sijos vertinimu, tokia situacija</w:t>
      </w:r>
      <w:r w:rsidRPr="00751642">
        <w:t xml:space="preserve"> neatitiktų Teisėjų etikos kodekso reikalavimų teisėjui būti nepriklausomam, sąžiningam ir</w:t>
      </w:r>
      <w:r>
        <w:t xml:space="preserve"> nesavanaudiškam, vengti</w:t>
      </w:r>
      <w:r w:rsidR="00751642">
        <w:t xml:space="preserve"> viešų ir privačių interesų konflikto.</w:t>
      </w:r>
    </w:p>
    <w:p w:rsidR="00BF0B7B" w:rsidRDefault="00BF0B7B" w:rsidP="00BF0B7B">
      <w:pPr>
        <w:tabs>
          <w:tab w:val="left" w:pos="709"/>
          <w:tab w:val="left" w:pos="851"/>
        </w:tabs>
        <w:ind w:firstLine="567"/>
        <w:jc w:val="both"/>
      </w:pPr>
    </w:p>
    <w:p w:rsidR="00386ED6" w:rsidRDefault="00386ED6"/>
    <w:sectPr w:rsidR="00386ED6" w:rsidSect="008D3024">
      <w:headerReference w:type="default" r:id="rId6"/>
      <w:headerReference w:type="first" r:id="rId7"/>
      <w:footerReference w:type="first" r:id="rId8"/>
      <w:pgSz w:w="11907" w:h="16840" w:code="9"/>
      <w:pgMar w:top="567" w:right="567" w:bottom="426" w:left="1701" w:header="851" w:footer="0" w:gutter="0"/>
      <w:cols w:space="708"/>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1F1" w:rsidRDefault="00CE51F1" w:rsidP="00E558D9">
      <w:r>
        <w:separator/>
      </w:r>
    </w:p>
  </w:endnote>
  <w:endnote w:type="continuationSeparator" w:id="0">
    <w:p w:rsidR="00CE51F1" w:rsidRDefault="00CE51F1" w:rsidP="00E558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24" w:rsidRDefault="009E2B18" w:rsidP="008D3024">
    <w:pPr>
      <w:pStyle w:val="Porat"/>
      <w:jc w:val="left"/>
    </w:pPr>
    <w:r>
      <w:rPr>
        <w:sz w:val="22"/>
        <w:szCs w:val="22"/>
      </w:rPr>
      <w:tab/>
    </w:r>
  </w:p>
  <w:p w:rsidR="008D3024" w:rsidRPr="001539A4" w:rsidRDefault="00CE51F1" w:rsidP="008D3024">
    <w:pPr>
      <w:pStyle w:val="Porat"/>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1F1" w:rsidRDefault="00CE51F1" w:rsidP="00E558D9">
      <w:r>
        <w:separator/>
      </w:r>
    </w:p>
  </w:footnote>
  <w:footnote w:type="continuationSeparator" w:id="0">
    <w:p w:rsidR="00CE51F1" w:rsidRDefault="00CE51F1" w:rsidP="00E558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24" w:rsidRDefault="00E558D9">
    <w:pPr>
      <w:pStyle w:val="Antrats"/>
      <w:tabs>
        <w:tab w:val="clear" w:pos="4153"/>
        <w:tab w:val="clear" w:pos="8306"/>
      </w:tabs>
      <w:jc w:val="center"/>
      <w:rPr>
        <w:rStyle w:val="Puslapionumeris"/>
      </w:rPr>
    </w:pPr>
    <w:r>
      <w:rPr>
        <w:rStyle w:val="Puslapionumeris"/>
      </w:rPr>
      <w:fldChar w:fldCharType="begin"/>
    </w:r>
    <w:r w:rsidR="009E2B18">
      <w:rPr>
        <w:rStyle w:val="Puslapionumeris"/>
      </w:rPr>
      <w:instrText xml:space="preserve"> PAGE </w:instrText>
    </w:r>
    <w:r>
      <w:rPr>
        <w:rStyle w:val="Puslapionumeris"/>
      </w:rPr>
      <w:fldChar w:fldCharType="separate"/>
    </w:r>
    <w:r w:rsidR="00B27CA9">
      <w:rPr>
        <w:rStyle w:val="Puslapionumeris"/>
        <w:noProof/>
      </w:rPr>
      <w:t>2</w:t>
    </w:r>
    <w:r>
      <w:rPr>
        <w:rStyle w:val="Puslapionumeris"/>
      </w:rPr>
      <w:fldChar w:fldCharType="end"/>
    </w:r>
  </w:p>
  <w:p w:rsidR="008D3024" w:rsidRDefault="00CE51F1">
    <w:pPr>
      <w:pStyle w:val="Antrats"/>
      <w:tabs>
        <w:tab w:val="clear" w:pos="4153"/>
        <w:tab w:val="clear" w:pos="8306"/>
      </w:tabs>
      <w:jc w:val="center"/>
      <w:rPr>
        <w:sz w:val="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024" w:rsidRDefault="00CE51F1">
    <w:pPr>
      <w:pStyle w:val="Antrats"/>
      <w:pBdr>
        <w:bottom w:val="single" w:sz="4" w:space="1" w:color="auto"/>
      </w:pBdr>
      <w:tabs>
        <w:tab w:val="clear" w:pos="4153"/>
        <w:tab w:val="clear" w:pos="8306"/>
      </w:tabs>
      <w:jc w:val="center"/>
      <w:rPr>
        <w:b/>
        <w:sz w:val="8"/>
      </w:rPr>
    </w:pPr>
  </w:p>
  <w:p w:rsidR="008D3024" w:rsidRDefault="00CE51F1">
    <w:pPr>
      <w:pStyle w:val="Antrats"/>
      <w:rPr>
        <w:sz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footnotePr>
    <w:footnote w:id="-1"/>
    <w:footnote w:id="0"/>
  </w:footnotePr>
  <w:endnotePr>
    <w:endnote w:id="-1"/>
    <w:endnote w:id="0"/>
  </w:endnotePr>
  <w:compat/>
  <w:rsids>
    <w:rsidRoot w:val="00BF0B7B"/>
    <w:rsid w:val="00154C62"/>
    <w:rsid w:val="00386ED6"/>
    <w:rsid w:val="003C5C47"/>
    <w:rsid w:val="00455C40"/>
    <w:rsid w:val="004D50DD"/>
    <w:rsid w:val="00560422"/>
    <w:rsid w:val="00570468"/>
    <w:rsid w:val="005C0309"/>
    <w:rsid w:val="005E6D7C"/>
    <w:rsid w:val="006300EE"/>
    <w:rsid w:val="00751642"/>
    <w:rsid w:val="0076790C"/>
    <w:rsid w:val="00952EED"/>
    <w:rsid w:val="009E2B18"/>
    <w:rsid w:val="00B27CA9"/>
    <w:rsid w:val="00BB6011"/>
    <w:rsid w:val="00BF0B7B"/>
    <w:rsid w:val="00BF2EC6"/>
    <w:rsid w:val="00CE51F1"/>
    <w:rsid w:val="00D406B7"/>
    <w:rsid w:val="00D72D5E"/>
    <w:rsid w:val="00D84019"/>
    <w:rsid w:val="00E558D9"/>
    <w:rsid w:val="00E9162F"/>
    <w:rsid w:val="00EB3DA0"/>
    <w:rsid w:val="00FA561F"/>
    <w:rsid w:val="00FF51E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0B7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F0B7B"/>
    <w:pPr>
      <w:tabs>
        <w:tab w:val="center" w:pos="4153"/>
        <w:tab w:val="right" w:pos="8306"/>
      </w:tabs>
    </w:pPr>
  </w:style>
  <w:style w:type="character" w:customStyle="1" w:styleId="AntratsDiagrama">
    <w:name w:val="Antraštės Diagrama"/>
    <w:basedOn w:val="Numatytasispastraiposriftas"/>
    <w:link w:val="Antrats"/>
    <w:rsid w:val="00BF0B7B"/>
    <w:rPr>
      <w:rFonts w:ascii="Times New Roman" w:eastAsia="Times New Roman" w:hAnsi="Times New Roman" w:cs="Times New Roman"/>
      <w:sz w:val="24"/>
      <w:szCs w:val="24"/>
    </w:rPr>
  </w:style>
  <w:style w:type="paragraph" w:styleId="Porat">
    <w:name w:val="footer"/>
    <w:basedOn w:val="prastasis"/>
    <w:link w:val="PoratDiagrama"/>
    <w:rsid w:val="00BF0B7B"/>
    <w:pPr>
      <w:tabs>
        <w:tab w:val="right" w:pos="8306"/>
      </w:tabs>
      <w:jc w:val="right"/>
    </w:pPr>
    <w:rPr>
      <w:sz w:val="16"/>
    </w:rPr>
  </w:style>
  <w:style w:type="character" w:customStyle="1" w:styleId="PoratDiagrama">
    <w:name w:val="Poraštė Diagrama"/>
    <w:basedOn w:val="Numatytasispastraiposriftas"/>
    <w:link w:val="Porat"/>
    <w:rsid w:val="00BF0B7B"/>
    <w:rPr>
      <w:rFonts w:ascii="Times New Roman" w:eastAsia="Times New Roman" w:hAnsi="Times New Roman" w:cs="Times New Roman"/>
      <w:sz w:val="16"/>
      <w:szCs w:val="24"/>
    </w:rPr>
  </w:style>
  <w:style w:type="character" w:styleId="Puslapionumeris">
    <w:name w:val="page number"/>
    <w:basedOn w:val="Numatytasispastraiposriftas"/>
    <w:rsid w:val="00BF0B7B"/>
  </w:style>
  <w:style w:type="paragraph" w:styleId="Pavadinimas">
    <w:name w:val="Title"/>
    <w:basedOn w:val="prastasis"/>
    <w:link w:val="PavadinimasDiagrama"/>
    <w:qFormat/>
    <w:rsid w:val="00BF0B7B"/>
    <w:pPr>
      <w:spacing w:before="40" w:after="40"/>
      <w:ind w:right="1959"/>
    </w:pPr>
    <w:rPr>
      <w:caps/>
    </w:rPr>
  </w:style>
  <w:style w:type="character" w:customStyle="1" w:styleId="PavadinimasDiagrama">
    <w:name w:val="Pavadinimas Diagrama"/>
    <w:basedOn w:val="Numatytasispastraiposriftas"/>
    <w:link w:val="Pavadinimas"/>
    <w:rsid w:val="00BF0B7B"/>
    <w:rPr>
      <w:rFonts w:ascii="Times New Roman" w:eastAsia="Times New Roman" w:hAnsi="Times New Roman" w:cs="Times New Roman"/>
      <w:caps/>
      <w:sz w:val="24"/>
      <w:szCs w:val="24"/>
    </w:rPr>
  </w:style>
  <w:style w:type="paragraph" w:customStyle="1" w:styleId="Adresas">
    <w:name w:val="Adresas"/>
    <w:basedOn w:val="prastasis"/>
    <w:rsid w:val="00BF0B7B"/>
    <w:pPr>
      <w:spacing w:before="40" w:after="40"/>
      <w:ind w:right="316"/>
    </w:pPr>
  </w:style>
  <w:style w:type="paragraph" w:customStyle="1" w:styleId="Tekstas">
    <w:name w:val="Tekstas"/>
    <w:basedOn w:val="prastasis"/>
    <w:link w:val="TekstasDiagrama"/>
    <w:rsid w:val="00BF0B7B"/>
    <w:pPr>
      <w:spacing w:before="40" w:after="40"/>
      <w:ind w:right="40" w:firstLine="1247"/>
      <w:jc w:val="both"/>
    </w:pPr>
  </w:style>
  <w:style w:type="character" w:customStyle="1" w:styleId="TekstasDiagrama">
    <w:name w:val="Tekstas Diagrama"/>
    <w:link w:val="Tekstas"/>
    <w:rsid w:val="00BF0B7B"/>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BF0B7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0B7B"/>
    <w:rPr>
      <w:rFonts w:ascii="Tahoma" w:eastAsia="Times New Roman" w:hAnsi="Tahoma" w:cs="Tahoma"/>
      <w:sz w:val="16"/>
      <w:szCs w:val="16"/>
    </w:rPr>
  </w:style>
  <w:style w:type="paragraph" w:customStyle="1" w:styleId="Bodytext">
    <w:name w:val="Body text"/>
    <w:rsid w:val="00D72D5E"/>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customStyle="1" w:styleId="apple-converted-space">
    <w:name w:val="apple-converted-space"/>
    <w:basedOn w:val="Numatytasispastraiposriftas"/>
    <w:rsid w:val="00E9162F"/>
  </w:style>
  <w:style w:type="paragraph" w:styleId="Pagrindiniotekstotrauka2">
    <w:name w:val="Body Text Indent 2"/>
    <w:basedOn w:val="prastasis"/>
    <w:link w:val="Pagrindiniotekstotrauka2Diagrama"/>
    <w:semiHidden/>
    <w:rsid w:val="00EB3DA0"/>
    <w:pPr>
      <w:ind w:firstLine="312"/>
      <w:jc w:val="both"/>
    </w:pPr>
    <w:rPr>
      <w:sz w:val="22"/>
      <w:szCs w:val="20"/>
      <w:lang w:eastAsia="lt-LT"/>
    </w:rPr>
  </w:style>
  <w:style w:type="character" w:customStyle="1" w:styleId="Pagrindiniotekstotrauka2Diagrama">
    <w:name w:val="Pagrindinio teksto įtrauka 2 Diagrama"/>
    <w:basedOn w:val="Numatytasispastraiposriftas"/>
    <w:link w:val="Pagrindiniotekstotrauka2"/>
    <w:semiHidden/>
    <w:rsid w:val="00EB3DA0"/>
    <w:rPr>
      <w:rFonts w:ascii="Times New Roman" w:eastAsia="Times New Roman" w:hAnsi="Times New Roman" w:cs="Times New Roman"/>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2126</Words>
  <Characters>1213</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a.pauliukaite</cp:lastModifiedBy>
  <cp:revision>3</cp:revision>
  <dcterms:created xsi:type="dcterms:W3CDTF">2015-06-01T06:23:00Z</dcterms:created>
  <dcterms:modified xsi:type="dcterms:W3CDTF">2015-06-01T06:25:00Z</dcterms:modified>
</cp:coreProperties>
</file>