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48BE" w:rsidRDefault="00B648BE"/>
    <w:p w:rsidR="00B648BE" w:rsidRDefault="00B648BE"/>
    <w:tbl>
      <w:tblPr>
        <w:tblW w:w="0" w:type="auto"/>
        <w:tblLayout w:type="fixed"/>
        <w:tblLook w:val="0000"/>
      </w:tblPr>
      <w:tblGrid>
        <w:gridCol w:w="5883"/>
      </w:tblGrid>
      <w:tr w:rsidR="002A241D" w:rsidTr="002A241D">
        <w:trPr>
          <w:cantSplit/>
          <w:trHeight w:val="130"/>
        </w:trPr>
        <w:tc>
          <w:tcPr>
            <w:tcW w:w="5883" w:type="dxa"/>
          </w:tcPr>
          <w:p w:rsidR="002A241D" w:rsidRDefault="002A241D" w:rsidP="002A241D"/>
        </w:tc>
      </w:tr>
    </w:tbl>
    <w:p w:rsidR="004F24E8" w:rsidRDefault="004F24E8">
      <w:pPr>
        <w:pStyle w:val="Pavadinimas"/>
        <w:rPr>
          <w:b/>
        </w:rPr>
      </w:pPr>
      <w:r>
        <w:rPr>
          <w:b/>
        </w:rPr>
        <w:t>dėl Konsultacijos</w:t>
      </w:r>
    </w:p>
    <w:p w:rsidR="002A241D" w:rsidRDefault="002A241D">
      <w:pPr>
        <w:pStyle w:val="Pavadinimas"/>
        <w:rPr>
          <w:b/>
        </w:rPr>
      </w:pPr>
      <w:r>
        <w:rPr>
          <w:b/>
        </w:rPr>
        <w:tab/>
      </w:r>
      <w:r>
        <w:rPr>
          <w:b/>
        </w:rPr>
        <w:tab/>
      </w:r>
      <w:r>
        <w:rPr>
          <w:b/>
        </w:rPr>
        <w:tab/>
      </w:r>
      <w:r>
        <w:rPr>
          <w:b/>
        </w:rPr>
        <w:tab/>
      </w:r>
    </w:p>
    <w:p w:rsidR="004F24E8" w:rsidRDefault="004F24E8">
      <w:pPr>
        <w:ind w:firstLine="1134"/>
        <w:jc w:val="both"/>
      </w:pPr>
      <w:r>
        <w:t>Teisėjų etikos ir drausmės komi</w:t>
      </w:r>
      <w:r w:rsidR="00B616FF">
        <w:t xml:space="preserve">sijos (toliau – Komisija) apygardos teismo pirmininkas </w:t>
      </w:r>
      <w:r w:rsidR="002A241D">
        <w:t>prašo</w:t>
      </w:r>
      <w:r>
        <w:t xml:space="preserve"> išaiškinti, ar gali apygardos teismas ir jo veiklos teritorijoje veikiantys apylinkių teismai bei </w:t>
      </w:r>
      <w:r w:rsidR="00B616FF">
        <w:t>jis</w:t>
      </w:r>
      <w:r>
        <w:t xml:space="preserve"> vienasmeniškai ar kolegialiai nagrinėti bylas, kuriose dalyvaujantis asmuo yra </w:t>
      </w:r>
      <w:r w:rsidR="00B616FF">
        <w:t>jo</w:t>
      </w:r>
      <w:r>
        <w:t xml:space="preserve"> sutuoktinės darbovietė – viešoji įstaiga</w:t>
      </w:r>
      <w:r w:rsidR="00B616FF">
        <w:t>. Paaiškina</w:t>
      </w:r>
      <w:r>
        <w:t>, kad sutuoktinė minėtoje įstaigoje dirba Informacijos ir dokumentų skyriaus dokumentų valdymo vadybininke, t. y. neužima ir neužėmė jokių vadovaujančių pareigų; sutuoktinė</w:t>
      </w:r>
      <w:r w:rsidR="00B616FF">
        <w:t>s darbovietę yra</w:t>
      </w:r>
      <w:r>
        <w:t xml:space="preserve"> nurodęs privačių interesų deklaracijoje,  n</w:t>
      </w:r>
      <w:r w:rsidR="00B616FF">
        <w:t>ėra</w:t>
      </w:r>
      <w:r>
        <w:t xml:space="preserve"> ir nebuvo suinteresuotas priimti minėtai įstaigai palankius sprendimus. </w:t>
      </w:r>
    </w:p>
    <w:p w:rsidR="004F24E8" w:rsidRDefault="004F24E8">
      <w:pPr>
        <w:ind w:firstLine="1134"/>
        <w:jc w:val="both"/>
      </w:pPr>
      <w:r>
        <w:t>Teisingumą Lietuvos Respublikoje vykdo tik teismai; teisėjai ir teismai, vykdydami teisingumą, yra nepriklausomi (Lietuvos Respublikos Konstitucijos 109 str.). Teisėjas, vykdydamas teisingumą, turi būti nešališkas, remtis tik Konstitucija ir įstatymais. Teisėjo autoritetas, tvirta vidinė nešališkumo nuostata, jo procesiniai sprendimai ir veiksmai, atliekami laikantis įstatymuose bei Teisėjų etikos kodekse įtvirtintų reikalavimų, konkrečių bei realių priekaištų dėl teisėjo šališkumo nebuvimas – visa tai garantuoja teisingą ginčo išsprendimą ir tokį suvokimą paprastai suteikia proceso šalims ir kitiems asmenims.</w:t>
      </w:r>
    </w:p>
    <w:p w:rsidR="004F24E8" w:rsidRDefault="004F24E8">
      <w:pPr>
        <w:ind w:firstLine="1134"/>
        <w:jc w:val="both"/>
      </w:pPr>
      <w:r>
        <w:t>Teismų</w:t>
      </w:r>
      <w:r w:rsidR="00364B8E">
        <w:t xml:space="preserve"> </w:t>
      </w:r>
      <w:r>
        <w:t>/</w:t>
      </w:r>
      <w:r w:rsidR="00364B8E">
        <w:t xml:space="preserve"> </w:t>
      </w:r>
      <w:r>
        <w:t>teisėjų nepriklausomumas ir nešališkumas yra esminė prielaida teisingumo vykdymui (Konsultacinės Europos teisėjų tarybos (CCJE) 2010 m. lapkričio 17 d. Strasbūre priimta Didžioji teisėjų chartija, 2 p.).</w:t>
      </w:r>
    </w:p>
    <w:p w:rsidR="004F24E8" w:rsidRDefault="004F24E8">
      <w:pPr>
        <w:ind w:firstLine="1134"/>
        <w:jc w:val="both"/>
      </w:pPr>
      <w:r>
        <w:t xml:space="preserve">Teisėjų etikos kodekso 8 straipsnio 6 punkte nustatyta, kad vadovaudamasis teisingumo ir nešališkumo principais teisėjas privalo nusišalinti nuo bylos nagrinėjimo, jeigu yra interesų konfliktas arba turima informacijos, jog privataus pobūdžio aplinkybės gali pakenkti bylos nagrinėjimui. </w:t>
      </w:r>
      <w:proofErr w:type="spellStart"/>
      <w:r>
        <w:t>Bangaloro</w:t>
      </w:r>
      <w:proofErr w:type="spellEnd"/>
      <w:r>
        <w:t xml:space="preserve"> teisėjų elgesio principų, priimtų 2002 m. Hagoje vykusiame teismų pirmininkų posėdyje, 2.5 punkte nustatyta, kad teisėjas turi nusišalinti nuo teismo proceso, jeigu jis negali išnagrinėti bylos nešališkai arba jeigu protingam stebėtojui gali atrodyti, kad teisėjas negali nešališkai išnagrinėti bylos, pagal 2.5.3 punktą  minėtus veiksmus galėtų apimti bylos nagrinėjimas, kai teisėjas arba jo šeimos narys turės ekonominės naudos iš bylos baigties.</w:t>
      </w:r>
    </w:p>
    <w:p w:rsidR="004F24E8" w:rsidRDefault="004F24E8">
      <w:pPr>
        <w:ind w:firstLine="1134"/>
        <w:jc w:val="both"/>
      </w:pPr>
      <w:r>
        <w:t xml:space="preserve">Komisija pažymi, kad teisėjas, nagrinėjantis bylą, pats kiekvienu atveju sprendžia, ar yra aplinkybės, dėl kurių gali kilti abejonių jo nešališkumu, kadangi galimybė nagrinėti bylą priklauso nuo teisėjo vertinimo, ar jis pats gali nešališkai išnagrinėti bylą, ar teisėjas atrodys nešališkai protingam pašaliniam stebėtojui. </w:t>
      </w:r>
    </w:p>
    <w:p w:rsidR="004F24E8" w:rsidRDefault="004F24E8">
      <w:pPr>
        <w:ind w:firstLine="1134"/>
        <w:jc w:val="both"/>
      </w:pPr>
      <w:r>
        <w:t>Komisijos vertinimu, nešališkumo principo pažeidimą galima būtų konstatuoti, jei bylą nagrinėtų teisėjas, asmeniškai susijęs su bylos šalimi. Teisėjo nešališkumu galima būtų taip pat pagrįstai abejoti, kai su bylos šalimi yra susijęs (gali turėti ekonominės</w:t>
      </w:r>
      <w:r w:rsidR="00364B8E">
        <w:t xml:space="preserve"> ar kitokios</w:t>
      </w:r>
      <w:r>
        <w:t xml:space="preserve"> naudos) ne pats teisėjas, o jo sutuoktinis. Nurodyti galimi teisėjo nešališkumo principo pažeidimo atvejai priklauso nuo vertinimo, ar teisėjas </w:t>
      </w:r>
      <w:r w:rsidR="00364B8E">
        <w:t xml:space="preserve">ir / arba </w:t>
      </w:r>
      <w:r>
        <w:t xml:space="preserve">jo sutuoktinis yra susiję su bylos šalimi (ar yra ryšys, kokio </w:t>
      </w:r>
      <w:r w:rsidR="00364B8E">
        <w:t xml:space="preserve">jis </w:t>
      </w:r>
      <w:r>
        <w:t>pobūdžio</w:t>
      </w:r>
      <w:r w:rsidR="00B7373C">
        <w:t>)</w:t>
      </w:r>
      <w:r>
        <w:t xml:space="preserve">, ar jie gali turėti ekonominės </w:t>
      </w:r>
      <w:r w:rsidR="00364B8E">
        <w:t xml:space="preserve">arba kitokios </w:t>
      </w:r>
      <w:r>
        <w:t>naudos iš bylos baigties (atsižvelgiant į užimamas pareigas, darbdavio veiklos pobūdį, bylos pobūdį ir pan.). Todėl kiekvienu konkrečiu atveju turi būti vertinami minėti dalykai ir sprendžiama dėl teismo nešališkumo.</w:t>
      </w:r>
    </w:p>
    <w:p w:rsidR="004F24E8" w:rsidRDefault="004F24E8">
      <w:pPr>
        <w:ind w:firstLine="1134"/>
        <w:jc w:val="both"/>
      </w:pPr>
      <w:r>
        <w:t xml:space="preserve"> </w:t>
      </w:r>
      <w:bookmarkStart w:id="0" w:name="_GoBack"/>
      <w:bookmarkEnd w:id="0"/>
      <w:r>
        <w:t>Sprendžiant, ar teisėjas, nagrinėjantis bylą, kurioje dalyvauja jo sutuoktinio darbdavys, objektyviam stebėtojui gali atrodyti šališkas, kiekvienu konkrečiu atveju turi būti įvertintos visos reikšmingos aplinkybės, pvz. sutuoktinio užimamos pareigos, nagrinėjamos bylos pobūdis ir pan. Tuo atveju, jei nagrinėjamoje byloje egzistuoja ar gali egzistuoti tam tikras asmeninis teisėjo sutuoktinio ir</w:t>
      </w:r>
      <w:r w:rsidR="00364B8E">
        <w:t xml:space="preserve"> </w:t>
      </w:r>
      <w:r>
        <w:t>/</w:t>
      </w:r>
      <w:r w:rsidR="00364B8E">
        <w:t xml:space="preserve"> </w:t>
      </w:r>
      <w:r>
        <w:t>ar jų šeimos interesas (pvz. ekonominis suinteresuotumas</w:t>
      </w:r>
      <w:r w:rsidR="00B7373C">
        <w:t>,</w:t>
      </w:r>
      <w:r w:rsidR="00364B8E">
        <w:t xml:space="preserve"> karjeros galimybės, vertinimas darbe ir pan.</w:t>
      </w:r>
      <w:r>
        <w:t xml:space="preserve">), ši aplinkybė objektyviam stebėtojui yra reali ir pakankama, kad jos pagrindu galėtų būti daroma išvada dėl teismo šališkumo. Tais atvejais, kai nagrinėjama byla nėra susijusi su teisėjo sutuoktiniu arba dėl jo užimamų pareigų niekaip neįtakoja jo padėties ir neliečia jo asmeninių interesų, objektyvaus stebėtojo požiūriu neturėtų būti pagrindo įžvelgti teisėjo šališkumą. Teisėjas, nagrinėjantis bylą, pats kiekvienu atveju sprendžia, ar yra aplinkybės, dėl kurių </w:t>
      </w:r>
      <w:r>
        <w:lastRenderedPageBreak/>
        <w:t>gali kilti abejonių jo nešališkumu, bei turi pateikti pakankamas garantijas, pašalinančias bet kokią su tuo susijusią pagrįstą abejonę. Vienas iš tokių būdų – teisėjui teismo posėdyje paviešinti aplinkybes, proceso dalyviams ar kitiems asmenims galinčias kelti abejonių dėl jo nešališkumo.</w:t>
      </w:r>
    </w:p>
    <w:p w:rsidR="004F24E8" w:rsidRDefault="00AC2BC2">
      <w:pPr>
        <w:ind w:firstLine="1134"/>
        <w:jc w:val="both"/>
      </w:pPr>
      <w:r w:rsidRPr="00515267">
        <w:t xml:space="preserve">Pažymėtina, kad teismo pirmininkas, pagal Teismų įstatymo 103–104 straipsnių nuostatas atlikdamas vidinį ar išorinį administravimą, neturi teisės kištis į teismo procesinę veiklą vykdant teisingumą ir nurodyti bylą nagrinėjantiems teisėjams, kokius procesinius sprendimus jiems priimti. Tai būtų neleistinas </w:t>
      </w:r>
      <w:r w:rsidRPr="0056304C">
        <w:t xml:space="preserve">Lietuvos Respublikos Konstitucijoje įtvirtinto teismų ir teisėjų nepriklausomumo principo pažeidimas. </w:t>
      </w:r>
      <w:r w:rsidR="00515267" w:rsidRPr="0056304C">
        <w:t>Teisėjai pagal Lietuvos Respublikos Konstituciją ir įstatymus yra nepriklausomi, o vykdydami teisėjų etikos nešališkumo reikalavimą nagrinėdami bylas nepasiduoda institucijų, pareigūnų ir atskirų asmenų įtakai. Šie argumentai sudaro pagrindą spręsti, kad a</w:t>
      </w:r>
      <w:r w:rsidR="004F24E8" w:rsidRPr="0056304C">
        <w:t xml:space="preserve">plinkybė, jog teisme nagrinėjamos bylos šalimi ar kitu dalyvaujančiu byloje asmeniu yra apygardos teismo pirmininko sutuoktinio darbdavys, objektyvaus stebėtojo požiūriu </w:t>
      </w:r>
      <w:r w:rsidR="00720867" w:rsidRPr="0056304C">
        <w:t xml:space="preserve">protingai vertinant </w:t>
      </w:r>
      <w:r w:rsidR="004F24E8" w:rsidRPr="0056304C">
        <w:t>ne</w:t>
      </w:r>
      <w:r w:rsidR="00515267" w:rsidRPr="0056304C">
        <w:t>sudaro</w:t>
      </w:r>
      <w:r w:rsidR="004F24E8" w:rsidRPr="0056304C">
        <w:t xml:space="preserve"> įspūdžio, kad visi apygardos teismo bei apygardos teismo veiklos teritorijoje veikiančių apylinkių teismų teisėjai yra šališki.</w:t>
      </w:r>
      <w:r w:rsidR="004F24E8">
        <w:t xml:space="preserve"> </w:t>
      </w:r>
    </w:p>
    <w:p w:rsidR="004F24E8" w:rsidRDefault="004F24E8">
      <w:pPr>
        <w:ind w:firstLine="1134"/>
        <w:jc w:val="both"/>
      </w:pPr>
    </w:p>
    <w:p w:rsidR="00925A8B" w:rsidRDefault="00925A8B" w:rsidP="00925A8B">
      <w:pPr>
        <w:ind w:firstLine="1134"/>
        <w:jc w:val="both"/>
      </w:pPr>
      <w:r>
        <w:t xml:space="preserve">     </w:t>
      </w:r>
    </w:p>
    <w:p w:rsidR="00925A8B" w:rsidRDefault="00925A8B" w:rsidP="00925A8B">
      <w:pPr>
        <w:rPr>
          <w:sz w:val="22"/>
          <w:szCs w:val="22"/>
        </w:rPr>
      </w:pPr>
      <w:r>
        <w:t xml:space="preserve">Pirmininkas </w:t>
      </w:r>
      <w:r>
        <w:tab/>
      </w:r>
      <w:r>
        <w:tab/>
        <w:t xml:space="preserve"> </w:t>
      </w:r>
      <w:r>
        <w:tab/>
      </w:r>
      <w:r>
        <w:tab/>
      </w:r>
      <w:r>
        <w:tab/>
      </w:r>
      <w:r>
        <w:tab/>
        <w:t xml:space="preserve">     Algis Norkūnas</w:t>
      </w:r>
      <w:r w:rsidRPr="00801E17">
        <w:rPr>
          <w:sz w:val="22"/>
          <w:szCs w:val="22"/>
        </w:rPr>
        <w:t xml:space="preserve"> </w:t>
      </w:r>
    </w:p>
    <w:p w:rsidR="00925A8B" w:rsidRDefault="00925A8B" w:rsidP="00925A8B">
      <w:pPr>
        <w:rPr>
          <w:sz w:val="22"/>
          <w:szCs w:val="22"/>
        </w:rPr>
      </w:pPr>
    </w:p>
    <w:p w:rsidR="00925A8B" w:rsidRDefault="00925A8B" w:rsidP="00925A8B">
      <w:pPr>
        <w:rPr>
          <w:sz w:val="22"/>
          <w:szCs w:val="22"/>
        </w:rPr>
      </w:pPr>
    </w:p>
    <w:p w:rsidR="00925A8B" w:rsidRDefault="00925A8B" w:rsidP="00925A8B">
      <w:pPr>
        <w:rPr>
          <w:sz w:val="22"/>
          <w:szCs w:val="22"/>
        </w:rPr>
      </w:pPr>
    </w:p>
    <w:p w:rsidR="00925A8B" w:rsidRDefault="00925A8B" w:rsidP="00925A8B">
      <w:pPr>
        <w:rPr>
          <w:sz w:val="22"/>
          <w:szCs w:val="22"/>
        </w:rPr>
      </w:pPr>
    </w:p>
    <w:p w:rsidR="00925A8B" w:rsidRDefault="00925A8B" w:rsidP="00925A8B">
      <w:pPr>
        <w:rPr>
          <w:sz w:val="22"/>
          <w:szCs w:val="22"/>
        </w:rPr>
      </w:pPr>
    </w:p>
    <w:p w:rsidR="00925A8B" w:rsidRDefault="00925A8B" w:rsidP="00925A8B">
      <w:pPr>
        <w:rPr>
          <w:sz w:val="22"/>
          <w:szCs w:val="22"/>
        </w:rPr>
      </w:pPr>
    </w:p>
    <w:p w:rsidR="00925A8B" w:rsidRDefault="00925A8B" w:rsidP="00925A8B">
      <w:pPr>
        <w:rPr>
          <w:sz w:val="22"/>
          <w:szCs w:val="22"/>
        </w:rPr>
      </w:pPr>
    </w:p>
    <w:p w:rsidR="00925A8B" w:rsidRDefault="00925A8B" w:rsidP="00925A8B">
      <w:pPr>
        <w:rPr>
          <w:sz w:val="22"/>
          <w:szCs w:val="22"/>
        </w:rPr>
      </w:pPr>
    </w:p>
    <w:p w:rsidR="00925A8B" w:rsidRDefault="00925A8B" w:rsidP="00925A8B">
      <w:pPr>
        <w:rPr>
          <w:sz w:val="22"/>
          <w:szCs w:val="22"/>
        </w:rPr>
      </w:pPr>
    </w:p>
    <w:p w:rsidR="00925A8B" w:rsidRPr="00801E17" w:rsidRDefault="00925A8B" w:rsidP="00925A8B">
      <w:pPr>
        <w:jc w:val="both"/>
      </w:pPr>
      <w:r w:rsidRPr="00801E17">
        <w:tab/>
      </w:r>
    </w:p>
    <w:sectPr w:rsidR="00925A8B" w:rsidRPr="00801E17" w:rsidSect="00596979">
      <w:pgSz w:w="11906" w:h="16838"/>
      <w:pgMar w:top="993" w:right="567" w:bottom="1134" w:left="1701"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1296"/>
  <w:hyphenationZone w:val="396"/>
  <w:drawingGridHorizontalSpacing w:val="0"/>
  <w:drawingGridVerticalSpacing w:val="0"/>
  <w:doNotShadeFormData/>
  <w:characterSpacingControl w:val="doNotCompress"/>
  <w:doNotValidateAgainstSchema/>
  <w:doNotDemarcateInvalidXml/>
  <w:compat>
    <w:spaceForUL/>
    <w:doNotLeaveBackslashAlone/>
    <w:ulTrailSpace/>
    <w:doNotExpandShiftReturn/>
    <w:useFELayout/>
  </w:compat>
  <w:rsids>
    <w:rsidRoot w:val="00172A27"/>
    <w:rsid w:val="00080A19"/>
    <w:rsid w:val="00172A27"/>
    <w:rsid w:val="002A241D"/>
    <w:rsid w:val="00364B8E"/>
    <w:rsid w:val="004F24E8"/>
    <w:rsid w:val="00515267"/>
    <w:rsid w:val="0056304C"/>
    <w:rsid w:val="00596979"/>
    <w:rsid w:val="006C656C"/>
    <w:rsid w:val="00720867"/>
    <w:rsid w:val="00720880"/>
    <w:rsid w:val="007C7EC5"/>
    <w:rsid w:val="00925A8B"/>
    <w:rsid w:val="00AC2BC2"/>
    <w:rsid w:val="00B616FF"/>
    <w:rsid w:val="00B648BE"/>
    <w:rsid w:val="00B7373C"/>
    <w:rsid w:val="00C04763"/>
    <w:rsid w:val="00DB6C6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96979"/>
    <w:rPr>
      <w:rFonts w:eastAsia="Calibr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3">
    <w:name w:val="Font Style23"/>
    <w:rsid w:val="00596979"/>
    <w:rPr>
      <w:rFonts w:ascii="Times New Roman" w:hAnsi="Times New Roman" w:cs="Times New Roman"/>
      <w:sz w:val="20"/>
      <w:szCs w:val="20"/>
    </w:rPr>
  </w:style>
  <w:style w:type="character" w:customStyle="1" w:styleId="DebesliotekstasDiagrama">
    <w:name w:val="Debesėlio tekstas Diagrama"/>
    <w:link w:val="Debesliotekstas"/>
    <w:rsid w:val="00596979"/>
    <w:rPr>
      <w:rFonts w:ascii="Tahoma" w:eastAsia="Calibri" w:hAnsi="Tahoma" w:cs="Tahoma"/>
      <w:sz w:val="16"/>
      <w:szCs w:val="16"/>
      <w:lang w:val="lt-LT"/>
    </w:rPr>
  </w:style>
  <w:style w:type="character" w:customStyle="1" w:styleId="PoratDiagrama">
    <w:name w:val="Poraštė Diagrama"/>
    <w:link w:val="Porat"/>
    <w:rsid w:val="00596979"/>
    <w:rPr>
      <w:rFonts w:ascii="Times New Roman" w:eastAsia="Calibri" w:hAnsi="Times New Roman" w:cs="Times New Roman"/>
      <w:sz w:val="24"/>
      <w:szCs w:val="24"/>
      <w:lang w:val="lt-LT"/>
    </w:rPr>
  </w:style>
  <w:style w:type="character" w:customStyle="1" w:styleId="AntratsDiagrama">
    <w:name w:val="Antraštės Diagrama"/>
    <w:link w:val="Antrats"/>
    <w:rsid w:val="00596979"/>
    <w:rPr>
      <w:rFonts w:ascii="Times New Roman" w:eastAsia="Calibri" w:hAnsi="Times New Roman" w:cs="Times New Roman"/>
      <w:sz w:val="24"/>
      <w:szCs w:val="24"/>
      <w:lang w:val="lt-LT"/>
    </w:rPr>
  </w:style>
  <w:style w:type="character" w:customStyle="1" w:styleId="PavadinimasDiagrama">
    <w:name w:val="Pavadinimas Diagrama"/>
    <w:link w:val="Pavadinimas"/>
    <w:rsid w:val="00596979"/>
    <w:rPr>
      <w:rFonts w:ascii="Times New Roman" w:eastAsia="Times New Roman" w:hAnsi="Times New Roman" w:cs="Times New Roman"/>
      <w:caps/>
      <w:sz w:val="24"/>
      <w:szCs w:val="24"/>
    </w:rPr>
  </w:style>
  <w:style w:type="paragraph" w:styleId="Debesliotekstas">
    <w:name w:val="Balloon Text"/>
    <w:basedOn w:val="prastasis"/>
    <w:link w:val="DebesliotekstasDiagrama"/>
    <w:rsid w:val="00596979"/>
    <w:rPr>
      <w:rFonts w:ascii="Tahoma" w:hAnsi="Tahoma"/>
      <w:sz w:val="16"/>
      <w:szCs w:val="16"/>
    </w:rPr>
  </w:style>
  <w:style w:type="paragraph" w:styleId="Porat">
    <w:name w:val="footer"/>
    <w:basedOn w:val="prastasis"/>
    <w:link w:val="PoratDiagrama"/>
    <w:rsid w:val="00596979"/>
    <w:pPr>
      <w:tabs>
        <w:tab w:val="center" w:pos="4819"/>
        <w:tab w:val="right" w:pos="9638"/>
      </w:tabs>
    </w:pPr>
  </w:style>
  <w:style w:type="paragraph" w:styleId="Antrats">
    <w:name w:val="header"/>
    <w:basedOn w:val="prastasis"/>
    <w:link w:val="AntratsDiagrama"/>
    <w:rsid w:val="00596979"/>
    <w:pPr>
      <w:tabs>
        <w:tab w:val="center" w:pos="4819"/>
        <w:tab w:val="right" w:pos="9638"/>
      </w:tabs>
    </w:pPr>
  </w:style>
  <w:style w:type="paragraph" w:styleId="Pavadinimas">
    <w:name w:val="Title"/>
    <w:basedOn w:val="prastasis"/>
    <w:link w:val="PavadinimasDiagrama"/>
    <w:qFormat/>
    <w:rsid w:val="00596979"/>
    <w:pPr>
      <w:spacing w:before="40" w:after="40"/>
      <w:ind w:right="1959"/>
    </w:pPr>
    <w:rPr>
      <w:rFonts w:eastAsia="Times New Roman"/>
      <w:caps/>
    </w:rPr>
  </w:style>
  <w:style w:type="paragraph" w:customStyle="1" w:styleId="Adresas">
    <w:name w:val="Adresas"/>
    <w:basedOn w:val="prastasis"/>
    <w:rsid w:val="00596979"/>
    <w:pPr>
      <w:spacing w:before="40" w:after="40"/>
      <w:ind w:right="316"/>
    </w:pPr>
    <w:rPr>
      <w:rFonts w:eastAsia="Times New Roman"/>
    </w:rPr>
  </w:style>
  <w:style w:type="character" w:styleId="Komentaronuoroda">
    <w:name w:val="annotation reference"/>
    <w:uiPriority w:val="99"/>
    <w:semiHidden/>
    <w:unhideWhenUsed/>
    <w:rsid w:val="00B7373C"/>
    <w:rPr>
      <w:sz w:val="16"/>
      <w:szCs w:val="16"/>
    </w:rPr>
  </w:style>
  <w:style w:type="paragraph" w:styleId="Komentarotekstas">
    <w:name w:val="annotation text"/>
    <w:basedOn w:val="prastasis"/>
    <w:link w:val="KomentarotekstasDiagrama"/>
    <w:uiPriority w:val="99"/>
    <w:semiHidden/>
    <w:unhideWhenUsed/>
    <w:rsid w:val="00B7373C"/>
    <w:rPr>
      <w:sz w:val="20"/>
      <w:szCs w:val="20"/>
    </w:rPr>
  </w:style>
  <w:style w:type="character" w:customStyle="1" w:styleId="KomentarotekstasDiagrama">
    <w:name w:val="Komentaro tekstas Diagrama"/>
    <w:link w:val="Komentarotekstas"/>
    <w:uiPriority w:val="99"/>
    <w:semiHidden/>
    <w:rsid w:val="00B7373C"/>
    <w:rPr>
      <w:rFonts w:eastAsia="Calibri"/>
      <w:lang w:val="lt-LT"/>
    </w:rPr>
  </w:style>
  <w:style w:type="paragraph" w:styleId="Komentarotema">
    <w:name w:val="annotation subject"/>
    <w:basedOn w:val="Komentarotekstas"/>
    <w:next w:val="Komentarotekstas"/>
    <w:link w:val="KomentarotemaDiagrama"/>
    <w:uiPriority w:val="99"/>
    <w:semiHidden/>
    <w:unhideWhenUsed/>
    <w:rsid w:val="00B7373C"/>
    <w:rPr>
      <w:b/>
      <w:bCs/>
    </w:rPr>
  </w:style>
  <w:style w:type="character" w:customStyle="1" w:styleId="KomentarotemaDiagrama">
    <w:name w:val="Komentaro tema Diagrama"/>
    <w:link w:val="Komentarotema"/>
    <w:uiPriority w:val="99"/>
    <w:semiHidden/>
    <w:rsid w:val="00B7373C"/>
    <w:rPr>
      <w:rFonts w:eastAsia="Calibri"/>
      <w:b/>
      <w:bCs/>
      <w:lang w:val="lt-LT"/>
    </w:rPr>
  </w:style>
</w:styles>
</file>

<file path=word/webSettings.xml><?xml version="1.0" encoding="utf-8"?>
<w:webSettings xmlns:r="http://schemas.openxmlformats.org/officeDocument/2006/relationships" xmlns:w="http://schemas.openxmlformats.org/wordprocessingml/2006/main">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09E3C-DD66-431F-B953-52A707D0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3593</Words>
  <Characters>2049</Characters>
  <Application>Microsoft Office Word</Application>
  <DocSecurity>0</DocSecurity>
  <PresentationFormat/>
  <Lines>17</Lines>
  <Paragraphs>11</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Veslava Ruskan</vt:lpstr>
      <vt:lpstr>Veslava Ruskan</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Veslava Ruskan</dc:title>
  <dc:creator>Veslava Ruskan</dc:creator>
  <cp:lastModifiedBy>a.pauliukaite</cp:lastModifiedBy>
  <cp:revision>3</cp:revision>
  <cp:lastPrinted>2016-10-25T07:54:00Z</cp:lastPrinted>
  <dcterms:created xsi:type="dcterms:W3CDTF">2016-10-25T13:12:00Z</dcterms:created>
  <dcterms:modified xsi:type="dcterms:W3CDTF">2016-10-25T13:42:00Z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1033-8.1.0.3024</vt:lpwstr>
  </property>
</Properties>
</file>