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B8D" w:rsidRDefault="00785B60" w:rsidP="00116B8D">
      <w:pPr>
        <w:pStyle w:val="Data"/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0" t="0" r="9525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5B60" w:rsidRPr="00B563C4" w:rsidRDefault="00785B60" w:rsidP="00116B8D">
      <w:pPr>
        <w:pStyle w:val="Data"/>
      </w:pPr>
    </w:p>
    <w:p w:rsidR="00116B8D" w:rsidRPr="00B563C4" w:rsidRDefault="00116B8D" w:rsidP="00116B8D">
      <w:pPr>
        <w:pStyle w:val="Pavadinimas"/>
        <w:spacing w:line="480" w:lineRule="auto"/>
        <w:rPr>
          <w:rFonts w:ascii="Times New Roman" w:hAnsi="Times New Roman"/>
          <w:sz w:val="24"/>
        </w:rPr>
      </w:pPr>
      <w:r w:rsidRPr="00B563C4">
        <w:rPr>
          <w:rFonts w:ascii="Times New Roman" w:hAnsi="Times New Roman"/>
          <w:sz w:val="24"/>
        </w:rPr>
        <w:t>TEISĖJŲ TARYBA</w:t>
      </w:r>
    </w:p>
    <w:p w:rsidR="00116B8D" w:rsidRPr="00290B94" w:rsidRDefault="00116B8D" w:rsidP="00116B8D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290B94">
        <w:rPr>
          <w:rFonts w:ascii="Times New Roman" w:hAnsi="Times New Roman"/>
          <w:sz w:val="24"/>
        </w:rPr>
        <w:t>NUTARIMAS</w:t>
      </w:r>
    </w:p>
    <w:p w:rsidR="00116B8D" w:rsidRPr="00290B94" w:rsidRDefault="00116B8D" w:rsidP="00116B8D">
      <w:pPr>
        <w:pStyle w:val="Pavadinimas"/>
        <w:spacing w:line="240" w:lineRule="auto"/>
        <w:ind w:left="709" w:right="709"/>
        <w:rPr>
          <w:rFonts w:ascii="Times New Roman" w:hAnsi="Times New Roman"/>
          <w:sz w:val="24"/>
        </w:rPr>
      </w:pPr>
      <w:r w:rsidRPr="00290B94">
        <w:rPr>
          <w:rFonts w:ascii="Times New Roman" w:hAnsi="Times New Roman"/>
          <w:sz w:val="24"/>
        </w:rPr>
        <w:t>DĖL TEISĖJŲ TARYBOS 2014 M. SPALIO 31 D. NUTARIMO</w:t>
      </w:r>
      <w:r w:rsidRPr="00290B94">
        <w:rPr>
          <w:rFonts w:ascii="Times New Roman" w:hAnsi="Times New Roman"/>
          <w:color w:val="000000"/>
          <w:sz w:val="24"/>
        </w:rPr>
        <w:t xml:space="preserve"> </w:t>
      </w:r>
      <w:r w:rsidRPr="00290B94">
        <w:rPr>
          <w:rFonts w:ascii="Times New Roman" w:hAnsi="Times New Roman"/>
          <w:sz w:val="24"/>
        </w:rPr>
        <w:t>NR. 13P-135-(7.1.2) „DĖL TEISĖJŲ VEIKLOS VERTINIMO TVARKOS APRAŠO PATVIRTINIMO“ PAKEITIMO</w:t>
      </w:r>
    </w:p>
    <w:p w:rsidR="00116B8D" w:rsidRPr="00B563C4" w:rsidRDefault="00116B8D" w:rsidP="00116B8D">
      <w:pPr>
        <w:pStyle w:val="Data"/>
      </w:pPr>
    </w:p>
    <w:p w:rsidR="00785B60" w:rsidRPr="00B563C4" w:rsidRDefault="00785B60" w:rsidP="00785B60">
      <w:pPr>
        <w:pStyle w:val="Data"/>
        <w:spacing w:line="276" w:lineRule="auto"/>
        <w:ind w:left="360"/>
      </w:pPr>
      <w:r w:rsidRPr="00B563C4">
        <w:t>201</w:t>
      </w:r>
      <w:r>
        <w:t>6</w:t>
      </w:r>
      <w:r w:rsidRPr="00B563C4">
        <w:t xml:space="preserve"> m.</w:t>
      </w:r>
      <w:r>
        <w:t xml:space="preserve"> gruodžio 9 </w:t>
      </w:r>
      <w:r w:rsidRPr="00B563C4">
        <w:t xml:space="preserve">d. Nr. </w:t>
      </w:r>
      <w:r>
        <w:t>13P-</w:t>
      </w:r>
      <w:r w:rsidR="00884311">
        <w:t>129</w:t>
      </w:r>
      <w:r>
        <w:t>-(7.1.2)</w:t>
      </w:r>
    </w:p>
    <w:p w:rsidR="00116B8D" w:rsidRPr="00B563C4" w:rsidRDefault="00116B8D" w:rsidP="00785B60">
      <w:pPr>
        <w:pStyle w:val="Data"/>
        <w:spacing w:line="276" w:lineRule="auto"/>
      </w:pPr>
      <w:r w:rsidRPr="00B563C4">
        <w:t>Vilnius</w:t>
      </w:r>
    </w:p>
    <w:p w:rsidR="00116B8D" w:rsidRPr="00B563C4" w:rsidRDefault="00116B8D" w:rsidP="00785B60">
      <w:pPr>
        <w:pStyle w:val="Data"/>
        <w:spacing w:line="276" w:lineRule="auto"/>
      </w:pPr>
    </w:p>
    <w:p w:rsidR="00C14932" w:rsidRPr="00C30F1D" w:rsidRDefault="00C14932" w:rsidP="00785B60">
      <w:pPr>
        <w:spacing w:line="360" w:lineRule="auto"/>
        <w:ind w:firstLine="737"/>
        <w:jc w:val="both"/>
      </w:pPr>
      <w:r>
        <w:t>Vadovaudamasi Lietuvos Respublikos teismų įstatymo 91</w:t>
      </w:r>
      <w:r>
        <w:rPr>
          <w:vertAlign w:val="superscript"/>
        </w:rPr>
        <w:t xml:space="preserve">3 </w:t>
      </w:r>
      <w:r>
        <w:t xml:space="preserve">straipsnio 2 dalimi, 120 straipsnio 14 punktu, Lietuvos Respublikos Administracinių nusižengimų kodekso patvirtinimo, įsigaliojimo ir įgyvendinimo tvarkos įstatymo 1-2 straipsniais, </w:t>
      </w:r>
      <w:r w:rsidR="00116B8D" w:rsidRPr="00C30F1D">
        <w:t xml:space="preserve">Teisėjų taryba </w:t>
      </w:r>
      <w:r w:rsidRPr="00C30F1D">
        <w:t>n</w:t>
      </w:r>
      <w:r>
        <w:t> u </w:t>
      </w:r>
      <w:r w:rsidRPr="000120F2">
        <w:t>t</w:t>
      </w:r>
      <w:r>
        <w:t> </w:t>
      </w:r>
      <w:r w:rsidRPr="000120F2">
        <w:t>a</w:t>
      </w:r>
      <w:r w:rsidRPr="00C30F1D">
        <w:t xml:space="preserve"> r i a:</w:t>
      </w:r>
    </w:p>
    <w:p w:rsidR="00116B8D" w:rsidRPr="00C30F1D" w:rsidRDefault="00116B8D" w:rsidP="00785B60">
      <w:pPr>
        <w:pStyle w:val="Sraopastraipa"/>
        <w:numPr>
          <w:ilvl w:val="0"/>
          <w:numId w:val="3"/>
        </w:numPr>
        <w:tabs>
          <w:tab w:val="left" w:pos="1134"/>
        </w:tabs>
        <w:spacing w:line="360" w:lineRule="auto"/>
        <w:ind w:left="0" w:firstLine="737"/>
        <w:jc w:val="both"/>
      </w:pPr>
      <w:r w:rsidRPr="00C30F1D">
        <w:t xml:space="preserve">Pakeisti </w:t>
      </w:r>
      <w:r w:rsidRPr="00D358C7">
        <w:t>Teisėjų veiklos vertinimo tvarkos aprašą</w:t>
      </w:r>
      <w:r w:rsidRPr="00C30F1D">
        <w:t xml:space="preserve">, patvirtintą Teisėjų tarybos </w:t>
      </w:r>
      <w:r w:rsidRPr="00D358C7">
        <w:t xml:space="preserve">2014 m. spalio 31 d. </w:t>
      </w:r>
      <w:r w:rsidRPr="00C14932">
        <w:rPr>
          <w:color w:val="000000"/>
        </w:rPr>
        <w:t xml:space="preserve">nutarimu </w:t>
      </w:r>
      <w:r w:rsidRPr="00D358C7">
        <w:t>Nr. 13P-135-(7.1.2)</w:t>
      </w:r>
      <w:r w:rsidRPr="00C14932">
        <w:rPr>
          <w:color w:val="000000"/>
        </w:rPr>
        <w:t xml:space="preserve"> </w:t>
      </w:r>
      <w:r w:rsidRPr="00C30F1D">
        <w:t>„</w:t>
      </w:r>
      <w:r>
        <w:t>D</w:t>
      </w:r>
      <w:r w:rsidRPr="00290B94">
        <w:t xml:space="preserve">ėl </w:t>
      </w:r>
      <w:r>
        <w:t>T</w:t>
      </w:r>
      <w:r w:rsidRPr="00290B94">
        <w:t>eisėjų veiklos vertinimo tvarkos aprašo patvirtinimo</w:t>
      </w:r>
      <w:r w:rsidRPr="00C30F1D">
        <w:t xml:space="preserve">“, ir jo </w:t>
      </w:r>
      <w:r>
        <w:t>9.4</w:t>
      </w:r>
      <w:r w:rsidRPr="00C30F1D">
        <w:t xml:space="preserve"> </w:t>
      </w:r>
      <w:r>
        <w:t>papunktį</w:t>
      </w:r>
      <w:r w:rsidRPr="00C30F1D">
        <w:t xml:space="preserve"> išdėstyti taip:</w:t>
      </w:r>
    </w:p>
    <w:p w:rsidR="00116B8D" w:rsidRDefault="00116B8D" w:rsidP="00785B60">
      <w:pPr>
        <w:tabs>
          <w:tab w:val="left" w:pos="993"/>
        </w:tabs>
        <w:spacing w:line="360" w:lineRule="auto"/>
        <w:ind w:firstLine="737"/>
        <w:jc w:val="both"/>
      </w:pPr>
      <w:r w:rsidRPr="00C30F1D">
        <w:t>„</w:t>
      </w:r>
      <w:r w:rsidRPr="00D358C7">
        <w:t xml:space="preserve">9.4. atvejus, susijusius su ilgai užsitęsusiu bylų nagrinėjimu (ilgiau kaip metus nagrinėjamos baudžiamosios, civilinės ir administracinės bylos bei ilgiau kaip pusę metų nagrinėjamos administracinių teisės pažeidimų </w:t>
      </w:r>
      <w:r w:rsidR="00AF1892">
        <w:t>i</w:t>
      </w:r>
      <w:r w:rsidRPr="00116B8D">
        <w:t>r administracinių nusižengimų</w:t>
      </w:r>
      <w:r>
        <w:rPr>
          <w:b/>
        </w:rPr>
        <w:t xml:space="preserve"> </w:t>
      </w:r>
      <w:r w:rsidRPr="00D358C7">
        <w:t>bylos), juos lėmusias apibendrintas priežastis ir jų vertinimą;</w:t>
      </w:r>
      <w:r w:rsidRPr="00C30F1D">
        <w:t>“</w:t>
      </w:r>
      <w:r>
        <w:t>.</w:t>
      </w:r>
    </w:p>
    <w:p w:rsidR="00C749B6" w:rsidRDefault="00C749B6" w:rsidP="00785B60">
      <w:pPr>
        <w:pStyle w:val="Sraopastraipa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</w:pPr>
      <w:r>
        <w:t>Pakeisti Teisėjų veiklos vertinimo tvarkos aprašo priedo „Išvados apie teisėjo profesinę veiklą ir asmenines savybes forma“ 1.5 papunktį ir išdėstyti jį taip:</w:t>
      </w:r>
    </w:p>
    <w:p w:rsidR="00AF1892" w:rsidRDefault="00C749B6" w:rsidP="00785B60">
      <w:pPr>
        <w:tabs>
          <w:tab w:val="left" w:pos="187"/>
        </w:tabs>
        <w:spacing w:line="360" w:lineRule="auto"/>
        <w:ind w:firstLine="709"/>
        <w:jc w:val="both"/>
      </w:pPr>
      <w:r>
        <w:t xml:space="preserve">„1.5. Atvejai, susiję su ilgai užsitęsusiu bylų nagrinėjimu (ilgiau kaip metus nagrinėjamos baudžiamosios, civilinės ir administracinės bylos bei ilgiau kaip pusę metų nagrinėjamos administracinių teisės pažeidimų </w:t>
      </w:r>
      <w:r w:rsidRPr="00C749B6">
        <w:t>ir administracinių nusižengimų</w:t>
      </w:r>
      <w:r>
        <w:t xml:space="preserve"> bylos), juos lėmusios apibendrintos priežastys ir jų vertinimas </w:t>
      </w:r>
      <w:r>
        <w:rPr>
          <w:i/>
        </w:rPr>
        <w:t>(pvz. teisėjas turi tris civilines ir dvi baudžiamąsias bylas, kurių nagrinėjimas užtruko ilgiau nei vienerius metus. Išanalizavusi ilgo bylų nagrinėjimo priežastis, bylų vilkinimo faktų teisėjo darbe nenustatyta – bylos sustabdytos iki bus išnagrinėtos kitos bylos, paskelbtos kaltinamųjų paieškos):</w:t>
      </w:r>
      <w:r w:rsidRPr="00922285">
        <w:rPr>
          <w:i/>
        </w:rPr>
        <w:t>“</w:t>
      </w:r>
    </w:p>
    <w:p w:rsidR="00116B8D" w:rsidRDefault="00116B8D" w:rsidP="00785B60">
      <w:pPr>
        <w:pStyle w:val="Sraopastraipa"/>
        <w:numPr>
          <w:ilvl w:val="0"/>
          <w:numId w:val="2"/>
        </w:numPr>
        <w:tabs>
          <w:tab w:val="left" w:pos="1134"/>
        </w:tabs>
        <w:suppressAutoHyphens/>
        <w:spacing w:line="360" w:lineRule="auto"/>
        <w:ind w:hanging="11"/>
        <w:jc w:val="both"/>
      </w:pPr>
      <w:r>
        <w:t>Nustatyti, kad šis nutarimas įsigalioja nuo 2017 m. sausio 1 d.</w:t>
      </w:r>
    </w:p>
    <w:p w:rsidR="00785B60" w:rsidRPr="00C30F1D" w:rsidRDefault="00785B60" w:rsidP="00785B60">
      <w:pPr>
        <w:tabs>
          <w:tab w:val="left" w:pos="993"/>
        </w:tabs>
        <w:spacing w:line="276" w:lineRule="auto"/>
        <w:ind w:firstLine="737"/>
        <w:jc w:val="both"/>
      </w:pPr>
    </w:p>
    <w:p w:rsidR="00116B8D" w:rsidRPr="00C30F1D" w:rsidRDefault="00116B8D" w:rsidP="00785B60">
      <w:pPr>
        <w:tabs>
          <w:tab w:val="left" w:pos="993"/>
        </w:tabs>
        <w:spacing w:line="276" w:lineRule="auto"/>
        <w:ind w:right="159" w:firstLine="720"/>
      </w:pPr>
    </w:p>
    <w:tbl>
      <w:tblPr>
        <w:tblW w:w="24190" w:type="dxa"/>
        <w:tblLayout w:type="fixed"/>
        <w:tblLook w:val="04A0"/>
      </w:tblPr>
      <w:tblGrid>
        <w:gridCol w:w="7196"/>
        <w:gridCol w:w="7196"/>
        <w:gridCol w:w="7196"/>
        <w:gridCol w:w="2602"/>
      </w:tblGrid>
      <w:tr w:rsidR="00785B60" w:rsidRPr="00C424AA" w:rsidTr="00785B60">
        <w:tc>
          <w:tcPr>
            <w:tcW w:w="7196" w:type="dxa"/>
          </w:tcPr>
          <w:p w:rsidR="00785B60" w:rsidRPr="00F9016F" w:rsidRDefault="00785B60" w:rsidP="00785B60">
            <w:pPr>
              <w:spacing w:line="276" w:lineRule="auto"/>
            </w:pPr>
            <w:r w:rsidRPr="00F9016F">
              <w:t>Pirmininkas</w:t>
            </w:r>
          </w:p>
        </w:tc>
        <w:tc>
          <w:tcPr>
            <w:tcW w:w="7196" w:type="dxa"/>
          </w:tcPr>
          <w:p w:rsidR="00785B60" w:rsidRPr="00F9016F" w:rsidRDefault="00785B60" w:rsidP="00785B60">
            <w:pPr>
              <w:spacing w:line="276" w:lineRule="auto"/>
            </w:pPr>
            <w:r w:rsidRPr="00F9016F">
              <w:t xml:space="preserve">Rimvydas Norkus    </w:t>
            </w:r>
          </w:p>
        </w:tc>
        <w:tc>
          <w:tcPr>
            <w:tcW w:w="7196" w:type="dxa"/>
            <w:hideMark/>
          </w:tcPr>
          <w:p w:rsidR="00785B60" w:rsidRPr="00C424AA" w:rsidRDefault="00785B60" w:rsidP="00785B60">
            <w:pPr>
              <w:spacing w:line="276" w:lineRule="auto"/>
            </w:pPr>
            <w:r w:rsidRPr="00C424AA">
              <w:t xml:space="preserve">Pirmininkas </w:t>
            </w:r>
          </w:p>
        </w:tc>
        <w:tc>
          <w:tcPr>
            <w:tcW w:w="2602" w:type="dxa"/>
            <w:hideMark/>
          </w:tcPr>
          <w:p w:rsidR="00785B60" w:rsidRPr="00C424AA" w:rsidRDefault="00785B60" w:rsidP="00785B60">
            <w:pPr>
              <w:spacing w:line="276" w:lineRule="auto"/>
              <w:rPr>
                <w:lang w:eastAsia="lt-LT"/>
              </w:rPr>
            </w:pPr>
          </w:p>
        </w:tc>
      </w:tr>
      <w:tr w:rsidR="00785B60" w:rsidRPr="00C424AA" w:rsidTr="00785B60">
        <w:tc>
          <w:tcPr>
            <w:tcW w:w="7196" w:type="dxa"/>
          </w:tcPr>
          <w:p w:rsidR="00785B60" w:rsidRPr="00F9016F" w:rsidRDefault="00785B60" w:rsidP="00785B60">
            <w:pPr>
              <w:spacing w:line="276" w:lineRule="auto"/>
            </w:pPr>
            <w:bookmarkStart w:id="0" w:name="_GoBack"/>
            <w:bookmarkEnd w:id="0"/>
          </w:p>
        </w:tc>
        <w:tc>
          <w:tcPr>
            <w:tcW w:w="7196" w:type="dxa"/>
          </w:tcPr>
          <w:p w:rsidR="00785B60" w:rsidRPr="00F9016F" w:rsidRDefault="00785B60" w:rsidP="00785B60">
            <w:pPr>
              <w:spacing w:line="276" w:lineRule="auto"/>
              <w:rPr>
                <w:rFonts w:eastAsiaTheme="minorHAnsi"/>
              </w:rPr>
            </w:pPr>
          </w:p>
        </w:tc>
        <w:tc>
          <w:tcPr>
            <w:tcW w:w="7196" w:type="dxa"/>
          </w:tcPr>
          <w:p w:rsidR="00785B60" w:rsidRPr="00C424AA" w:rsidRDefault="00785B60" w:rsidP="00785B60">
            <w:pPr>
              <w:spacing w:line="276" w:lineRule="auto"/>
            </w:pPr>
          </w:p>
        </w:tc>
        <w:tc>
          <w:tcPr>
            <w:tcW w:w="2602" w:type="dxa"/>
          </w:tcPr>
          <w:p w:rsidR="00785B60" w:rsidRPr="00C424AA" w:rsidRDefault="00785B60" w:rsidP="00785B60">
            <w:pPr>
              <w:spacing w:line="276" w:lineRule="auto"/>
            </w:pPr>
          </w:p>
        </w:tc>
      </w:tr>
      <w:tr w:rsidR="00785B60" w:rsidRPr="00C424AA" w:rsidTr="00785B60">
        <w:tc>
          <w:tcPr>
            <w:tcW w:w="7196" w:type="dxa"/>
          </w:tcPr>
          <w:p w:rsidR="00785B60" w:rsidRPr="00F9016F" w:rsidRDefault="00785B60" w:rsidP="00785B60">
            <w:pPr>
              <w:spacing w:line="276" w:lineRule="auto"/>
            </w:pPr>
            <w:r w:rsidRPr="00F9016F">
              <w:t>Sekretorius</w:t>
            </w:r>
          </w:p>
        </w:tc>
        <w:tc>
          <w:tcPr>
            <w:tcW w:w="7196" w:type="dxa"/>
          </w:tcPr>
          <w:p w:rsidR="00785B60" w:rsidRPr="00F9016F" w:rsidRDefault="00785B60" w:rsidP="00785B60">
            <w:pPr>
              <w:spacing w:line="276" w:lineRule="auto"/>
            </w:pPr>
            <w:r w:rsidRPr="00F9016F">
              <w:t xml:space="preserve">Ramūnas Gadliauskas </w:t>
            </w:r>
          </w:p>
        </w:tc>
        <w:tc>
          <w:tcPr>
            <w:tcW w:w="7196" w:type="dxa"/>
            <w:hideMark/>
          </w:tcPr>
          <w:p w:rsidR="00785B60" w:rsidRPr="00C424AA" w:rsidRDefault="00785B60" w:rsidP="00785B60">
            <w:pPr>
              <w:spacing w:line="276" w:lineRule="auto"/>
            </w:pPr>
            <w:r w:rsidRPr="00C424AA">
              <w:t>Sekretorius</w:t>
            </w:r>
          </w:p>
        </w:tc>
        <w:tc>
          <w:tcPr>
            <w:tcW w:w="2602" w:type="dxa"/>
            <w:hideMark/>
          </w:tcPr>
          <w:p w:rsidR="00785B60" w:rsidRPr="00C424AA" w:rsidRDefault="00785B60" w:rsidP="00785B60">
            <w:pPr>
              <w:spacing w:line="276" w:lineRule="auto"/>
              <w:rPr>
                <w:lang w:eastAsia="lt-LT"/>
              </w:rPr>
            </w:pPr>
          </w:p>
        </w:tc>
      </w:tr>
    </w:tbl>
    <w:p w:rsidR="00DF398F" w:rsidRDefault="00960C70" w:rsidP="00785B60">
      <w:pPr>
        <w:spacing w:line="276" w:lineRule="auto"/>
      </w:pPr>
    </w:p>
    <w:sectPr w:rsidR="00DF398F" w:rsidSect="00785B60">
      <w:headerReference w:type="default" r:id="rId8"/>
      <w:headerReference w:type="first" r:id="rId9"/>
      <w:pgSz w:w="11907" w:h="16840" w:code="9"/>
      <w:pgMar w:top="993" w:right="850" w:bottom="709" w:left="1701" w:header="811" w:footer="567" w:gutter="0"/>
      <w:pgNumType w:start="2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0C70" w:rsidRDefault="00960C70">
      <w:r>
        <w:separator/>
      </w:r>
    </w:p>
  </w:endnote>
  <w:endnote w:type="continuationSeparator" w:id="0">
    <w:p w:rsidR="00960C70" w:rsidRDefault="00960C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0C70" w:rsidRDefault="00960C70">
      <w:r>
        <w:separator/>
      </w:r>
    </w:p>
  </w:footnote>
  <w:footnote w:type="continuationSeparator" w:id="0">
    <w:p w:rsidR="00960C70" w:rsidRDefault="00960C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301570"/>
      <w:docPartObj>
        <w:docPartGallery w:val="Page Numbers (Top of Page)"/>
        <w:docPartUnique/>
      </w:docPartObj>
    </w:sdtPr>
    <w:sdtContent>
      <w:p w:rsidR="00E34FF1" w:rsidRDefault="00494BE7">
        <w:pPr>
          <w:pStyle w:val="Antrats"/>
          <w:jc w:val="center"/>
        </w:pPr>
      </w:p>
    </w:sdtContent>
  </w:sdt>
  <w:p w:rsidR="00E34FF1" w:rsidRDefault="00960C70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673" w:rsidRPr="003F2D8B" w:rsidRDefault="00116B8D" w:rsidP="001D0298">
    <w:pPr>
      <w:pStyle w:val="Antrats"/>
      <w:jc w:val="center"/>
      <w:rPr>
        <w:b/>
      </w:rPr>
    </w:pPr>
    <w:r>
      <w:rPr>
        <w:b/>
      </w:rPr>
      <w:t xml:space="preserve">        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84609"/>
    <w:multiLevelType w:val="hybridMultilevel"/>
    <w:tmpl w:val="151C33F0"/>
    <w:lvl w:ilvl="0" w:tplc="ACEC5BFA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">
    <w:nsid w:val="54F04861"/>
    <w:multiLevelType w:val="hybridMultilevel"/>
    <w:tmpl w:val="55BC5FFE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4907D4"/>
    <w:multiLevelType w:val="hybridMultilevel"/>
    <w:tmpl w:val="AA16B724"/>
    <w:lvl w:ilvl="0" w:tplc="52142584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6B8D"/>
    <w:rsid w:val="00116B8D"/>
    <w:rsid w:val="00494BE7"/>
    <w:rsid w:val="004B6D9B"/>
    <w:rsid w:val="005C7A01"/>
    <w:rsid w:val="005D49B0"/>
    <w:rsid w:val="00785B60"/>
    <w:rsid w:val="00884311"/>
    <w:rsid w:val="00960C70"/>
    <w:rsid w:val="00AF1892"/>
    <w:rsid w:val="00C14932"/>
    <w:rsid w:val="00C749B6"/>
    <w:rsid w:val="00DC1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16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116B8D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16B8D"/>
    <w:rPr>
      <w:rFonts w:ascii="Times New Roman" w:eastAsia="Times New Roman" w:hAnsi="Times New Roman" w:cs="Times New Roman"/>
      <w:sz w:val="24"/>
      <w:szCs w:val="24"/>
    </w:rPr>
  </w:style>
  <w:style w:type="paragraph" w:styleId="Pavadinimas">
    <w:name w:val="Title"/>
    <w:basedOn w:val="prastasis"/>
    <w:link w:val="PavadinimasDiagrama"/>
    <w:qFormat/>
    <w:rsid w:val="00116B8D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rsid w:val="00116B8D"/>
    <w:rPr>
      <w:rFonts w:ascii="Tahoma" w:eastAsia="Times New Roman" w:hAnsi="Tahoma" w:cs="Times New Roman"/>
      <w:b/>
      <w:sz w:val="28"/>
      <w:szCs w:val="24"/>
    </w:rPr>
  </w:style>
  <w:style w:type="paragraph" w:styleId="Data">
    <w:name w:val="Date"/>
    <w:basedOn w:val="Antrats"/>
    <w:link w:val="DataDiagrama"/>
    <w:rsid w:val="00116B8D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116B8D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116B8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5B6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5B6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16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116B8D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16B8D"/>
    <w:rPr>
      <w:rFonts w:ascii="Times New Roman" w:eastAsia="Times New Roman" w:hAnsi="Times New Roman" w:cs="Times New Roman"/>
      <w:sz w:val="24"/>
      <w:szCs w:val="24"/>
    </w:rPr>
  </w:style>
  <w:style w:type="paragraph" w:styleId="Pavadinimas">
    <w:name w:val="Title"/>
    <w:basedOn w:val="prastasis"/>
    <w:link w:val="PavadinimasDiagrama"/>
    <w:qFormat/>
    <w:rsid w:val="00116B8D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rsid w:val="00116B8D"/>
    <w:rPr>
      <w:rFonts w:ascii="Tahoma" w:eastAsia="Times New Roman" w:hAnsi="Tahoma" w:cs="Times New Roman"/>
      <w:b/>
      <w:sz w:val="28"/>
      <w:szCs w:val="24"/>
    </w:rPr>
  </w:style>
  <w:style w:type="paragraph" w:styleId="Data">
    <w:name w:val="Date"/>
    <w:basedOn w:val="Antrats"/>
    <w:link w:val="DataDiagrama"/>
    <w:rsid w:val="00116B8D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116B8D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116B8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5B6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5B6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1250</Words>
  <Characters>713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 Velykiene</dc:creator>
  <cp:lastModifiedBy>a.dokutoviciene</cp:lastModifiedBy>
  <cp:revision>3</cp:revision>
  <dcterms:created xsi:type="dcterms:W3CDTF">2016-12-08T12:26:00Z</dcterms:created>
  <dcterms:modified xsi:type="dcterms:W3CDTF">2016-12-09T13:46:00Z</dcterms:modified>
</cp:coreProperties>
</file>