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19" w:rsidRDefault="006562E2" w:rsidP="00B04119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E2" w:rsidRPr="006B0FBE" w:rsidRDefault="006562E2" w:rsidP="00B04119">
      <w:pPr>
        <w:pStyle w:val="Data"/>
      </w:pPr>
    </w:p>
    <w:p w:rsidR="00B04119" w:rsidRPr="006B0FBE" w:rsidRDefault="00B04119" w:rsidP="00B04119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6B0FBE">
        <w:rPr>
          <w:rFonts w:ascii="Times New Roman" w:hAnsi="Times New Roman"/>
          <w:sz w:val="24"/>
        </w:rPr>
        <w:t>TEISĖJŲ TARYBA</w:t>
      </w:r>
    </w:p>
    <w:p w:rsidR="00B04119" w:rsidRPr="006B0FBE" w:rsidRDefault="00B04119" w:rsidP="00B0411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6B0FBE">
        <w:rPr>
          <w:rFonts w:ascii="Times New Roman" w:hAnsi="Times New Roman"/>
          <w:sz w:val="24"/>
        </w:rPr>
        <w:t>NUTARIMAS</w:t>
      </w:r>
    </w:p>
    <w:p w:rsidR="00B04119" w:rsidRPr="006B0FBE" w:rsidRDefault="00B04119" w:rsidP="00B04119">
      <w:pPr>
        <w:pStyle w:val="Pavadinimas"/>
        <w:spacing w:line="240" w:lineRule="auto"/>
        <w:ind w:left="709" w:right="709"/>
        <w:rPr>
          <w:rFonts w:ascii="Times New Roman" w:hAnsi="Times New Roman"/>
          <w:sz w:val="24"/>
        </w:rPr>
      </w:pPr>
      <w:r w:rsidRPr="006B0FBE">
        <w:rPr>
          <w:rFonts w:ascii="Times New Roman" w:hAnsi="Times New Roman"/>
          <w:sz w:val="24"/>
        </w:rPr>
        <w:t xml:space="preserve">DĖL TEISĖJŲ TARYBOS </w:t>
      </w:r>
      <w:r w:rsidRPr="006B0FBE">
        <w:rPr>
          <w:rFonts w:ascii="Times New Roman" w:eastAsia="Calibri" w:hAnsi="Times New Roman"/>
          <w:sz w:val="24"/>
        </w:rPr>
        <w:t xml:space="preserve">2014 M. KOVO 28 D. </w:t>
      </w:r>
      <w:r w:rsidRPr="006B0FBE">
        <w:rPr>
          <w:rFonts w:ascii="Times New Roman" w:hAnsi="Times New Roman"/>
          <w:sz w:val="24"/>
        </w:rPr>
        <w:t xml:space="preserve">NUTARIMO </w:t>
      </w:r>
      <w:r w:rsidRPr="006B0FBE">
        <w:rPr>
          <w:rFonts w:ascii="Times New Roman" w:eastAsia="Calibri" w:hAnsi="Times New Roman"/>
          <w:sz w:val="24"/>
        </w:rPr>
        <w:t>NR. 13P-51-(7.1.2)</w:t>
      </w:r>
      <w:r w:rsidRPr="006B0FBE">
        <w:rPr>
          <w:rFonts w:ascii="Times New Roman" w:hAnsi="Times New Roman"/>
          <w:sz w:val="24"/>
        </w:rPr>
        <w:t xml:space="preserve"> „</w:t>
      </w:r>
      <w:r w:rsidRPr="006B0FBE">
        <w:rPr>
          <w:rFonts w:ascii="Times New Roman" w:eastAsia="Calibri" w:hAnsi="Times New Roman"/>
          <w:sz w:val="24"/>
        </w:rPr>
        <w:t>DĖL INFORMACIJOS APIE TEISMŲ VEIKLĄ IR BYLAS TEIKIMO VIEŠOSIOS INFORMACIJOS RENGĖJAMS TAISYKLIŲ PATVIRTINIMO</w:t>
      </w:r>
      <w:r w:rsidRPr="006B0FBE">
        <w:rPr>
          <w:rFonts w:ascii="Times New Roman" w:hAnsi="Times New Roman"/>
          <w:sz w:val="24"/>
        </w:rPr>
        <w:t>“ PAKEITIMO</w:t>
      </w:r>
    </w:p>
    <w:p w:rsidR="00B04119" w:rsidRPr="006B0FBE" w:rsidRDefault="00B04119" w:rsidP="00B04119">
      <w:pPr>
        <w:pStyle w:val="Data"/>
      </w:pPr>
    </w:p>
    <w:p w:rsidR="006562E2" w:rsidRPr="00B563C4" w:rsidRDefault="006562E2" w:rsidP="006562E2">
      <w:pPr>
        <w:pStyle w:val="Data"/>
        <w:ind w:left="360"/>
      </w:pPr>
      <w:r w:rsidRPr="00B563C4">
        <w:t>201</w:t>
      </w:r>
      <w:r>
        <w:t>6</w:t>
      </w:r>
      <w:r w:rsidRPr="00B563C4">
        <w:t xml:space="preserve"> m.</w:t>
      </w:r>
      <w:r>
        <w:t xml:space="preserve"> gruodžio 9 </w:t>
      </w:r>
      <w:r w:rsidRPr="00B563C4">
        <w:t xml:space="preserve">d. Nr. </w:t>
      </w:r>
      <w:r>
        <w:t>13P-</w:t>
      </w:r>
      <w:r w:rsidR="0008742F">
        <w:t>131</w:t>
      </w:r>
      <w:r>
        <w:t>-(7.1.2)</w:t>
      </w:r>
    </w:p>
    <w:p w:rsidR="00B04119" w:rsidRPr="006B0FBE" w:rsidRDefault="00B04119" w:rsidP="00B04119">
      <w:pPr>
        <w:pStyle w:val="Data"/>
      </w:pPr>
      <w:r w:rsidRPr="006B0FBE">
        <w:t>Vilnius</w:t>
      </w:r>
    </w:p>
    <w:p w:rsidR="00B04119" w:rsidRPr="006B0FBE" w:rsidRDefault="00B04119" w:rsidP="00B04119">
      <w:pPr>
        <w:pStyle w:val="Data"/>
      </w:pPr>
    </w:p>
    <w:p w:rsidR="00B04119" w:rsidRPr="006B0FBE" w:rsidRDefault="00B04119" w:rsidP="00B04119"/>
    <w:p w:rsidR="00B04119" w:rsidRPr="006B0FBE" w:rsidRDefault="009F64FE" w:rsidP="00B04119">
      <w:pPr>
        <w:spacing w:line="360" w:lineRule="auto"/>
        <w:ind w:firstLine="737"/>
        <w:jc w:val="both"/>
      </w:pPr>
      <w:r>
        <w:t>Vadovaudamasi Lietuvos Respublikos te</w:t>
      </w:r>
      <w:r w:rsidR="006562E2">
        <w:t>ismų įstatymo 120 straipsnio 17</w:t>
      </w:r>
      <w:r>
        <w:t xml:space="preserve"> punktu, Lietuvos Respublikos Administracinių nusižengimų kodekso patvirtinimo, įsigaliojimo ir įgyvendinimo tvarkos įstatymo 1-2 straipsniais, </w:t>
      </w:r>
      <w:r w:rsidR="00B04119" w:rsidRPr="006B0FBE">
        <w:t>Teisėjų taryba n u t a r i a:</w:t>
      </w:r>
    </w:p>
    <w:p w:rsidR="00B04119" w:rsidRPr="006B0FBE" w:rsidRDefault="00B04119" w:rsidP="00B04119">
      <w:pPr>
        <w:tabs>
          <w:tab w:val="left" w:pos="993"/>
        </w:tabs>
        <w:spacing w:line="360" w:lineRule="auto"/>
        <w:ind w:firstLine="737"/>
        <w:jc w:val="both"/>
      </w:pPr>
      <w:r w:rsidRPr="006B0FBE">
        <w:t xml:space="preserve">Pakeisti </w:t>
      </w:r>
      <w:r w:rsidRPr="006B0FBE">
        <w:rPr>
          <w:rFonts w:eastAsia="Calibri"/>
        </w:rPr>
        <w:t>Informacijos apie teismų veiklą ir bylas teikimo viešosios informacijos rengėjams taisykles</w:t>
      </w:r>
      <w:r w:rsidRPr="006B0FBE">
        <w:t xml:space="preserve">, patvirtintas Teisėjų tarybos </w:t>
      </w:r>
      <w:r w:rsidRPr="006B0FBE">
        <w:rPr>
          <w:rFonts w:eastAsia="Calibri"/>
        </w:rPr>
        <w:t xml:space="preserve">2014 m. kovo 28 d. </w:t>
      </w:r>
      <w:r w:rsidRPr="006B0FBE">
        <w:rPr>
          <w:color w:val="000000"/>
        </w:rPr>
        <w:t xml:space="preserve">nutarimu </w:t>
      </w:r>
      <w:r w:rsidRPr="006B0FBE">
        <w:rPr>
          <w:rFonts w:eastAsia="Calibri"/>
        </w:rPr>
        <w:t>Nr. 13P-51-(7.1.2)</w:t>
      </w:r>
      <w:r w:rsidRPr="006B0FBE">
        <w:rPr>
          <w:color w:val="000000"/>
        </w:rPr>
        <w:t xml:space="preserve"> </w:t>
      </w:r>
      <w:r w:rsidRPr="006B0FBE">
        <w:t>„D</w:t>
      </w:r>
      <w:r w:rsidRPr="006B0FBE">
        <w:rPr>
          <w:rFonts w:eastAsia="Calibri"/>
        </w:rPr>
        <w:t>ėl Informacijos apie teismų veiklą ir bylas teikimo viešosios informacijos rengėjams taisyklių patvirtinimo</w:t>
      </w:r>
      <w:r w:rsidRPr="006B0FBE">
        <w:t>“:</w:t>
      </w:r>
    </w:p>
    <w:p w:rsidR="00B04119" w:rsidRPr="006B0FBE" w:rsidRDefault="00B04119" w:rsidP="00B04119">
      <w:pPr>
        <w:tabs>
          <w:tab w:val="left" w:pos="993"/>
        </w:tabs>
        <w:spacing w:line="360" w:lineRule="auto"/>
        <w:ind w:firstLine="737"/>
        <w:jc w:val="both"/>
      </w:pPr>
      <w:r w:rsidRPr="006B0FBE">
        <w:t>1. Pakeisti 3 punktą ir jį išdėstyti taip:</w:t>
      </w:r>
    </w:p>
    <w:p w:rsidR="00B04119" w:rsidRPr="006B0FBE" w:rsidRDefault="00B04119" w:rsidP="00B04119">
      <w:pPr>
        <w:tabs>
          <w:tab w:val="left" w:pos="993"/>
        </w:tabs>
        <w:spacing w:line="360" w:lineRule="auto"/>
        <w:ind w:firstLine="737"/>
        <w:jc w:val="both"/>
        <w:rPr>
          <w:rFonts w:eastAsia="Calibri"/>
        </w:rPr>
      </w:pPr>
      <w:r w:rsidRPr="006B0FBE">
        <w:t>„</w:t>
      </w:r>
      <w:r w:rsidRPr="006B0FBE">
        <w:rPr>
          <w:rFonts w:eastAsia="Calibri"/>
        </w:rPr>
        <w:t xml:space="preserve">3. Viešosios informacijos rengėjams visa informacija apie teismų veiklą ir bylas teikiama vadovaujantis Lietuvos Respublikos civilinio proceso kodeksu, Lietuvos Respublikos baudžiamojo proceso kodeksu, Lietuvos Respublikos administracinių </w:t>
      </w:r>
      <w:r w:rsidRPr="008D688F">
        <w:rPr>
          <w:rFonts w:eastAsia="Calibri"/>
        </w:rPr>
        <w:t>nusižengimų</w:t>
      </w:r>
      <w:r w:rsidRPr="006B0FBE">
        <w:rPr>
          <w:rFonts w:eastAsia="Calibri"/>
        </w:rPr>
        <w:t xml:space="preserve"> kodeksu, Lietuvos Respublikos administracinių bylų teisenos įstatymu, Lietuvos Respublikos teismų įstatymu, Lietuvos Respublikos visuomenės informavimo įstatymu</w:t>
      </w:r>
      <w:r w:rsidRPr="006B0FBE">
        <w:rPr>
          <w:rFonts w:eastAsia="Calibri"/>
          <w:iCs/>
          <w:shd w:val="clear" w:color="auto" w:fill="FFFFFF"/>
        </w:rPr>
        <w:t>,</w:t>
      </w:r>
      <w:r w:rsidRPr="006B0FBE">
        <w:rPr>
          <w:rFonts w:eastAsia="Calibri"/>
          <w:i/>
          <w:iCs/>
          <w:color w:val="000000"/>
          <w:shd w:val="clear" w:color="auto" w:fill="FFFFFF"/>
        </w:rPr>
        <w:t xml:space="preserve"> </w:t>
      </w:r>
      <w:r w:rsidRPr="006B0FBE">
        <w:rPr>
          <w:rFonts w:eastAsia="Calibri"/>
          <w:iCs/>
          <w:color w:val="000000"/>
          <w:shd w:val="clear" w:color="auto" w:fill="FFFFFF"/>
        </w:rPr>
        <w:t xml:space="preserve">Lietuvos Respublikos asmens duomenų teisinės apsaugos įstatymu, </w:t>
      </w:r>
      <w:r w:rsidRPr="006B0FBE">
        <w:rPr>
          <w:rFonts w:eastAsia="Calibri"/>
        </w:rPr>
        <w:t>Lietuvos Respublikos teisės gauti informaciją iš valstybės ir savivaldybių institucijų ir įstaigų įstatymu, B</w:t>
      </w:r>
      <w:r w:rsidRPr="006B0FBE">
        <w:rPr>
          <w:rFonts w:eastAsia="Calibri"/>
          <w:color w:val="000000"/>
          <w:shd w:val="clear" w:color="auto" w:fill="FFFFFF"/>
        </w:rPr>
        <w:t xml:space="preserve">endrųjų reikalavimų valstybės ir savivaldybių institucijų ir įstaigų interneto svetainėms aprašu, patvirtintu Lietuvos Respublikos Vyriausybės </w:t>
      </w:r>
      <w:r w:rsidRPr="006B0FBE">
        <w:rPr>
          <w:rFonts w:eastAsia="Calibri"/>
          <w:shd w:val="clear" w:color="auto" w:fill="FFFFFF"/>
        </w:rPr>
        <w:t xml:space="preserve">2003 m. balandžio 18 d. nutarimu Nr. 480, </w:t>
      </w:r>
      <w:r w:rsidRPr="006B0FBE">
        <w:rPr>
          <w:rFonts w:eastAsia="Calibri"/>
        </w:rPr>
        <w:t>Susipažinimo su teismuose išnagrinėtų bylų medžiaga taisyklėmis, patvirtintomis Lietuvos Respublikos teisingumo ministro 2012 m. gruodžio 7 d. įsakymu Nr. 1R-308</w:t>
      </w:r>
      <w:r w:rsidRPr="006B0FBE">
        <w:rPr>
          <w:rFonts w:eastAsia="Calibri"/>
          <w:bCs/>
          <w:shd w:val="clear" w:color="auto" w:fill="FFFFFF"/>
        </w:rPr>
        <w:t xml:space="preserve">, </w:t>
      </w:r>
      <w:r w:rsidRPr="006B0FBE">
        <w:rPr>
          <w:rFonts w:eastAsia="Calibri"/>
        </w:rPr>
        <w:t>Susipažinimo su administraciniuose teismuose išnagrinėtų bylų medžiaga taisyklėmis, patvirtintomis Lietuvos Respublikos teisingumo ministro ir Lietuvos vyriausiojo archyvaro 2011 m. gruodžio 21 d. įsakymu Nr. 1R-301/V-154</w:t>
      </w:r>
      <w:r w:rsidRPr="006B0FBE">
        <w:rPr>
          <w:rFonts w:eastAsia="Calibri"/>
          <w:bCs/>
          <w:shd w:val="clear" w:color="auto" w:fill="FFFFFF"/>
        </w:rPr>
        <w:t>,</w:t>
      </w:r>
      <w:r w:rsidRPr="006B0FBE">
        <w:rPr>
          <w:rFonts w:eastAsia="Calibri"/>
          <w:b/>
          <w:bCs/>
          <w:shd w:val="clear" w:color="auto" w:fill="FFFFFF"/>
        </w:rPr>
        <w:t xml:space="preserve"> </w:t>
      </w:r>
      <w:r w:rsidRPr="006B0FBE">
        <w:rPr>
          <w:rFonts w:eastAsia="Calibri"/>
        </w:rPr>
        <w:t>šiomis Taisyklėmis ir kitais teisės aktais.“</w:t>
      </w:r>
    </w:p>
    <w:p w:rsidR="00B04119" w:rsidRPr="006B0FBE" w:rsidRDefault="00B04119" w:rsidP="00B04119">
      <w:pPr>
        <w:tabs>
          <w:tab w:val="left" w:pos="993"/>
        </w:tabs>
        <w:spacing w:line="360" w:lineRule="auto"/>
        <w:ind w:firstLine="737"/>
        <w:jc w:val="both"/>
      </w:pPr>
      <w:r w:rsidRPr="006B0FBE">
        <w:t>2. Pakeisti 29 punktą ir jį išdėstyti taip:</w:t>
      </w:r>
    </w:p>
    <w:p w:rsidR="00B04119" w:rsidRDefault="00B04119" w:rsidP="00B04119">
      <w:pPr>
        <w:tabs>
          <w:tab w:val="left" w:pos="993"/>
        </w:tabs>
        <w:spacing w:line="360" w:lineRule="auto"/>
        <w:ind w:firstLine="737"/>
        <w:jc w:val="both"/>
      </w:pPr>
      <w:r w:rsidRPr="006B0FBE">
        <w:lastRenderedPageBreak/>
        <w:t>„</w:t>
      </w:r>
      <w:r w:rsidRPr="006B0FBE">
        <w:rPr>
          <w:rFonts w:eastAsia="Calibri"/>
        </w:rPr>
        <w:t>29. Viešosios</w:t>
      </w:r>
      <w:r w:rsidRPr="006B0FBE">
        <w:rPr>
          <w:rFonts w:eastAsia="Calibri"/>
          <w:spacing w:val="-2"/>
        </w:rPr>
        <w:t xml:space="preserve"> informacijos rengėjai gali susipažinti su išnagrinėtų bylų medžiaga procesiniuose įstatymuose ir juos įgyvendinančiuose teisės aktuose nustatyta tvarka, vadovaudamiesi teisės aktais, reglamentuojančiais </w:t>
      </w:r>
      <w:r w:rsidRPr="006B0FBE">
        <w:rPr>
          <w:rFonts w:eastAsia="Calibri"/>
        </w:rPr>
        <w:t>susipažinimo su baudžiamųjų, civilinių, administracinių</w:t>
      </w:r>
      <w:r w:rsidRPr="008D688F">
        <w:rPr>
          <w:rFonts w:eastAsia="Calibri"/>
        </w:rPr>
        <w:t xml:space="preserve">, </w:t>
      </w:r>
      <w:r w:rsidRPr="006B0FBE">
        <w:rPr>
          <w:rFonts w:eastAsia="Calibri"/>
        </w:rPr>
        <w:t xml:space="preserve">administracinių teisės pažeidimų </w:t>
      </w:r>
      <w:r w:rsidRPr="008D688F">
        <w:rPr>
          <w:rFonts w:eastAsia="Calibri"/>
        </w:rPr>
        <w:t>ir administracinių nusižengimų</w:t>
      </w:r>
      <w:r w:rsidRPr="006B0FBE">
        <w:rPr>
          <w:rFonts w:eastAsia="Calibri"/>
          <w:b/>
        </w:rPr>
        <w:t xml:space="preserve"> </w:t>
      </w:r>
      <w:r w:rsidRPr="006B0FBE">
        <w:rPr>
          <w:rFonts w:eastAsia="Calibri"/>
        </w:rPr>
        <w:t>bylų medžiaga tvarką, teismo posėdžio garso ir vaizdo įrašų bei jų kopijų, nuorašų ir išrašų darymo tvarką teismuose</w:t>
      </w:r>
      <w:r w:rsidRPr="006B0FBE">
        <w:rPr>
          <w:rFonts w:eastAsia="Calibri"/>
          <w:spacing w:val="-2"/>
        </w:rPr>
        <w:t>.</w:t>
      </w:r>
      <w:r w:rsidRPr="006B0FBE">
        <w:t>“</w:t>
      </w:r>
    </w:p>
    <w:p w:rsidR="00B04119" w:rsidRDefault="00B04119" w:rsidP="00B04119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jc w:val="both"/>
      </w:pPr>
      <w:r>
        <w:t>Nustatyti, kad šis nutarimas įsigalioja nuo 2017 m. sausio 1 d.</w:t>
      </w:r>
    </w:p>
    <w:p w:rsidR="00B04119" w:rsidRPr="006B0FBE" w:rsidRDefault="00B04119" w:rsidP="00B04119">
      <w:pPr>
        <w:tabs>
          <w:tab w:val="left" w:pos="993"/>
        </w:tabs>
        <w:spacing w:line="360" w:lineRule="auto"/>
        <w:ind w:firstLine="737"/>
        <w:jc w:val="both"/>
      </w:pPr>
    </w:p>
    <w:p w:rsidR="00B04119" w:rsidRPr="006B0FBE" w:rsidRDefault="00B04119" w:rsidP="00B04119">
      <w:pPr>
        <w:tabs>
          <w:tab w:val="left" w:pos="993"/>
        </w:tabs>
        <w:ind w:right="159" w:firstLine="720"/>
      </w:pPr>
    </w:p>
    <w:p w:rsidR="00B04119" w:rsidRPr="006B0FBE" w:rsidRDefault="00B04119" w:rsidP="00B04119">
      <w:pPr>
        <w:tabs>
          <w:tab w:val="left" w:pos="993"/>
        </w:tabs>
        <w:ind w:right="159" w:firstLine="720"/>
      </w:pPr>
    </w:p>
    <w:p w:rsidR="00B04119" w:rsidRPr="006B0FBE" w:rsidRDefault="00B04119" w:rsidP="00B04119">
      <w:pPr>
        <w:tabs>
          <w:tab w:val="left" w:pos="993"/>
        </w:tabs>
        <w:ind w:right="159" w:firstLine="720"/>
      </w:pPr>
    </w:p>
    <w:tbl>
      <w:tblPr>
        <w:tblW w:w="24190" w:type="dxa"/>
        <w:tblLayout w:type="fixed"/>
        <w:tblLook w:val="04A0"/>
      </w:tblPr>
      <w:tblGrid>
        <w:gridCol w:w="7196"/>
        <w:gridCol w:w="7196"/>
        <w:gridCol w:w="7196"/>
        <w:gridCol w:w="2602"/>
      </w:tblGrid>
      <w:tr w:rsidR="006562E2" w:rsidRPr="006B0FBE" w:rsidTr="006562E2">
        <w:tc>
          <w:tcPr>
            <w:tcW w:w="7196" w:type="dxa"/>
          </w:tcPr>
          <w:p w:rsidR="006562E2" w:rsidRPr="00F9016F" w:rsidRDefault="006562E2" w:rsidP="00696A7A">
            <w:r w:rsidRPr="00F9016F">
              <w:t>Pirmininkas</w:t>
            </w:r>
            <w:bookmarkStart w:id="0" w:name="_GoBack"/>
            <w:bookmarkEnd w:id="0"/>
          </w:p>
        </w:tc>
        <w:tc>
          <w:tcPr>
            <w:tcW w:w="7196" w:type="dxa"/>
          </w:tcPr>
          <w:p w:rsidR="006562E2" w:rsidRPr="00F9016F" w:rsidRDefault="006562E2" w:rsidP="00696A7A">
            <w:r w:rsidRPr="00F9016F">
              <w:t xml:space="preserve">Rimvydas Norkus    </w:t>
            </w:r>
          </w:p>
        </w:tc>
        <w:tc>
          <w:tcPr>
            <w:tcW w:w="7196" w:type="dxa"/>
            <w:hideMark/>
          </w:tcPr>
          <w:p w:rsidR="006562E2" w:rsidRPr="006B0FBE" w:rsidRDefault="006562E2" w:rsidP="00F93201">
            <w:pPr>
              <w:spacing w:line="360" w:lineRule="auto"/>
            </w:pPr>
            <w:r w:rsidRPr="006B0FBE">
              <w:t xml:space="preserve">Pirmininkas </w:t>
            </w:r>
          </w:p>
        </w:tc>
        <w:tc>
          <w:tcPr>
            <w:tcW w:w="2602" w:type="dxa"/>
            <w:hideMark/>
          </w:tcPr>
          <w:p w:rsidR="006562E2" w:rsidRPr="006B0FBE" w:rsidRDefault="006562E2" w:rsidP="00F93201">
            <w:pPr>
              <w:rPr>
                <w:lang w:eastAsia="lt-LT"/>
              </w:rPr>
            </w:pPr>
          </w:p>
        </w:tc>
      </w:tr>
      <w:tr w:rsidR="006562E2" w:rsidRPr="006B0FBE" w:rsidTr="006562E2">
        <w:tc>
          <w:tcPr>
            <w:tcW w:w="7196" w:type="dxa"/>
          </w:tcPr>
          <w:p w:rsidR="006562E2" w:rsidRPr="00F9016F" w:rsidRDefault="006562E2" w:rsidP="00696A7A"/>
        </w:tc>
        <w:tc>
          <w:tcPr>
            <w:tcW w:w="7196" w:type="dxa"/>
          </w:tcPr>
          <w:p w:rsidR="006562E2" w:rsidRPr="00F9016F" w:rsidRDefault="006562E2" w:rsidP="00696A7A">
            <w:pPr>
              <w:rPr>
                <w:rFonts w:eastAsiaTheme="minorHAnsi"/>
              </w:rPr>
            </w:pPr>
          </w:p>
        </w:tc>
        <w:tc>
          <w:tcPr>
            <w:tcW w:w="7196" w:type="dxa"/>
          </w:tcPr>
          <w:p w:rsidR="006562E2" w:rsidRPr="006B0FBE" w:rsidRDefault="006562E2" w:rsidP="00F93201">
            <w:pPr>
              <w:spacing w:line="360" w:lineRule="auto"/>
            </w:pPr>
          </w:p>
        </w:tc>
        <w:tc>
          <w:tcPr>
            <w:tcW w:w="2602" w:type="dxa"/>
          </w:tcPr>
          <w:p w:rsidR="006562E2" w:rsidRPr="006B0FBE" w:rsidRDefault="006562E2" w:rsidP="00F93201">
            <w:pPr>
              <w:spacing w:line="360" w:lineRule="auto"/>
            </w:pPr>
          </w:p>
        </w:tc>
      </w:tr>
      <w:tr w:rsidR="006562E2" w:rsidRPr="006B0FBE" w:rsidTr="006562E2">
        <w:tc>
          <w:tcPr>
            <w:tcW w:w="7196" w:type="dxa"/>
          </w:tcPr>
          <w:p w:rsidR="006562E2" w:rsidRPr="00F9016F" w:rsidRDefault="006562E2" w:rsidP="00696A7A">
            <w:r w:rsidRPr="00F9016F">
              <w:t>Sekretorius</w:t>
            </w:r>
          </w:p>
        </w:tc>
        <w:tc>
          <w:tcPr>
            <w:tcW w:w="7196" w:type="dxa"/>
          </w:tcPr>
          <w:p w:rsidR="006562E2" w:rsidRPr="00F9016F" w:rsidRDefault="006562E2" w:rsidP="00696A7A">
            <w:r w:rsidRPr="00F9016F">
              <w:t xml:space="preserve">Ramūnas Gadliauskas       </w:t>
            </w:r>
          </w:p>
        </w:tc>
        <w:tc>
          <w:tcPr>
            <w:tcW w:w="7196" w:type="dxa"/>
            <w:hideMark/>
          </w:tcPr>
          <w:p w:rsidR="006562E2" w:rsidRPr="006B0FBE" w:rsidRDefault="006562E2" w:rsidP="00F93201">
            <w:pPr>
              <w:spacing w:line="360" w:lineRule="auto"/>
            </w:pPr>
            <w:r w:rsidRPr="006B0FBE">
              <w:t>Sekretorius</w:t>
            </w:r>
          </w:p>
        </w:tc>
        <w:tc>
          <w:tcPr>
            <w:tcW w:w="2602" w:type="dxa"/>
            <w:hideMark/>
          </w:tcPr>
          <w:p w:rsidR="006562E2" w:rsidRPr="006B0FBE" w:rsidRDefault="006562E2" w:rsidP="00F93201">
            <w:pPr>
              <w:rPr>
                <w:lang w:eastAsia="lt-LT"/>
              </w:rPr>
            </w:pPr>
          </w:p>
        </w:tc>
      </w:tr>
    </w:tbl>
    <w:p w:rsidR="00B04119" w:rsidRPr="006B0FBE" w:rsidRDefault="00B04119" w:rsidP="00B04119"/>
    <w:p w:rsidR="00DF398F" w:rsidRDefault="006E0232"/>
    <w:sectPr w:rsidR="00DF398F" w:rsidSect="00E34FF1">
      <w:headerReference w:type="default" r:id="rId8"/>
      <w:headerReference w:type="first" r:id="rId9"/>
      <w:pgSz w:w="11907" w:h="16840" w:code="9"/>
      <w:pgMar w:top="1134" w:right="850" w:bottom="851" w:left="1701" w:header="811" w:footer="567" w:gutter="0"/>
      <w:pgNumType w:start="2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232" w:rsidRDefault="006E0232">
      <w:r>
        <w:separator/>
      </w:r>
    </w:p>
  </w:endnote>
  <w:endnote w:type="continuationSeparator" w:id="0">
    <w:p w:rsidR="006E0232" w:rsidRDefault="006E0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232" w:rsidRDefault="006E0232">
      <w:r>
        <w:separator/>
      </w:r>
    </w:p>
  </w:footnote>
  <w:footnote w:type="continuationSeparator" w:id="0">
    <w:p w:rsidR="006E0232" w:rsidRDefault="006E0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01570"/>
      <w:docPartObj>
        <w:docPartGallery w:val="Page Numbers (Top of Page)"/>
        <w:docPartUnique/>
      </w:docPartObj>
    </w:sdtPr>
    <w:sdtContent>
      <w:p w:rsidR="00E34FF1" w:rsidRDefault="00C538C3">
        <w:pPr>
          <w:pStyle w:val="Antrats"/>
          <w:jc w:val="center"/>
        </w:pPr>
      </w:p>
    </w:sdtContent>
  </w:sdt>
  <w:p w:rsidR="00E34FF1" w:rsidRDefault="006E023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452" w:rsidRPr="003F2D8B" w:rsidRDefault="008D688F" w:rsidP="00CD5452">
    <w:pPr>
      <w:pStyle w:val="Antrats"/>
      <w:jc w:val="center"/>
      <w:rPr>
        <w:b/>
      </w:rPr>
    </w:pPr>
    <w:r>
      <w:rPr>
        <w:b/>
      </w:rPr>
      <w:t xml:space="preserve">                                                                                                                                  </w:t>
    </w:r>
  </w:p>
  <w:p w:rsidR="00726673" w:rsidRPr="003F2D8B" w:rsidRDefault="006E0232" w:rsidP="00726673">
    <w:pPr>
      <w:pStyle w:val="Antrats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690A"/>
    <w:multiLevelType w:val="hybridMultilevel"/>
    <w:tmpl w:val="650019E6"/>
    <w:lvl w:ilvl="0" w:tplc="CEA06C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119"/>
    <w:rsid w:val="0008742F"/>
    <w:rsid w:val="005D49B0"/>
    <w:rsid w:val="006562E2"/>
    <w:rsid w:val="006E0232"/>
    <w:rsid w:val="0083638B"/>
    <w:rsid w:val="008D688F"/>
    <w:rsid w:val="009F64FE"/>
    <w:rsid w:val="00B04119"/>
    <w:rsid w:val="00C538C3"/>
    <w:rsid w:val="00D67ADD"/>
    <w:rsid w:val="00DC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411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4119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B0411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B04119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B04119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B04119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0411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62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62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411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4119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B0411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B04119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B04119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B04119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0411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62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62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Velykiene</dc:creator>
  <cp:lastModifiedBy>a.dokutoviciene</cp:lastModifiedBy>
  <cp:revision>3</cp:revision>
  <dcterms:created xsi:type="dcterms:W3CDTF">2016-12-08T12:18:00Z</dcterms:created>
  <dcterms:modified xsi:type="dcterms:W3CDTF">2016-12-09T13:48:00Z</dcterms:modified>
</cp:coreProperties>
</file>