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41D" w:rsidRDefault="00D7641D" w:rsidP="00D7641D">
      <w:pPr>
        <w:jc w:val="right"/>
        <w:rPr>
          <w:b/>
        </w:rPr>
      </w:pPr>
    </w:p>
    <w:p w:rsidR="00D7641D" w:rsidRDefault="00D7641D" w:rsidP="00D7641D">
      <w:pPr>
        <w:jc w:val="right"/>
        <w:rPr>
          <w:b/>
        </w:rPr>
      </w:pPr>
    </w:p>
    <w:p w:rsidR="00D7641D" w:rsidRPr="00B563C4" w:rsidRDefault="00D7641D" w:rsidP="00D7641D">
      <w:pPr>
        <w:jc w:val="right"/>
        <w:rPr>
          <w:b/>
        </w:rPr>
      </w:pPr>
    </w:p>
    <w:p w:rsidR="00D7641D" w:rsidRPr="00B563C4" w:rsidRDefault="005619FE" w:rsidP="00D7641D">
      <w:pPr>
        <w:pStyle w:val="Data"/>
      </w:pPr>
      <w:r>
        <w:rPr>
          <w:noProof/>
          <w:lang w:eastAsia="lt-LT"/>
        </w:rPr>
        <w:drawing>
          <wp:inline distT="0" distB="0" distL="0" distR="0">
            <wp:extent cx="733425" cy="7620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D7641D" w:rsidRPr="00B563C4" w:rsidRDefault="00D7641D" w:rsidP="00D7641D">
      <w:pPr>
        <w:pStyle w:val="Pavadinimas"/>
        <w:spacing w:line="480" w:lineRule="auto"/>
        <w:rPr>
          <w:rFonts w:ascii="Times New Roman" w:hAnsi="Times New Roman"/>
          <w:sz w:val="24"/>
        </w:rPr>
      </w:pPr>
      <w:r w:rsidRPr="00B563C4">
        <w:rPr>
          <w:rFonts w:ascii="Times New Roman" w:hAnsi="Times New Roman"/>
          <w:sz w:val="24"/>
        </w:rPr>
        <w:t>TEISĖJŲ TARYBA</w:t>
      </w:r>
    </w:p>
    <w:p w:rsidR="00D7641D" w:rsidRPr="004B056F" w:rsidRDefault="00D7641D" w:rsidP="00D7641D">
      <w:pPr>
        <w:pStyle w:val="Pavadinimas"/>
        <w:spacing w:line="240" w:lineRule="auto"/>
        <w:rPr>
          <w:rFonts w:ascii="Times New Roman" w:hAnsi="Times New Roman"/>
          <w:sz w:val="24"/>
        </w:rPr>
      </w:pPr>
      <w:r w:rsidRPr="004B056F">
        <w:rPr>
          <w:rFonts w:ascii="Times New Roman" w:hAnsi="Times New Roman"/>
          <w:sz w:val="24"/>
        </w:rPr>
        <w:t>NUTARIMAS</w:t>
      </w:r>
    </w:p>
    <w:p w:rsidR="00D7641D" w:rsidRPr="00B2168D" w:rsidRDefault="00D7641D" w:rsidP="00D7641D">
      <w:pPr>
        <w:pStyle w:val="Pavadinimas"/>
        <w:spacing w:line="240" w:lineRule="auto"/>
        <w:ind w:left="709" w:right="709"/>
        <w:rPr>
          <w:rFonts w:ascii="Times New Roman" w:hAnsi="Times New Roman"/>
          <w:sz w:val="24"/>
        </w:rPr>
      </w:pPr>
      <w:r w:rsidRPr="00B2168D">
        <w:rPr>
          <w:rFonts w:ascii="Times New Roman" w:hAnsi="Times New Roman"/>
          <w:sz w:val="24"/>
        </w:rPr>
        <w:t>DĖL TEISĖJŲ TARYBOS 2015 M. GRUODŽIO 18 D. NUTARIMO NR. 13P-157-(7.1.2) „DĖL ADMINISTRAVIMO TEISMUOSE NUOSTATŲ PATVIRTINIMO“ PAKEITIMO</w:t>
      </w:r>
    </w:p>
    <w:p w:rsidR="00D7641D" w:rsidRPr="00B563C4" w:rsidRDefault="00D7641D" w:rsidP="00D7641D">
      <w:pPr>
        <w:pStyle w:val="Data"/>
      </w:pPr>
    </w:p>
    <w:p w:rsidR="00D7641D" w:rsidRPr="00B563C4" w:rsidRDefault="00D7641D" w:rsidP="00D7641D">
      <w:pPr>
        <w:pStyle w:val="Data"/>
        <w:ind w:left="360"/>
      </w:pPr>
      <w:bookmarkStart w:id="0" w:name="_GoBack"/>
      <w:r w:rsidRPr="00B563C4">
        <w:t>201</w:t>
      </w:r>
      <w:r>
        <w:t>6</w:t>
      </w:r>
      <w:r w:rsidRPr="00B563C4">
        <w:t xml:space="preserve"> m.</w:t>
      </w:r>
      <w:r w:rsidR="005619FE">
        <w:t xml:space="preserve"> gruodžio 9</w:t>
      </w:r>
      <w:r>
        <w:t xml:space="preserve"> </w:t>
      </w:r>
      <w:r w:rsidRPr="00B563C4">
        <w:t xml:space="preserve">d. Nr. </w:t>
      </w:r>
      <w:r w:rsidR="005619FE">
        <w:t>13P-</w:t>
      </w:r>
      <w:r w:rsidR="00753CDB">
        <w:t>140</w:t>
      </w:r>
      <w:r w:rsidR="005619FE">
        <w:t>-(7.1.2)</w:t>
      </w:r>
    </w:p>
    <w:bookmarkEnd w:id="0"/>
    <w:p w:rsidR="00D7641D" w:rsidRPr="00B563C4" w:rsidRDefault="00D7641D" w:rsidP="00D7641D">
      <w:pPr>
        <w:pStyle w:val="Data"/>
      </w:pPr>
      <w:r w:rsidRPr="00B563C4">
        <w:t>Vilnius</w:t>
      </w:r>
    </w:p>
    <w:p w:rsidR="00D7641D" w:rsidRPr="00B563C4" w:rsidRDefault="00D7641D" w:rsidP="00D7641D">
      <w:pPr>
        <w:pStyle w:val="Data"/>
      </w:pPr>
    </w:p>
    <w:p w:rsidR="00D7641D" w:rsidRPr="00B44F69" w:rsidRDefault="00D7641D" w:rsidP="00D7641D">
      <w:pPr>
        <w:ind w:firstLine="737"/>
        <w:jc w:val="both"/>
      </w:pPr>
      <w:r>
        <w:t>Vadovaudamasi Lietuvos Respublikos teismų įstatymo 102 straipsnio 3 dalimi, 120</w:t>
      </w:r>
      <w:r>
        <w:rPr>
          <w:vertAlign w:val="superscript"/>
        </w:rPr>
        <w:t xml:space="preserve"> </w:t>
      </w:r>
      <w:r>
        <w:t>straipsnio 17 punktu,</w:t>
      </w:r>
      <w:r w:rsidR="00691B84">
        <w:t xml:space="preserve"> Lietuvos Respublikos Administracinių nusižengimų kodekso patvirtinimo, įsigaliojimo ir įgyvendinimo tvarkos įstatymo 1-2 straipsniais,</w:t>
      </w:r>
      <w:r>
        <w:t xml:space="preserve"> </w:t>
      </w:r>
      <w:r w:rsidRPr="00B44F69">
        <w:t>Teisėjų taryba n u t a r i a:</w:t>
      </w:r>
    </w:p>
    <w:p w:rsidR="00D7641D" w:rsidRPr="00D7641D" w:rsidRDefault="00D7641D" w:rsidP="00D7641D">
      <w:pPr>
        <w:tabs>
          <w:tab w:val="left" w:pos="993"/>
        </w:tabs>
        <w:ind w:firstLine="737"/>
        <w:jc w:val="both"/>
      </w:pPr>
      <w:r w:rsidRPr="00B44F69">
        <w:t>Pa</w:t>
      </w:r>
      <w:r w:rsidRPr="00D7641D">
        <w:t xml:space="preserve">keisti Administravimo teismuose nuostatus, patvirtintus Teisėjų tarybos 2015 m. gruodžio 18 d. </w:t>
      </w:r>
      <w:r w:rsidRPr="00D7641D">
        <w:rPr>
          <w:color w:val="000000"/>
        </w:rPr>
        <w:t xml:space="preserve">nutarimu </w:t>
      </w:r>
      <w:r w:rsidRPr="00D7641D">
        <w:t>Nr. 13P-157-(7.1.2)</w:t>
      </w:r>
      <w:r w:rsidRPr="00D7641D">
        <w:rPr>
          <w:color w:val="000000"/>
        </w:rPr>
        <w:t xml:space="preserve"> </w:t>
      </w:r>
      <w:r w:rsidRPr="00D7641D">
        <w:t>„Dėl Administravimo teismuose nuostatų patvirtinimo“:</w:t>
      </w:r>
    </w:p>
    <w:p w:rsidR="00D7641D" w:rsidRPr="00D7641D" w:rsidRDefault="00D7641D" w:rsidP="00D7641D">
      <w:pPr>
        <w:tabs>
          <w:tab w:val="left" w:pos="993"/>
        </w:tabs>
        <w:ind w:firstLine="737"/>
        <w:jc w:val="both"/>
      </w:pPr>
      <w:r w:rsidRPr="00D7641D">
        <w:t>1. Pakeisti 24 punktą ir jį išdėstyti taip:</w:t>
      </w:r>
    </w:p>
    <w:p w:rsidR="00D7641D" w:rsidRPr="00D7641D" w:rsidRDefault="00D7641D" w:rsidP="00D7641D">
      <w:pPr>
        <w:tabs>
          <w:tab w:val="left" w:pos="993"/>
        </w:tabs>
        <w:ind w:firstLine="737"/>
        <w:jc w:val="both"/>
        <w:rPr>
          <w:rFonts w:eastAsia="Calibri"/>
        </w:rPr>
      </w:pPr>
      <w:r w:rsidRPr="00D7641D">
        <w:t>„</w:t>
      </w:r>
      <w:r w:rsidRPr="00D7641D">
        <w:rPr>
          <w:rFonts w:eastAsia="Calibri"/>
        </w:rPr>
        <w:t>24. Teisėjų taryba</w:t>
      </w:r>
      <w:r w:rsidR="00CC79F4">
        <w:rPr>
          <w:rFonts w:eastAsia="Calibri"/>
        </w:rPr>
        <w:t>, vadovaudamasi Gairėmis teismų</w:t>
      </w:r>
      <w:r w:rsidRPr="00D7641D">
        <w:rPr>
          <w:rFonts w:eastAsia="Calibri"/>
        </w:rPr>
        <w:t xml:space="preserve"> vidinį bei išorinį administravimą vykdantiems subjektams</w:t>
      </w:r>
      <w:r w:rsidR="00CC79F4">
        <w:rPr>
          <w:rFonts w:eastAsia="Calibri"/>
        </w:rPr>
        <w:t xml:space="preserve"> (Nuostatų priedas)</w:t>
      </w:r>
      <w:r w:rsidRPr="00D7641D">
        <w:rPr>
          <w:rFonts w:eastAsia="Calibri"/>
        </w:rPr>
        <w:t xml:space="preserve"> ne vėliau kaip iki kiekvienų metų gruodžio 31 d. patvirtina esminius kriterijus, pagal kuriuos turi būti atliekami kitų metų planiniai kompleksiniai patikrinimai. Šis kriterijų sąrašas nėra baigtinis ir kiekvienas administravimo subjektas, priimdamas sprendimą dėl patikrinimo atlikimo, turi teisę nustatyti papildomus kriterijus.“</w:t>
      </w:r>
    </w:p>
    <w:p w:rsidR="00D7641D" w:rsidRPr="00D7641D" w:rsidRDefault="00D7641D" w:rsidP="00D7641D">
      <w:pPr>
        <w:tabs>
          <w:tab w:val="left" w:pos="993"/>
        </w:tabs>
        <w:ind w:firstLine="737"/>
        <w:jc w:val="both"/>
        <w:rPr>
          <w:rFonts w:eastAsia="TimesNewRomanPSMT"/>
        </w:rPr>
      </w:pPr>
      <w:r w:rsidRPr="00D7641D">
        <w:t xml:space="preserve">2. Pakeisti </w:t>
      </w:r>
      <w:r w:rsidRPr="00D7641D">
        <w:rPr>
          <w:rFonts w:eastAsia="TimesNewRomanPSMT"/>
        </w:rPr>
        <w:t>Administravimo teismuose nuostatų priedą:</w:t>
      </w:r>
    </w:p>
    <w:p w:rsidR="00D7641D" w:rsidRPr="00D7641D" w:rsidRDefault="00D7641D" w:rsidP="00D7641D">
      <w:pPr>
        <w:tabs>
          <w:tab w:val="left" w:pos="993"/>
        </w:tabs>
        <w:ind w:firstLine="737"/>
        <w:jc w:val="both"/>
      </w:pPr>
      <w:r w:rsidRPr="00D7641D">
        <w:rPr>
          <w:rFonts w:eastAsia="TimesNewRomanPSMT"/>
        </w:rPr>
        <w:t>2.1. pakeisti priedo</w:t>
      </w:r>
      <w:r w:rsidRPr="00D7641D">
        <w:t xml:space="preserve"> pavadinimą ir jį išdėstyti taip:</w:t>
      </w:r>
    </w:p>
    <w:p w:rsidR="00D7641D" w:rsidRPr="00D7641D" w:rsidRDefault="00D7641D" w:rsidP="00D7641D">
      <w:pPr>
        <w:tabs>
          <w:tab w:val="left" w:pos="993"/>
        </w:tabs>
        <w:ind w:firstLine="737"/>
        <w:jc w:val="both"/>
      </w:pPr>
      <w:r w:rsidRPr="00D7641D">
        <w:t>„</w:t>
      </w:r>
      <w:r w:rsidRPr="008842F0">
        <w:rPr>
          <w:rFonts w:eastAsia="TimesNewRomanPSMT"/>
          <w:b/>
        </w:rPr>
        <w:t xml:space="preserve">GAIRĖS </w:t>
      </w:r>
      <w:r w:rsidR="00691B84">
        <w:rPr>
          <w:rFonts w:eastAsia="TimesNewRomanPSMT"/>
          <w:b/>
        </w:rPr>
        <w:t>TEISMŲ</w:t>
      </w:r>
      <w:r w:rsidRPr="008842F0">
        <w:rPr>
          <w:rFonts w:eastAsia="TimesNewRomanPSMT"/>
          <w:b/>
        </w:rPr>
        <w:t xml:space="preserve"> VIDINĮ BEI IŠORINĮ ADMINISTRAVIMĄ VYKDANTIEMS SUBJEKTAMS</w:t>
      </w:r>
      <w:r w:rsidRPr="00D7641D">
        <w:t>“;</w:t>
      </w:r>
    </w:p>
    <w:p w:rsidR="00D7641D" w:rsidRPr="00D7641D" w:rsidRDefault="00D7641D" w:rsidP="00D7641D">
      <w:pPr>
        <w:tabs>
          <w:tab w:val="left" w:pos="993"/>
        </w:tabs>
        <w:ind w:firstLine="737"/>
        <w:jc w:val="both"/>
      </w:pPr>
      <w:r w:rsidRPr="00D7641D">
        <w:t xml:space="preserve">2.2. </w:t>
      </w:r>
      <w:r w:rsidRPr="00D7641D">
        <w:rPr>
          <w:rFonts w:eastAsia="TimesNewRomanPSMT"/>
        </w:rPr>
        <w:t>pakeisti priedo</w:t>
      </w:r>
      <w:r w:rsidRPr="00D7641D">
        <w:t xml:space="preserve"> pirmąją pastraipą ir ją išdėstyti taip:</w:t>
      </w:r>
    </w:p>
    <w:p w:rsidR="00D7641D" w:rsidRPr="00D7641D" w:rsidRDefault="00D7641D" w:rsidP="00D7641D">
      <w:pPr>
        <w:tabs>
          <w:tab w:val="left" w:pos="993"/>
        </w:tabs>
        <w:ind w:firstLine="737"/>
        <w:jc w:val="both"/>
      </w:pPr>
      <w:r w:rsidRPr="00D7641D">
        <w:t>„</w:t>
      </w:r>
      <w:r w:rsidRPr="00D7641D">
        <w:rPr>
          <w:rFonts w:eastAsia="TimesNewRomanPSMT"/>
        </w:rPr>
        <w:t>Gairės teismų</w:t>
      </w:r>
      <w:r w:rsidR="00B95566">
        <w:rPr>
          <w:rFonts w:eastAsia="TimesNewRomanPSMT"/>
        </w:rPr>
        <w:t xml:space="preserve"> </w:t>
      </w:r>
      <w:r w:rsidRPr="00D7641D">
        <w:rPr>
          <w:rFonts w:eastAsia="TimesNewRomanPSMT"/>
        </w:rPr>
        <w:t xml:space="preserve">vidinį bei išorinį administravimą vykdantiems subjektams – </w:t>
      </w:r>
      <w:r w:rsidRPr="00D7641D">
        <w:t>tai instrumentas, skirtas vidinio bei išorinio teismų administravimo funkcijoms, susijusioms su šių bylų nagrinėjimu, įgyvendinti.“</w:t>
      </w:r>
    </w:p>
    <w:p w:rsidR="00D7641D" w:rsidRPr="00D7641D" w:rsidRDefault="00D7641D" w:rsidP="00D7641D">
      <w:pPr>
        <w:tabs>
          <w:tab w:val="left" w:pos="993"/>
        </w:tabs>
        <w:ind w:firstLine="737"/>
        <w:jc w:val="both"/>
      </w:pPr>
      <w:r w:rsidRPr="00D7641D">
        <w:t xml:space="preserve">2.3. </w:t>
      </w:r>
      <w:r w:rsidRPr="00D7641D">
        <w:rPr>
          <w:rFonts w:eastAsia="TimesNewRomanPSMT"/>
        </w:rPr>
        <w:t>pakeisti priedo</w:t>
      </w:r>
      <w:r w:rsidRPr="00D7641D">
        <w:t xml:space="preserve"> III skyrių „G</w:t>
      </w:r>
      <w:r w:rsidRPr="00D7641D">
        <w:rPr>
          <w:rFonts w:eastAsia="TimesNewRomanPSMT"/>
        </w:rPr>
        <w:t>airės teismų, nagrinėjančių administracinių teisės pažeidimų bylas, vidinį bei išorinį administravimą vykdantiems subjektams“</w:t>
      </w:r>
      <w:r w:rsidRPr="00D7641D">
        <w:t xml:space="preserve"> ir jį išdėstyti taip:</w:t>
      </w:r>
    </w:p>
    <w:p w:rsidR="00D7641D" w:rsidRPr="00D7641D" w:rsidRDefault="00D7641D" w:rsidP="00D7641D">
      <w:pPr>
        <w:ind w:firstLine="737"/>
        <w:jc w:val="center"/>
        <w:rPr>
          <w:rFonts w:eastAsia="TimesNewRomanPSMT"/>
        </w:rPr>
      </w:pPr>
    </w:p>
    <w:p w:rsidR="00D7641D" w:rsidRPr="008842F0" w:rsidRDefault="00D7641D" w:rsidP="00D7641D">
      <w:pPr>
        <w:ind w:firstLine="737"/>
        <w:jc w:val="center"/>
        <w:rPr>
          <w:rFonts w:eastAsia="TimesNewRomanPSMT"/>
          <w:b/>
        </w:rPr>
      </w:pPr>
      <w:r w:rsidRPr="00D7641D">
        <w:rPr>
          <w:rFonts w:eastAsia="TimesNewRomanPSMT"/>
        </w:rPr>
        <w:t>„</w:t>
      </w:r>
      <w:r w:rsidRPr="008842F0">
        <w:rPr>
          <w:rFonts w:eastAsia="TimesNewRomanPSMT"/>
          <w:b/>
        </w:rPr>
        <w:t>III SKYRIUS</w:t>
      </w:r>
    </w:p>
    <w:p w:rsidR="00D7641D" w:rsidRPr="00D7641D" w:rsidRDefault="00D7641D" w:rsidP="00D7641D">
      <w:pPr>
        <w:ind w:firstLine="737"/>
        <w:jc w:val="center"/>
      </w:pPr>
      <w:r w:rsidRPr="008842F0">
        <w:rPr>
          <w:rFonts w:eastAsia="TimesNewRomanPSMT"/>
          <w:b/>
        </w:rPr>
        <w:t>GAIRĖS TEISMŲ, NAGRINĖJANČIŲ ADMINISTRACINIŲ TEISĖS PAŽEIDIMŲ IR ADMINISTRACINIŲ NUSIŽENGIMŲ BYLAS, VIDINĮ BEI IŠORINĮ ADMINISTRAVIMĄ VYKDANTIEMS SUBJEKTAMS</w:t>
      </w:r>
    </w:p>
    <w:p w:rsidR="00D7641D" w:rsidRPr="00D7641D" w:rsidRDefault="00D7641D" w:rsidP="00D7641D">
      <w:pPr>
        <w:ind w:firstLine="737"/>
        <w:jc w:val="both"/>
      </w:pPr>
    </w:p>
    <w:p w:rsidR="00D7641D" w:rsidRPr="00D7641D" w:rsidRDefault="00D7641D" w:rsidP="00D7641D">
      <w:pPr>
        <w:ind w:firstLine="737"/>
        <w:jc w:val="both"/>
      </w:pPr>
      <w:r w:rsidRPr="00D7641D">
        <w:t xml:space="preserve">1. </w:t>
      </w:r>
      <w:r w:rsidRPr="008842F0">
        <w:rPr>
          <w:rFonts w:eastAsia="TimesNewRomanPSMT"/>
          <w:b/>
        </w:rPr>
        <w:t>Administracinių teisės pažeidimų</w:t>
      </w:r>
      <w:r w:rsidRPr="008842F0">
        <w:rPr>
          <w:b/>
        </w:rPr>
        <w:t xml:space="preserve"> ir administracinių nusižengimų bylų administracinės priežiūros apimtis, vykdymo būdai ir priemonės</w:t>
      </w:r>
    </w:p>
    <w:p w:rsidR="00D7641D" w:rsidRPr="00D7641D" w:rsidRDefault="00D7641D" w:rsidP="00D7641D">
      <w:pPr>
        <w:ind w:firstLine="737"/>
        <w:jc w:val="both"/>
      </w:pPr>
    </w:p>
    <w:p w:rsidR="00D7641D" w:rsidRPr="00D7641D" w:rsidRDefault="00D7641D" w:rsidP="00D7641D">
      <w:pPr>
        <w:ind w:firstLine="737"/>
        <w:jc w:val="both"/>
      </w:pPr>
      <w:r w:rsidRPr="00D7641D">
        <w:t xml:space="preserve">Siekiant sumažinti galimą neigiamą atsitiktinumo faktoriaus įtaką, rekomenduojama </w:t>
      </w:r>
      <w:r w:rsidRPr="00D7641D">
        <w:rPr>
          <w:rFonts w:eastAsia="TimesNewRomanPSMT"/>
        </w:rPr>
        <w:t>administracinių teisės pažeidimų (toliau – ATP)</w:t>
      </w:r>
      <w:r w:rsidR="00691B84">
        <w:t xml:space="preserve"> i</w:t>
      </w:r>
      <w:r w:rsidRPr="00D7641D">
        <w:t>r administracinių nusižengimų</w:t>
      </w:r>
      <w:r w:rsidRPr="00D7641D">
        <w:rPr>
          <w:rFonts w:eastAsia="TimesNewRomanPSMT"/>
        </w:rPr>
        <w:t xml:space="preserve"> (toliau – AN)</w:t>
      </w:r>
      <w:r w:rsidRPr="00D7641D">
        <w:t xml:space="preserve"> bylų priežiūrą vykdantiems subjektams, apibrėžiant tikrinimo apimtį, naudotis statistiniais </w:t>
      </w:r>
      <w:r w:rsidRPr="00D7641D">
        <w:lastRenderedPageBreak/>
        <w:t>kontroliniais pjūviais</w:t>
      </w:r>
      <w:r w:rsidRPr="00D7641D">
        <w:rPr>
          <w:vertAlign w:val="superscript"/>
        </w:rPr>
        <w:footnoteReference w:id="1"/>
      </w:r>
      <w:r w:rsidRPr="00D7641D">
        <w:t xml:space="preserve">, t. y. tikrintinas </w:t>
      </w:r>
      <w:r w:rsidR="00691B84">
        <w:rPr>
          <w:rFonts w:eastAsia="TimesNewRomanPSMT"/>
        </w:rPr>
        <w:t>ATP i</w:t>
      </w:r>
      <w:r w:rsidRPr="00D7641D">
        <w:rPr>
          <w:rFonts w:eastAsia="TimesNewRomanPSMT"/>
        </w:rPr>
        <w:t>r AN</w:t>
      </w:r>
      <w:r w:rsidRPr="00D7641D">
        <w:t xml:space="preserve"> bylas atsirinkti iš pagal tam tikrus parametrus sugeneruotų sąrašų:</w:t>
      </w:r>
    </w:p>
    <w:p w:rsidR="00D7641D" w:rsidRPr="00D7641D" w:rsidRDefault="00D7641D" w:rsidP="00D7641D">
      <w:pPr>
        <w:tabs>
          <w:tab w:val="left" w:pos="1260"/>
        </w:tabs>
        <w:ind w:firstLine="737"/>
        <w:jc w:val="both"/>
      </w:pPr>
      <w:r w:rsidRPr="00D7641D">
        <w:t>1.1. Bylos (galimai už tam tikrą konkretų laikotarpį), kuriose įvykiai pagal LITEKO iki bylos išnagrinėjimo įvykio įvyko rečiau nei kas 6 mėnesius (darbo organizavimo trūkumų nustatymui ir bylų nagrinėjimo vilkinimo atvejų išaiškinimui);</w:t>
      </w:r>
    </w:p>
    <w:p w:rsidR="00D7641D" w:rsidRPr="00D7641D" w:rsidRDefault="00D7641D" w:rsidP="00D7641D">
      <w:pPr>
        <w:tabs>
          <w:tab w:val="left" w:pos="1260"/>
        </w:tabs>
        <w:ind w:firstLine="737"/>
        <w:jc w:val="both"/>
      </w:pPr>
      <w:r w:rsidRPr="00D7641D">
        <w:t>1.2. Bylos (galimai už tam tikrą konkretų laikotarpį), kurių išnagrinėjimo terminas (skaičiuojant nuo bylos gavimo iki išnagrinėjimo rezultato įvedimo) buvo ilgesnis nei 12 mėnesių (darbo organizavimo trūkumų nustatymui ir bylų nagrinėjimo vilkinimo atvejų išaiškinimui);</w:t>
      </w:r>
    </w:p>
    <w:p w:rsidR="00D7641D" w:rsidRPr="00D7641D" w:rsidRDefault="00D7641D" w:rsidP="00D7641D">
      <w:pPr>
        <w:tabs>
          <w:tab w:val="left" w:pos="1260"/>
        </w:tabs>
        <w:ind w:firstLine="737"/>
        <w:jc w:val="both"/>
      </w:pPr>
      <w:r w:rsidRPr="00D7641D">
        <w:t>1.3. Bylos, gautos daugiau nei prieš vienerius metus (nurodant konkrečius metus) ir kurios dar neišnagrinėtos tikrinimo metu (galimo bylų nagrinėjimo vilkinimo atvejų išaiškinimui);</w:t>
      </w:r>
    </w:p>
    <w:p w:rsidR="00D7641D" w:rsidRPr="00D7641D" w:rsidRDefault="00D7641D" w:rsidP="00D7641D">
      <w:pPr>
        <w:tabs>
          <w:tab w:val="left" w:pos="1260"/>
        </w:tabs>
        <w:ind w:firstLine="737"/>
        <w:jc w:val="both"/>
      </w:pPr>
      <w:r w:rsidRPr="00D7641D">
        <w:t>1.4. Bylos, kuriose nuo įvykio rezultato „išnagrinėta“ iki pirmo įvykio rezultato „išsiųsti nuorašai“ praėjo daugiau nei 3 dienos (nuorašų išsiuntimo terminų laikymasis);</w:t>
      </w:r>
    </w:p>
    <w:p w:rsidR="00D7641D" w:rsidRPr="00D7641D" w:rsidRDefault="00D7641D" w:rsidP="00D7641D">
      <w:pPr>
        <w:tabs>
          <w:tab w:val="left" w:pos="1260"/>
        </w:tabs>
        <w:ind w:firstLine="737"/>
        <w:jc w:val="both"/>
      </w:pPr>
      <w:r w:rsidRPr="00D7641D">
        <w:t>1.5. Bylos, kuriose procesas nutrauktas (ypatingas dėmesys skirtinas visoms byloms, nutrauktoms dėl senaties termino pasibaigimo);</w:t>
      </w:r>
    </w:p>
    <w:p w:rsidR="00D7641D" w:rsidRPr="00D7641D" w:rsidRDefault="00D7641D" w:rsidP="00D7641D">
      <w:pPr>
        <w:tabs>
          <w:tab w:val="left" w:pos="1260"/>
        </w:tabs>
        <w:ind w:firstLine="737"/>
        <w:jc w:val="both"/>
      </w:pPr>
      <w:r w:rsidRPr="00D7641D">
        <w:t>1.6. Bylos, kurios yra išnagrinėtos, bet nėra perduotos į raštinę per įstatyme ar vidaus administravimo teisės akte nustatytą terminą – nėra fiksuotas įvykis „byla perduota į raštinę“ (darbo organizavimo trūkumams nustatyti);</w:t>
      </w:r>
    </w:p>
    <w:p w:rsidR="00D7641D" w:rsidRPr="00D7641D" w:rsidRDefault="00D7641D" w:rsidP="00D7641D">
      <w:pPr>
        <w:tabs>
          <w:tab w:val="left" w:pos="1260"/>
        </w:tabs>
        <w:ind w:firstLine="737"/>
        <w:jc w:val="both"/>
      </w:pPr>
      <w:r w:rsidRPr="00D7641D">
        <w:t>1.7. Bylos, kuriose nėra nurodytos paskirtų administracinių nuobaudų rūšys;</w:t>
      </w:r>
    </w:p>
    <w:p w:rsidR="00D7641D" w:rsidRPr="00D7641D" w:rsidRDefault="00D7641D" w:rsidP="00D7641D">
      <w:pPr>
        <w:tabs>
          <w:tab w:val="left" w:pos="1260"/>
        </w:tabs>
        <w:ind w:firstLine="737"/>
        <w:jc w:val="both"/>
      </w:pPr>
      <w:r w:rsidRPr="00D7641D">
        <w:t>1.8. Bylos, atrinktos pagal kitus statistinius kontrolinius pjūvius (pagal konkretaus teismo poreikius ir situaciją).</w:t>
      </w:r>
    </w:p>
    <w:p w:rsidR="00D7641D" w:rsidRPr="00D7641D" w:rsidRDefault="00D7641D" w:rsidP="00D7641D">
      <w:pPr>
        <w:ind w:firstLine="737"/>
        <w:jc w:val="both"/>
      </w:pPr>
      <w:r w:rsidRPr="00D7641D">
        <w:t>Siekiant aiškumo ir objektyvumo vidaus teisės aktuose rekomenduojama aiškiai apibrėžti tikrinimui pasirinktų bylų atranko</w:t>
      </w:r>
      <w:r w:rsidR="00691B84">
        <w:t>s kriterijus bei nustatyti ATP i</w:t>
      </w:r>
      <w:r w:rsidRPr="00D7641D">
        <w:t xml:space="preserve">r AN bylų administracinės patikros periodiškumą (numatant, pvz., kad svarbiausių statistinių kontrolinių pjūvių duomenys ar pagal kitus teismo nustatytus kriterijus atrinktos ATP </w:t>
      </w:r>
      <w:r w:rsidR="00691B84">
        <w:t>i</w:t>
      </w:r>
      <w:r w:rsidRPr="00D7641D">
        <w:t>r AN bylos tikrinamos ne rečiau kaip kas 6 mėnesius; tai ypatingai aktualu vidinio administravimo subjektams).</w:t>
      </w:r>
    </w:p>
    <w:p w:rsidR="00D7641D" w:rsidRPr="00D7641D" w:rsidRDefault="00D7641D" w:rsidP="00D7641D">
      <w:pPr>
        <w:ind w:firstLine="737"/>
        <w:jc w:val="both"/>
      </w:pPr>
    </w:p>
    <w:p w:rsidR="00D7641D" w:rsidRPr="008842F0" w:rsidRDefault="00D7641D" w:rsidP="00D7641D">
      <w:pPr>
        <w:ind w:firstLine="737"/>
        <w:jc w:val="both"/>
        <w:rPr>
          <w:b/>
        </w:rPr>
      </w:pPr>
      <w:r w:rsidRPr="00D7641D">
        <w:t xml:space="preserve">2. </w:t>
      </w:r>
      <w:r w:rsidRPr="008842F0">
        <w:rPr>
          <w:b/>
        </w:rPr>
        <w:t xml:space="preserve">Bylų paruošimo teisminiam nagrinėjimui, nagrinėjimo kokybė bei proceso operatyvumas </w:t>
      </w:r>
    </w:p>
    <w:p w:rsidR="00D7641D" w:rsidRPr="00D7641D" w:rsidRDefault="00D7641D" w:rsidP="00D7641D">
      <w:pPr>
        <w:ind w:firstLine="737"/>
        <w:jc w:val="both"/>
      </w:pPr>
    </w:p>
    <w:p w:rsidR="00D7641D" w:rsidRPr="00D7641D" w:rsidRDefault="00D7641D" w:rsidP="00D7641D">
      <w:pPr>
        <w:ind w:firstLine="737"/>
        <w:jc w:val="both"/>
      </w:pPr>
      <w:r w:rsidRPr="00D7641D">
        <w:t xml:space="preserve">Tikrinant, kaip laikomasi ATP </w:t>
      </w:r>
      <w:r w:rsidR="00691B84">
        <w:t>i</w:t>
      </w:r>
      <w:r w:rsidRPr="00D7641D">
        <w:t>r AN bylų nagrinėjimo kokybės ir proceso operatyvumo reikalavimų, rekomenduojama atkreipti dėmesį į tokius aspektus:</w:t>
      </w:r>
    </w:p>
    <w:p w:rsidR="00D7641D" w:rsidRPr="00D7641D" w:rsidRDefault="00D7641D" w:rsidP="00D7641D">
      <w:pPr>
        <w:tabs>
          <w:tab w:val="left" w:pos="1260"/>
        </w:tabs>
        <w:ind w:firstLine="737"/>
        <w:jc w:val="both"/>
        <w:rPr>
          <w:iCs/>
        </w:rPr>
      </w:pPr>
      <w:r w:rsidRPr="00D7641D">
        <w:rPr>
          <w:rFonts w:eastAsia="TimesNewRomanPSMT"/>
          <w:iCs/>
        </w:rPr>
        <w:t xml:space="preserve">2.1. </w:t>
      </w:r>
      <w:r w:rsidRPr="00D7641D">
        <w:rPr>
          <w:rFonts w:eastAsia="TimesNewRomanPSMT"/>
        </w:rPr>
        <w:t>Dokumentų susiuvimo bylose tvarka;</w:t>
      </w:r>
    </w:p>
    <w:p w:rsidR="00D7641D" w:rsidRPr="00D7641D" w:rsidRDefault="00D7641D" w:rsidP="00D7641D">
      <w:pPr>
        <w:tabs>
          <w:tab w:val="left" w:pos="1260"/>
        </w:tabs>
        <w:ind w:firstLine="737"/>
        <w:jc w:val="both"/>
        <w:rPr>
          <w:iCs/>
        </w:rPr>
      </w:pPr>
      <w:r w:rsidRPr="00D7641D">
        <w:rPr>
          <w:rFonts w:eastAsia="TimesNewRomanPSMT"/>
          <w:iCs/>
        </w:rPr>
        <w:t xml:space="preserve">2.2. </w:t>
      </w:r>
      <w:r w:rsidRPr="00D7641D">
        <w:rPr>
          <w:iCs/>
        </w:rPr>
        <w:t>Bylų informacinių lapų pildymas;</w:t>
      </w:r>
    </w:p>
    <w:p w:rsidR="00D7641D" w:rsidRPr="00D7641D" w:rsidRDefault="00D7641D" w:rsidP="00D7641D">
      <w:pPr>
        <w:tabs>
          <w:tab w:val="left" w:pos="1260"/>
        </w:tabs>
        <w:ind w:firstLine="737"/>
        <w:jc w:val="both"/>
        <w:rPr>
          <w:iCs/>
        </w:rPr>
      </w:pPr>
      <w:r w:rsidRPr="00D7641D">
        <w:rPr>
          <w:rFonts w:eastAsia="TimesNewRomanPSMT"/>
          <w:iCs/>
        </w:rPr>
        <w:t xml:space="preserve">2.3. </w:t>
      </w:r>
      <w:r w:rsidRPr="00D7641D">
        <w:t>Informavimas apie teismo posėdžius;</w:t>
      </w:r>
    </w:p>
    <w:p w:rsidR="00D7641D" w:rsidRPr="00D7641D" w:rsidRDefault="00D7641D" w:rsidP="00D7641D">
      <w:pPr>
        <w:tabs>
          <w:tab w:val="left" w:pos="1260"/>
        </w:tabs>
        <w:ind w:firstLine="737"/>
        <w:jc w:val="both"/>
        <w:rPr>
          <w:iCs/>
        </w:rPr>
      </w:pPr>
      <w:r w:rsidRPr="00D7641D">
        <w:rPr>
          <w:rFonts w:eastAsia="TimesNewRomanPSMT"/>
          <w:iCs/>
        </w:rPr>
        <w:t xml:space="preserve">2.4. </w:t>
      </w:r>
      <w:r w:rsidRPr="00D7641D">
        <w:t>ATP ar AN bylų nagrinėjimo terminų laikymasis;</w:t>
      </w:r>
    </w:p>
    <w:p w:rsidR="00D7641D" w:rsidRPr="00D7641D" w:rsidRDefault="00D7641D" w:rsidP="00D7641D">
      <w:pPr>
        <w:ind w:firstLine="737"/>
        <w:jc w:val="both"/>
        <w:rPr>
          <w:iCs/>
        </w:rPr>
      </w:pPr>
      <w:r w:rsidRPr="00D7641D">
        <w:rPr>
          <w:rFonts w:eastAsia="TimesNewRomanPSMT"/>
          <w:iCs/>
        </w:rPr>
        <w:t xml:space="preserve">2.5. </w:t>
      </w:r>
      <w:r w:rsidRPr="00D7641D">
        <w:t xml:space="preserve">Naudojimasis Lietuvos Respublikos administracinių teisės pažeidimų kodekso (toliau – ATPK) 282 straipsnio 3 dalyje ar Lietuvos Respublikos administracinių nusižengimų kodekso (toliau – ANK) </w:t>
      </w:r>
      <w:r w:rsidRPr="00D7641D">
        <w:rPr>
          <w:bCs/>
        </w:rPr>
        <w:t xml:space="preserve">631 straipsnio 2 dalyje </w:t>
      </w:r>
      <w:r w:rsidRPr="00D7641D">
        <w:t>numatyta galimybe pratęsti bylų nagrinėjimo terminus;</w:t>
      </w:r>
    </w:p>
    <w:p w:rsidR="00D7641D" w:rsidRPr="00D7641D" w:rsidRDefault="00D7641D" w:rsidP="00D7641D">
      <w:pPr>
        <w:ind w:firstLine="737"/>
        <w:jc w:val="both"/>
        <w:rPr>
          <w:iCs/>
        </w:rPr>
      </w:pPr>
      <w:r w:rsidRPr="00D7641D">
        <w:rPr>
          <w:rFonts w:eastAsia="TimesNewRomanPSMT"/>
          <w:iCs/>
        </w:rPr>
        <w:t xml:space="preserve">2.6. </w:t>
      </w:r>
      <w:r w:rsidRPr="00D7641D">
        <w:t>ATPK 35 ar ANK 39 straipsnyje įtvirtintų administracinės nuobaudos skyrimo terminų laikymasis;</w:t>
      </w:r>
    </w:p>
    <w:p w:rsidR="00D7641D" w:rsidRPr="00D7641D" w:rsidRDefault="00D7641D" w:rsidP="00D7641D">
      <w:pPr>
        <w:ind w:firstLine="737"/>
        <w:jc w:val="both"/>
        <w:rPr>
          <w:iCs/>
        </w:rPr>
      </w:pPr>
      <w:r w:rsidRPr="00D7641D">
        <w:rPr>
          <w:rFonts w:eastAsia="TimesNewRomanPSMT"/>
          <w:iCs/>
        </w:rPr>
        <w:t xml:space="preserve">2.7. </w:t>
      </w:r>
      <w:r w:rsidRPr="00D7641D">
        <w:t>ATPK 35 straipsnyje ar ANK 39 straipsnyje įtvirtintų administracinės nuobaudos skyrimo terminų pratęsimo praktika;</w:t>
      </w:r>
    </w:p>
    <w:p w:rsidR="00D7641D" w:rsidRPr="00D7641D" w:rsidRDefault="00D7641D" w:rsidP="00D7641D">
      <w:pPr>
        <w:ind w:firstLine="737"/>
        <w:jc w:val="both"/>
        <w:rPr>
          <w:iCs/>
        </w:rPr>
      </w:pPr>
      <w:r w:rsidRPr="00D7641D">
        <w:rPr>
          <w:rFonts w:eastAsia="TimesNewRomanPSMT"/>
          <w:iCs/>
        </w:rPr>
        <w:t xml:space="preserve">2.8. </w:t>
      </w:r>
      <w:r w:rsidRPr="00D7641D">
        <w:t>Bylų, nutrauktų pasibaigus nuobaudos skyrimo terminui, priežasčių nustatymas;</w:t>
      </w:r>
    </w:p>
    <w:p w:rsidR="00D7641D" w:rsidRPr="00D7641D" w:rsidRDefault="00D7641D" w:rsidP="00D7641D">
      <w:pPr>
        <w:ind w:firstLine="737"/>
        <w:jc w:val="both"/>
        <w:rPr>
          <w:iCs/>
        </w:rPr>
      </w:pPr>
      <w:r w:rsidRPr="00D7641D">
        <w:rPr>
          <w:rFonts w:eastAsia="TimesNewRomanPSMT"/>
          <w:iCs/>
        </w:rPr>
        <w:lastRenderedPageBreak/>
        <w:t xml:space="preserve">2.9. </w:t>
      </w:r>
      <w:r w:rsidRPr="00D7641D">
        <w:t>Teisėjo darbo organizavimo (vilkinimo, aplaidumo) vertinimas bylose, kurių nagrinėjimas užsitęsė ilgiau negu 6 mėnesius;</w:t>
      </w:r>
    </w:p>
    <w:p w:rsidR="00D7641D" w:rsidRPr="00D7641D" w:rsidRDefault="00D7641D" w:rsidP="00D7641D">
      <w:pPr>
        <w:ind w:firstLine="737"/>
        <w:jc w:val="both"/>
        <w:rPr>
          <w:iCs/>
        </w:rPr>
      </w:pPr>
      <w:r w:rsidRPr="00D7641D">
        <w:rPr>
          <w:rFonts w:eastAsia="TimesNewRomanPSMT"/>
          <w:iCs/>
        </w:rPr>
        <w:t xml:space="preserve">2.10. </w:t>
      </w:r>
      <w:r w:rsidRPr="00D7641D">
        <w:t>ATPK 287 ar ANK 635 straipsnyje numatytų procesinių dokumentų surašymas;</w:t>
      </w:r>
    </w:p>
    <w:p w:rsidR="00D7641D" w:rsidRPr="00D7641D" w:rsidRDefault="00D7641D" w:rsidP="00D7641D">
      <w:pPr>
        <w:ind w:firstLine="737"/>
        <w:jc w:val="both"/>
        <w:rPr>
          <w:iCs/>
        </w:rPr>
      </w:pPr>
      <w:r w:rsidRPr="00D7641D">
        <w:rPr>
          <w:rFonts w:eastAsia="TimesNewRomanPSMT"/>
          <w:iCs/>
        </w:rPr>
        <w:t xml:space="preserve">2.11. </w:t>
      </w:r>
      <w:r w:rsidRPr="00D7641D">
        <w:t>Nutarimo (nutarties) kopijos (nuorašo) išsiuntimo (įteikimo) įstatymo nustatyta tvarka (visiems subjektams, ne tik administracinėn atsakomybėn patrauktam asmeniui, bet ir administracinį persekiojimą vykdančiai institucijai, institucijai, kurios pareigūnas atliko administracinio nusižengimo tyrimą, bei nukentėjusiajam (ATPK 288 ar ANK 637 straipsnis)) laikymasis;</w:t>
      </w:r>
    </w:p>
    <w:p w:rsidR="00D7641D" w:rsidRPr="00D7641D" w:rsidRDefault="00D7641D" w:rsidP="00D7641D">
      <w:pPr>
        <w:ind w:firstLine="737"/>
        <w:jc w:val="both"/>
        <w:rPr>
          <w:iCs/>
        </w:rPr>
      </w:pPr>
      <w:r w:rsidRPr="00D7641D">
        <w:rPr>
          <w:rFonts w:eastAsia="TimesNewRomanPSMT"/>
          <w:iCs/>
        </w:rPr>
        <w:t xml:space="preserve">2.12. </w:t>
      </w:r>
      <w:r w:rsidRPr="00D7641D">
        <w:t>Nutarimo (nutarties) ATP ar AN byloje išsiuntimo aukštesnės instancijos teismui, gavus apeliacinį skundą, terminų laikymasis (ATPK 292 ar ANK 649 straipsnis);</w:t>
      </w:r>
    </w:p>
    <w:p w:rsidR="00D7641D" w:rsidRPr="00D7641D" w:rsidRDefault="00D7641D" w:rsidP="00D7641D">
      <w:pPr>
        <w:ind w:firstLine="737"/>
        <w:jc w:val="both"/>
        <w:rPr>
          <w:iCs/>
        </w:rPr>
      </w:pPr>
      <w:r w:rsidRPr="00D7641D">
        <w:rPr>
          <w:rFonts w:eastAsia="TimesNewRomanPSMT"/>
          <w:iCs/>
        </w:rPr>
        <w:t xml:space="preserve">2.13. </w:t>
      </w:r>
      <w:r w:rsidRPr="00D7641D">
        <w:t>Nutarimų skirti administracinę nuobaudą vykdymo terminų laikymasis, nuobaudų vykdymo kontrolė (ATPK 308, 309 ar ANK 672, 673 straipsniai);</w:t>
      </w:r>
    </w:p>
    <w:p w:rsidR="00D7641D" w:rsidRPr="00D7641D" w:rsidRDefault="00D7641D" w:rsidP="00D7641D">
      <w:pPr>
        <w:ind w:firstLine="737"/>
        <w:jc w:val="both"/>
        <w:rPr>
          <w:iCs/>
        </w:rPr>
      </w:pPr>
      <w:r w:rsidRPr="00D7641D">
        <w:rPr>
          <w:rFonts w:eastAsia="TimesNewRomanPSMT"/>
          <w:iCs/>
        </w:rPr>
        <w:t xml:space="preserve">2.14. </w:t>
      </w:r>
      <w:r w:rsidRPr="00D7641D">
        <w:t>Bylų, kylančių iš vykdymo proceso, eigos kontrolė;</w:t>
      </w:r>
    </w:p>
    <w:p w:rsidR="00D7641D" w:rsidRPr="00D7641D" w:rsidRDefault="00D7641D" w:rsidP="00D7641D">
      <w:pPr>
        <w:ind w:firstLine="737"/>
        <w:jc w:val="both"/>
        <w:rPr>
          <w:iCs/>
        </w:rPr>
      </w:pPr>
      <w:r w:rsidRPr="00D7641D">
        <w:rPr>
          <w:rFonts w:eastAsia="TimesNewRomanPSMT"/>
          <w:iCs/>
        </w:rPr>
        <w:t xml:space="preserve">2.15. </w:t>
      </w:r>
      <w:r w:rsidRPr="00D7641D">
        <w:t>Sustabdytų ATP ar AN bylų eigos kontrolė;</w:t>
      </w:r>
    </w:p>
    <w:p w:rsidR="00D7641D" w:rsidRPr="00D7641D" w:rsidRDefault="00D7641D" w:rsidP="00D7641D">
      <w:pPr>
        <w:ind w:firstLine="737"/>
        <w:jc w:val="both"/>
        <w:rPr>
          <w:iCs/>
        </w:rPr>
      </w:pPr>
      <w:r w:rsidRPr="00D7641D">
        <w:rPr>
          <w:rFonts w:eastAsia="TimesNewRomanPSMT"/>
          <w:iCs/>
        </w:rPr>
        <w:t xml:space="preserve">2.16. </w:t>
      </w:r>
      <w:r w:rsidRPr="00D7641D">
        <w:t>Kiti aspektai.</w:t>
      </w:r>
    </w:p>
    <w:p w:rsidR="00D7641D" w:rsidRPr="00D7641D" w:rsidRDefault="00D7641D" w:rsidP="00D7641D">
      <w:pPr>
        <w:ind w:firstLine="737"/>
        <w:jc w:val="both"/>
      </w:pPr>
    </w:p>
    <w:p w:rsidR="00D7641D" w:rsidRPr="00D7641D" w:rsidRDefault="00D7641D" w:rsidP="00D7641D">
      <w:pPr>
        <w:ind w:firstLine="737"/>
        <w:jc w:val="both"/>
      </w:pPr>
      <w:r w:rsidRPr="00D7641D">
        <w:t xml:space="preserve">3. </w:t>
      </w:r>
      <w:r w:rsidRPr="008842F0">
        <w:rPr>
          <w:b/>
        </w:rPr>
        <w:t>ATP ar AN bylų nagrinėjimo organizavimas</w:t>
      </w:r>
      <w:r w:rsidRPr="00D7641D">
        <w:t xml:space="preserve"> </w:t>
      </w:r>
    </w:p>
    <w:p w:rsidR="00D7641D" w:rsidRPr="00D7641D" w:rsidRDefault="00D7641D" w:rsidP="00D7641D">
      <w:pPr>
        <w:ind w:firstLine="737"/>
        <w:jc w:val="both"/>
      </w:pPr>
    </w:p>
    <w:p w:rsidR="00D7641D" w:rsidRPr="00D7641D" w:rsidRDefault="00D7641D" w:rsidP="00D7641D">
      <w:pPr>
        <w:ind w:firstLine="737"/>
        <w:jc w:val="both"/>
      </w:pPr>
      <w:r w:rsidRPr="00D7641D">
        <w:t>Vertinant, ar ATP ar AN bylų nagrinėjimas teisme yra organizuojamas tinkamai, rekomenduojama atkreipti dėmesį į tokius aspektus:</w:t>
      </w:r>
    </w:p>
    <w:p w:rsidR="00D7641D" w:rsidRPr="00D7641D" w:rsidRDefault="00D7641D" w:rsidP="00D7641D">
      <w:pPr>
        <w:tabs>
          <w:tab w:val="left" w:pos="1260"/>
        </w:tabs>
        <w:ind w:firstLine="737"/>
        <w:jc w:val="both"/>
      </w:pPr>
      <w:r w:rsidRPr="00D7641D">
        <w:t>3.1. Teismo administracijos pareigūnų pasiskirstymas funkcijomis vidinio administravimo srityje tiek, kiek tai susiję su ATP ar AN bylų nagrinėjimo organizavimu. Šių funkcijų atlikimo kontrolės sistema;</w:t>
      </w:r>
    </w:p>
    <w:p w:rsidR="00D7641D" w:rsidRPr="00D7641D" w:rsidRDefault="00D7641D" w:rsidP="00D7641D">
      <w:pPr>
        <w:tabs>
          <w:tab w:val="left" w:pos="1260"/>
        </w:tabs>
        <w:ind w:firstLine="737"/>
        <w:jc w:val="both"/>
      </w:pPr>
      <w:r w:rsidRPr="00D7641D">
        <w:t>3.2. Funkcijų, susijusių su ATP ar AN bylomis apibrėžimas teismo valstybės tarnautojų ir darbuotojų, dirbančių pagal darbo sutartis, pareigybių aprašymuose;</w:t>
      </w:r>
    </w:p>
    <w:p w:rsidR="00D7641D" w:rsidRPr="00D7641D" w:rsidRDefault="00D7641D" w:rsidP="00D7641D">
      <w:pPr>
        <w:tabs>
          <w:tab w:val="left" w:pos="1260"/>
        </w:tabs>
        <w:ind w:firstLine="737"/>
        <w:jc w:val="both"/>
      </w:pPr>
      <w:r w:rsidRPr="00D7641D">
        <w:t>3.3. ATP ar AN bylų bei dokumentų ATP ar AN bylose „judėjimo“ teisme tvarka, jos reglamentavimas;</w:t>
      </w:r>
    </w:p>
    <w:p w:rsidR="00D7641D" w:rsidRPr="00D7641D" w:rsidRDefault="00D7641D" w:rsidP="00D7641D">
      <w:pPr>
        <w:tabs>
          <w:tab w:val="left" w:pos="1260"/>
        </w:tabs>
        <w:ind w:firstLine="737"/>
        <w:jc w:val="both"/>
      </w:pPr>
      <w:r w:rsidRPr="00D7641D">
        <w:t xml:space="preserve">3.4. Asmenų aptarnavimo teisme tvarkos ATP ar AN bylų nagrinėjimo klausimais reglamentavimas, jos laikymasis; </w:t>
      </w:r>
    </w:p>
    <w:p w:rsidR="00D7641D" w:rsidRPr="00D7641D" w:rsidRDefault="00D7641D" w:rsidP="00D7641D">
      <w:pPr>
        <w:tabs>
          <w:tab w:val="left" w:pos="1260"/>
        </w:tabs>
        <w:ind w:firstLine="737"/>
        <w:jc w:val="both"/>
      </w:pPr>
      <w:r w:rsidRPr="00D7641D">
        <w:t>3.5. Atsakymų į asmenų skundus dėl teisėjų, nagrinėjančių ATP ar AN bylas, neprocesinių veiksmų, nesusijusių su teisingumo vykdymu, bei dėl teismo personalo veiksmų savalaikiškumas ir išsamumas;</w:t>
      </w:r>
    </w:p>
    <w:p w:rsidR="00D7641D" w:rsidRPr="00D7641D" w:rsidRDefault="00D7641D" w:rsidP="00D7641D">
      <w:pPr>
        <w:tabs>
          <w:tab w:val="left" w:pos="1260"/>
        </w:tabs>
        <w:ind w:firstLine="737"/>
        <w:jc w:val="both"/>
      </w:pPr>
      <w:r w:rsidRPr="00D7641D">
        <w:t>3.6. Administracinės veiklos priežiūros planuose numatytos priemonės, susijusios su ATP ar AN bylomis, jų vykdymas;</w:t>
      </w:r>
    </w:p>
    <w:p w:rsidR="00D7641D" w:rsidRPr="00D7641D" w:rsidRDefault="00D7641D" w:rsidP="00D7641D">
      <w:pPr>
        <w:tabs>
          <w:tab w:val="left" w:pos="1260"/>
        </w:tabs>
        <w:ind w:firstLine="737"/>
        <w:jc w:val="both"/>
      </w:pPr>
      <w:r w:rsidRPr="00D7641D">
        <w:t>3.7. Administracinės veiklos kontrolės, siekiant užkirsti kelią ATP ar AN bylų išnagrinėjimo vilkinimui, efektyvumas;</w:t>
      </w:r>
    </w:p>
    <w:p w:rsidR="00D7641D" w:rsidRPr="00D7641D" w:rsidRDefault="00D7641D" w:rsidP="00D7641D">
      <w:pPr>
        <w:tabs>
          <w:tab w:val="center" w:pos="1260"/>
        </w:tabs>
        <w:ind w:firstLine="737"/>
        <w:jc w:val="both"/>
      </w:pPr>
      <w:r w:rsidRPr="00D7641D">
        <w:t>3.8. ATP ar AN bylų gavimo ir perdavimo teisėjams žurnalų (registrų) pildymas;</w:t>
      </w:r>
    </w:p>
    <w:p w:rsidR="00D7641D" w:rsidRPr="00D7641D" w:rsidRDefault="00D7641D" w:rsidP="00D7641D">
      <w:pPr>
        <w:tabs>
          <w:tab w:val="center" w:pos="1260"/>
        </w:tabs>
        <w:ind w:firstLine="737"/>
        <w:jc w:val="both"/>
      </w:pPr>
      <w:r w:rsidRPr="00D7641D">
        <w:t>3.9. ATP ar AN bylų paskirstymo tvarkos įvertinimas (ar nustatyta ATP ar AN bylų paskirstymo tvarka aiškiai apibrėžia objektyvius ir pagrįstus bylų neskyrimo konkretiems teisėjams ar bylų paskyrimo konkretiems teisėjams pagrindus, ar bylų skirstymo metu naudojantis funkcijomis, leidžiančiomis bylą paskirti konkrečiam teisėjui arba bylos neskirti konkrečiam teisėjui, nurodomi pagrindai atitinka įstatyme ar teismo nustatytoje tvarkoje nurodytus pagrindus);</w:t>
      </w:r>
    </w:p>
    <w:p w:rsidR="00D7641D" w:rsidRPr="00D7641D" w:rsidRDefault="00D7641D" w:rsidP="00D7641D">
      <w:pPr>
        <w:tabs>
          <w:tab w:val="center" w:pos="1260"/>
        </w:tabs>
        <w:ind w:firstLine="737"/>
        <w:jc w:val="both"/>
      </w:pPr>
      <w:r w:rsidRPr="00D7641D">
        <w:t>3.10. ATP ar AN bylų paskirstymo tvarkos laikymasis (ar bylas išnagrinėja tie teisėjai, kurie buvo paskirti naudojantis LITEKO bylų skirstymo moduliu, bylų paskirtų rankiniu būdu priežastys);</w:t>
      </w:r>
    </w:p>
    <w:p w:rsidR="00D7641D" w:rsidRPr="00D7641D" w:rsidRDefault="00D7641D" w:rsidP="00D7641D">
      <w:pPr>
        <w:tabs>
          <w:tab w:val="center" w:pos="1260"/>
        </w:tabs>
        <w:ind w:firstLine="737"/>
        <w:jc w:val="both"/>
      </w:pPr>
      <w:r w:rsidRPr="00D7641D">
        <w:t>3.11. Ankstesniuose patikrinimo aktuose nustatytų teismo veiklos, organizuojant ATP ar AN bylų nagrinėjimą, trūkumų šalinimas;</w:t>
      </w:r>
    </w:p>
    <w:p w:rsidR="00D7641D" w:rsidRPr="00D7641D" w:rsidRDefault="00D7641D" w:rsidP="00D7641D">
      <w:pPr>
        <w:tabs>
          <w:tab w:val="center" w:pos="1260"/>
        </w:tabs>
        <w:ind w:firstLine="737"/>
        <w:jc w:val="both"/>
      </w:pPr>
      <w:r w:rsidRPr="00D7641D">
        <w:t>3.12. Teismo ATP ar AN bylų nagrinėjimo vidinės administracinės priežiūros sistemos veikimas (skundų tikrinimas, esamų darbo organizavimo veiklos trūkumų iškėlimas, sprendimų dėl nesklandumų pašalinimo priėmimas);</w:t>
      </w:r>
    </w:p>
    <w:p w:rsidR="00D7641D" w:rsidRPr="00D7641D" w:rsidRDefault="00D7641D" w:rsidP="00D7641D">
      <w:pPr>
        <w:tabs>
          <w:tab w:val="center" w:pos="1260"/>
        </w:tabs>
        <w:ind w:firstLine="737"/>
        <w:jc w:val="both"/>
      </w:pPr>
      <w:r w:rsidRPr="00D7641D">
        <w:lastRenderedPageBreak/>
        <w:t xml:space="preserve">3.13. Teisėjo neeilinio veiklos patikrinimo klausimo iškėlimas, pastebėjus sistemingus ir/ar šiurkščius su ATP ar AN bylų nagrinėjimu susijusius teisėjo daromus pažeidimus, teisėjo drausminės atsakomybės taikymo klausimo iškėlimas. </w:t>
      </w:r>
    </w:p>
    <w:p w:rsidR="00D7641D" w:rsidRPr="00D7641D" w:rsidRDefault="00D7641D" w:rsidP="00D7641D">
      <w:pPr>
        <w:ind w:firstLine="737"/>
        <w:jc w:val="both"/>
      </w:pPr>
    </w:p>
    <w:p w:rsidR="00D7641D" w:rsidRPr="008842F0" w:rsidRDefault="00D7641D" w:rsidP="00D7641D">
      <w:pPr>
        <w:ind w:firstLine="737"/>
        <w:jc w:val="both"/>
        <w:rPr>
          <w:b/>
        </w:rPr>
      </w:pPr>
      <w:r w:rsidRPr="00D7641D">
        <w:t xml:space="preserve">4. </w:t>
      </w:r>
      <w:r w:rsidRPr="008842F0">
        <w:rPr>
          <w:b/>
        </w:rPr>
        <w:t>Darbas su teismų informacine sistema LITEKO</w:t>
      </w:r>
    </w:p>
    <w:p w:rsidR="00D7641D" w:rsidRPr="00D7641D" w:rsidRDefault="00D7641D" w:rsidP="00D7641D">
      <w:pPr>
        <w:ind w:firstLine="737"/>
        <w:jc w:val="both"/>
      </w:pPr>
    </w:p>
    <w:p w:rsidR="00D7641D" w:rsidRPr="00D7641D" w:rsidRDefault="00D7641D" w:rsidP="00D7641D">
      <w:pPr>
        <w:ind w:firstLine="737"/>
        <w:jc w:val="both"/>
      </w:pPr>
      <w:r w:rsidRPr="00D7641D">
        <w:t>Tikrinant, kaip laikomasi darbo su LITEKO sistema reikalavimų, rekomenduojama atkreipti dėmesį į tokius aspektus:</w:t>
      </w:r>
    </w:p>
    <w:p w:rsidR="00D7641D" w:rsidRPr="00D7641D" w:rsidRDefault="00D7641D" w:rsidP="00D7641D">
      <w:pPr>
        <w:tabs>
          <w:tab w:val="left" w:pos="1260"/>
        </w:tabs>
        <w:ind w:firstLine="737"/>
        <w:jc w:val="both"/>
      </w:pPr>
      <w:r w:rsidRPr="00D7641D">
        <w:t>4.1. Duomenų į LITEKO sistemą suvedimas, laikantis nustatytos tvarkos ir terminų;</w:t>
      </w:r>
    </w:p>
    <w:p w:rsidR="00D7641D" w:rsidRPr="00D7641D" w:rsidRDefault="00D7641D" w:rsidP="00D7641D">
      <w:pPr>
        <w:tabs>
          <w:tab w:val="left" w:pos="1260"/>
        </w:tabs>
        <w:ind w:firstLine="737"/>
        <w:jc w:val="both"/>
      </w:pPr>
      <w:r w:rsidRPr="00D7641D">
        <w:t>4.2. Teismo darbuotojams priskirtų funkcijų, susijusių su duomenų į LITEKO įvedimu apibrėžimas teismo vidaus dokumentuose (darbo su LITEKO tvarkoje, kituose teismo vidaus dokumentuose ar pareigybių aprašymuose);</w:t>
      </w:r>
    </w:p>
    <w:p w:rsidR="00D7641D" w:rsidRPr="00D7641D" w:rsidRDefault="00D7641D" w:rsidP="00D7641D">
      <w:pPr>
        <w:tabs>
          <w:tab w:val="left" w:pos="1260"/>
        </w:tabs>
        <w:ind w:firstLine="737"/>
        <w:jc w:val="both"/>
      </w:pPr>
      <w:r w:rsidRPr="00D7641D">
        <w:t>4.3. Nustatytos tvarkos ir terminų laikymasis parengiant ir į LITEKO sistemą perkeliant viešai skelbtinų procesinių sprendimų versijas;</w:t>
      </w:r>
    </w:p>
    <w:p w:rsidR="00D7641D" w:rsidRPr="00D7641D" w:rsidRDefault="00D7641D" w:rsidP="00D7641D">
      <w:pPr>
        <w:tabs>
          <w:tab w:val="left" w:pos="1260"/>
        </w:tabs>
        <w:ind w:firstLine="737"/>
        <w:jc w:val="both"/>
      </w:pPr>
      <w:r w:rsidRPr="00D7641D">
        <w:t>4.4. Savalaikio dokumentų perkėlimo į LITEKO kontrolės reglamentavimas ir įgyvendinimas;</w:t>
      </w:r>
    </w:p>
    <w:p w:rsidR="00D7641D" w:rsidRPr="00D7641D" w:rsidRDefault="00D7641D" w:rsidP="00D7641D">
      <w:pPr>
        <w:tabs>
          <w:tab w:val="left" w:pos="1260"/>
        </w:tabs>
        <w:ind w:firstLine="737"/>
        <w:jc w:val="both"/>
      </w:pPr>
      <w:r w:rsidRPr="00D7641D">
        <w:t>4.5. Bylų ir procesinių sprendimų klasifikatorių LITEKO sistemoje pildymo tinkamumas.“</w:t>
      </w:r>
    </w:p>
    <w:p w:rsidR="00D7641D" w:rsidRPr="00D7641D" w:rsidRDefault="00D7641D" w:rsidP="00D7641D">
      <w:pPr>
        <w:pStyle w:val="Sraopastraipa"/>
        <w:numPr>
          <w:ilvl w:val="0"/>
          <w:numId w:val="1"/>
        </w:numPr>
        <w:tabs>
          <w:tab w:val="left" w:pos="1134"/>
        </w:tabs>
        <w:suppressAutoHyphens/>
        <w:spacing w:line="360" w:lineRule="auto"/>
        <w:jc w:val="both"/>
      </w:pPr>
      <w:r w:rsidRPr="00D7641D">
        <w:t>Nustatyti, kad šis nutarimas įsigalioja nuo 2017 m. sausio 1 d.</w:t>
      </w:r>
    </w:p>
    <w:p w:rsidR="00D7641D" w:rsidRPr="00B515A3" w:rsidRDefault="00D7641D" w:rsidP="00D7641D">
      <w:pPr>
        <w:tabs>
          <w:tab w:val="left" w:pos="1260"/>
        </w:tabs>
        <w:ind w:firstLine="737"/>
        <w:jc w:val="both"/>
      </w:pPr>
    </w:p>
    <w:p w:rsidR="00D7641D" w:rsidRDefault="00D7641D" w:rsidP="00D7641D">
      <w:pPr>
        <w:tabs>
          <w:tab w:val="left" w:pos="993"/>
        </w:tabs>
        <w:ind w:firstLine="737"/>
        <w:jc w:val="both"/>
      </w:pPr>
    </w:p>
    <w:p w:rsidR="00D7641D" w:rsidRDefault="00D7641D" w:rsidP="00D7641D">
      <w:pPr>
        <w:tabs>
          <w:tab w:val="left" w:pos="993"/>
        </w:tabs>
        <w:ind w:firstLine="737"/>
        <w:jc w:val="both"/>
      </w:pPr>
    </w:p>
    <w:p w:rsidR="00D7641D" w:rsidRDefault="00D7641D" w:rsidP="00D7641D">
      <w:pPr>
        <w:tabs>
          <w:tab w:val="left" w:pos="993"/>
        </w:tabs>
        <w:ind w:firstLine="737"/>
        <w:jc w:val="both"/>
      </w:pPr>
    </w:p>
    <w:tbl>
      <w:tblPr>
        <w:tblW w:w="9795" w:type="dxa"/>
        <w:tblLayout w:type="fixed"/>
        <w:tblLook w:val="04A0"/>
      </w:tblPr>
      <w:tblGrid>
        <w:gridCol w:w="7306"/>
        <w:gridCol w:w="2489"/>
      </w:tblGrid>
      <w:tr w:rsidR="005619FE" w:rsidTr="005619FE">
        <w:tc>
          <w:tcPr>
            <w:tcW w:w="7308" w:type="dxa"/>
          </w:tcPr>
          <w:p w:rsidR="005619FE" w:rsidRDefault="005619FE">
            <w:pPr>
              <w:spacing w:line="256" w:lineRule="auto"/>
              <w:rPr>
                <w:szCs w:val="20"/>
              </w:rPr>
            </w:pPr>
            <w:r>
              <w:t>Pirmininkas</w:t>
            </w:r>
          </w:p>
          <w:p w:rsidR="005619FE" w:rsidRDefault="005619FE">
            <w:pPr>
              <w:spacing w:line="256" w:lineRule="auto"/>
            </w:pPr>
          </w:p>
        </w:tc>
        <w:tc>
          <w:tcPr>
            <w:tcW w:w="2490" w:type="dxa"/>
            <w:hideMark/>
          </w:tcPr>
          <w:p w:rsidR="005619FE" w:rsidRDefault="005619FE">
            <w:pPr>
              <w:spacing w:line="256" w:lineRule="auto"/>
            </w:pPr>
            <w:r>
              <w:t xml:space="preserve">Rimvydas Norkus    </w:t>
            </w:r>
          </w:p>
        </w:tc>
      </w:tr>
      <w:tr w:rsidR="005619FE" w:rsidTr="005619FE">
        <w:tc>
          <w:tcPr>
            <w:tcW w:w="7308" w:type="dxa"/>
          </w:tcPr>
          <w:p w:rsidR="005619FE" w:rsidRDefault="005619FE">
            <w:pPr>
              <w:spacing w:line="256" w:lineRule="auto"/>
            </w:pPr>
          </w:p>
        </w:tc>
        <w:tc>
          <w:tcPr>
            <w:tcW w:w="2490" w:type="dxa"/>
            <w:hideMark/>
          </w:tcPr>
          <w:p w:rsidR="005619FE" w:rsidRDefault="005619FE">
            <w:pPr>
              <w:spacing w:line="256" w:lineRule="auto"/>
              <w:rPr>
                <w:rFonts w:asciiTheme="minorHAnsi" w:eastAsiaTheme="minorHAnsi" w:hAnsiTheme="minorHAnsi"/>
              </w:rPr>
            </w:pPr>
          </w:p>
        </w:tc>
      </w:tr>
      <w:tr w:rsidR="005619FE" w:rsidTr="005619FE">
        <w:tc>
          <w:tcPr>
            <w:tcW w:w="7308" w:type="dxa"/>
            <w:hideMark/>
          </w:tcPr>
          <w:p w:rsidR="005619FE" w:rsidRDefault="005619FE">
            <w:pPr>
              <w:spacing w:line="256" w:lineRule="auto"/>
            </w:pPr>
            <w:r>
              <w:t>Sekretorius</w:t>
            </w:r>
          </w:p>
        </w:tc>
        <w:tc>
          <w:tcPr>
            <w:tcW w:w="2490" w:type="dxa"/>
            <w:hideMark/>
          </w:tcPr>
          <w:p w:rsidR="005619FE" w:rsidRDefault="005619FE">
            <w:pPr>
              <w:spacing w:line="256" w:lineRule="auto"/>
            </w:pPr>
            <w:r>
              <w:t xml:space="preserve">Ramūnas Gadliauskas       </w:t>
            </w:r>
          </w:p>
        </w:tc>
      </w:tr>
    </w:tbl>
    <w:p w:rsidR="005619FE" w:rsidRDefault="005619FE" w:rsidP="005619FE">
      <w:pPr>
        <w:rPr>
          <w:szCs w:val="20"/>
        </w:rPr>
      </w:pPr>
    </w:p>
    <w:p w:rsidR="00DF398F" w:rsidRDefault="0049546C"/>
    <w:sectPr w:rsidR="00DF398F" w:rsidSect="00E34FF1">
      <w:headerReference w:type="default" r:id="rId8"/>
      <w:headerReference w:type="first" r:id="rId9"/>
      <w:pgSz w:w="11907" w:h="16840" w:code="9"/>
      <w:pgMar w:top="1134" w:right="850" w:bottom="851" w:left="1701" w:header="811" w:footer="567" w:gutter="0"/>
      <w:pgNumType w:start="2"/>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46C" w:rsidRDefault="0049546C" w:rsidP="00D7641D">
      <w:r>
        <w:separator/>
      </w:r>
    </w:p>
  </w:endnote>
  <w:endnote w:type="continuationSeparator" w:id="0">
    <w:p w:rsidR="0049546C" w:rsidRDefault="0049546C" w:rsidP="00D764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0"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46C" w:rsidRDefault="0049546C" w:rsidP="00D7641D">
      <w:r>
        <w:separator/>
      </w:r>
    </w:p>
  </w:footnote>
  <w:footnote w:type="continuationSeparator" w:id="0">
    <w:p w:rsidR="0049546C" w:rsidRDefault="0049546C" w:rsidP="00D7641D">
      <w:r>
        <w:continuationSeparator/>
      </w:r>
    </w:p>
  </w:footnote>
  <w:footnote w:id="1">
    <w:p w:rsidR="00D7641D" w:rsidRDefault="00D7641D" w:rsidP="00D7641D">
      <w:pPr>
        <w:jc w:val="both"/>
      </w:pPr>
      <w:r>
        <w:rPr>
          <w:vertAlign w:val="superscript"/>
        </w:rPr>
        <w:footnoteRef/>
      </w:r>
      <w:r w:rsidRPr="00B515A3">
        <w:rPr>
          <w:sz w:val="16"/>
          <w:szCs w:val="16"/>
        </w:rPr>
        <w:t>Tol, kol teismai neturi techninių galimybių patys generuoti statistinių duomenų LITEKO sistemos pagalba, dėl statistinių kontrolinių pjūvių pagal pasirinktus parametrus sugeneravimo rekomenduotina kreiptis į Nacionalinę teismų administraciją. Teismų raštinės darbuotojų veiklą reglamentuojančiuose dokumentuose būtina apibrėžti ir žodžiu aptarti su darbuotojais, kad įvykių rezultatai LITEKO turi būti pildomi itin tiksliai,</w:t>
      </w:r>
      <w:r>
        <w:t xml:space="preserve"> </w:t>
      </w:r>
      <w:r w:rsidRPr="00B515A3">
        <w:rPr>
          <w:sz w:val="16"/>
          <w:szCs w:val="16"/>
        </w:rPr>
        <w:t>priešingu atveju sugeneruoti duomenys gali būti netikslūs arba jų iš viso gali būti neįmanoma pateikti ir administracinę priežiūrą vykdantiems subjektams reikėtų patiems tikrinti juos rankiniu būdu.</w:t>
      </w:r>
      <w:r>
        <w:t xml:space="preserve"> </w:t>
      </w:r>
    </w:p>
    <w:p w:rsidR="00D7641D" w:rsidRDefault="00D7641D" w:rsidP="00D7641D">
      <w:pPr>
        <w:tabs>
          <w:tab w:val="center" w:pos="4819"/>
          <w:tab w:val="right" w:pos="9638"/>
        </w:tabs>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01570"/>
      <w:docPartObj>
        <w:docPartGallery w:val="Page Numbers (Top of Page)"/>
        <w:docPartUnique/>
      </w:docPartObj>
    </w:sdtPr>
    <w:sdtContent>
      <w:p w:rsidR="00E34FF1" w:rsidRDefault="00115034">
        <w:pPr>
          <w:pStyle w:val="Antrats"/>
          <w:jc w:val="center"/>
        </w:pPr>
      </w:p>
    </w:sdtContent>
  </w:sdt>
  <w:p w:rsidR="00E34FF1" w:rsidRDefault="0049546C">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673" w:rsidRPr="003F2D8B" w:rsidRDefault="0049546C" w:rsidP="00726673">
    <w:pPr>
      <w:pStyle w:val="Antrats"/>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3304CC"/>
    <w:multiLevelType w:val="hybridMultilevel"/>
    <w:tmpl w:val="3058F682"/>
    <w:lvl w:ilvl="0" w:tplc="63787814">
      <w:start w:val="3"/>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rsids>
    <w:rsidRoot w:val="00D7641D"/>
    <w:rsid w:val="001040EF"/>
    <w:rsid w:val="00115034"/>
    <w:rsid w:val="0049546C"/>
    <w:rsid w:val="004D0154"/>
    <w:rsid w:val="005619FE"/>
    <w:rsid w:val="005D49B0"/>
    <w:rsid w:val="00691B84"/>
    <w:rsid w:val="00753CDB"/>
    <w:rsid w:val="007968C9"/>
    <w:rsid w:val="008842F0"/>
    <w:rsid w:val="00B95566"/>
    <w:rsid w:val="00C56D57"/>
    <w:rsid w:val="00CC79F4"/>
    <w:rsid w:val="00CE5275"/>
    <w:rsid w:val="00D7641D"/>
    <w:rsid w:val="00DC11F5"/>
    <w:rsid w:val="00DD7F16"/>
    <w:rsid w:val="00F54697"/>
    <w:rsid w:val="00FA4C9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7641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7641D"/>
    <w:pPr>
      <w:tabs>
        <w:tab w:val="center" w:pos="4153"/>
        <w:tab w:val="right" w:pos="8306"/>
      </w:tabs>
    </w:pPr>
  </w:style>
  <w:style w:type="character" w:customStyle="1" w:styleId="AntratsDiagrama">
    <w:name w:val="Antraštės Diagrama"/>
    <w:basedOn w:val="Numatytasispastraiposriftas"/>
    <w:link w:val="Antrats"/>
    <w:uiPriority w:val="99"/>
    <w:rsid w:val="00D7641D"/>
    <w:rPr>
      <w:rFonts w:ascii="Times New Roman" w:eastAsia="Times New Roman" w:hAnsi="Times New Roman" w:cs="Times New Roman"/>
      <w:sz w:val="24"/>
      <w:szCs w:val="24"/>
    </w:rPr>
  </w:style>
  <w:style w:type="paragraph" w:styleId="Pavadinimas">
    <w:name w:val="Title"/>
    <w:basedOn w:val="prastasis"/>
    <w:link w:val="PavadinimasDiagrama"/>
    <w:qFormat/>
    <w:rsid w:val="00D7641D"/>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D7641D"/>
    <w:rPr>
      <w:rFonts w:ascii="Tahoma" w:eastAsia="Times New Roman" w:hAnsi="Tahoma" w:cs="Times New Roman"/>
      <w:b/>
      <w:sz w:val="28"/>
      <w:szCs w:val="24"/>
    </w:rPr>
  </w:style>
  <w:style w:type="paragraph" w:styleId="Data">
    <w:name w:val="Date"/>
    <w:basedOn w:val="Antrats"/>
    <w:link w:val="DataDiagrama"/>
    <w:rsid w:val="00D7641D"/>
    <w:pPr>
      <w:tabs>
        <w:tab w:val="clear" w:pos="4153"/>
        <w:tab w:val="clear" w:pos="8306"/>
      </w:tabs>
      <w:jc w:val="center"/>
    </w:pPr>
  </w:style>
  <w:style w:type="character" w:customStyle="1" w:styleId="DataDiagrama">
    <w:name w:val="Data Diagrama"/>
    <w:basedOn w:val="Numatytasispastraiposriftas"/>
    <w:link w:val="Data"/>
    <w:rsid w:val="00D7641D"/>
    <w:rPr>
      <w:rFonts w:ascii="Times New Roman" w:eastAsia="Times New Roman" w:hAnsi="Times New Roman" w:cs="Times New Roman"/>
      <w:sz w:val="24"/>
      <w:szCs w:val="24"/>
    </w:rPr>
  </w:style>
  <w:style w:type="paragraph" w:styleId="Sraopastraipa">
    <w:name w:val="List Paragraph"/>
    <w:basedOn w:val="prastasis"/>
    <w:uiPriority w:val="34"/>
    <w:qFormat/>
    <w:rsid w:val="00D7641D"/>
    <w:pPr>
      <w:ind w:left="720"/>
      <w:contextualSpacing/>
    </w:pPr>
  </w:style>
  <w:style w:type="paragraph" w:styleId="Debesliotekstas">
    <w:name w:val="Balloon Text"/>
    <w:basedOn w:val="prastasis"/>
    <w:link w:val="DebesliotekstasDiagrama"/>
    <w:uiPriority w:val="99"/>
    <w:semiHidden/>
    <w:unhideWhenUsed/>
    <w:rsid w:val="005619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19F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7641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7641D"/>
    <w:pPr>
      <w:tabs>
        <w:tab w:val="center" w:pos="4153"/>
        <w:tab w:val="right" w:pos="8306"/>
      </w:tabs>
    </w:pPr>
  </w:style>
  <w:style w:type="character" w:customStyle="1" w:styleId="AntratsDiagrama">
    <w:name w:val="Antraštės Diagrama"/>
    <w:basedOn w:val="Numatytasispastraiposriftas"/>
    <w:link w:val="Antrats"/>
    <w:uiPriority w:val="99"/>
    <w:rsid w:val="00D7641D"/>
    <w:rPr>
      <w:rFonts w:ascii="Times New Roman" w:eastAsia="Times New Roman" w:hAnsi="Times New Roman" w:cs="Times New Roman"/>
      <w:sz w:val="24"/>
      <w:szCs w:val="24"/>
    </w:rPr>
  </w:style>
  <w:style w:type="paragraph" w:styleId="Pavadinimas">
    <w:name w:val="Title"/>
    <w:basedOn w:val="prastasis"/>
    <w:link w:val="PavadinimasDiagrama"/>
    <w:qFormat/>
    <w:rsid w:val="00D7641D"/>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D7641D"/>
    <w:rPr>
      <w:rFonts w:ascii="Tahoma" w:eastAsia="Times New Roman" w:hAnsi="Tahoma" w:cs="Times New Roman"/>
      <w:b/>
      <w:sz w:val="28"/>
      <w:szCs w:val="24"/>
    </w:rPr>
  </w:style>
  <w:style w:type="paragraph" w:styleId="Data">
    <w:name w:val="Date"/>
    <w:basedOn w:val="Antrats"/>
    <w:link w:val="DataDiagrama"/>
    <w:rsid w:val="00D7641D"/>
    <w:pPr>
      <w:tabs>
        <w:tab w:val="clear" w:pos="4153"/>
        <w:tab w:val="clear" w:pos="8306"/>
      </w:tabs>
      <w:jc w:val="center"/>
    </w:pPr>
  </w:style>
  <w:style w:type="character" w:customStyle="1" w:styleId="DataDiagrama">
    <w:name w:val="Data Diagrama"/>
    <w:basedOn w:val="Numatytasispastraiposriftas"/>
    <w:link w:val="Data"/>
    <w:rsid w:val="00D7641D"/>
    <w:rPr>
      <w:rFonts w:ascii="Times New Roman" w:eastAsia="Times New Roman" w:hAnsi="Times New Roman" w:cs="Times New Roman"/>
      <w:sz w:val="24"/>
      <w:szCs w:val="24"/>
    </w:rPr>
  </w:style>
  <w:style w:type="paragraph" w:styleId="Sraopastraipa">
    <w:name w:val="List Paragraph"/>
    <w:basedOn w:val="prastasis"/>
    <w:uiPriority w:val="34"/>
    <w:qFormat/>
    <w:rsid w:val="00D7641D"/>
    <w:pPr>
      <w:ind w:left="720"/>
      <w:contextualSpacing/>
    </w:pPr>
  </w:style>
  <w:style w:type="paragraph" w:styleId="Debesliotekstas">
    <w:name w:val="Balloon Text"/>
    <w:basedOn w:val="prastasis"/>
    <w:link w:val="DebesliotekstasDiagrama"/>
    <w:uiPriority w:val="99"/>
    <w:semiHidden/>
    <w:unhideWhenUsed/>
    <w:rsid w:val="005619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19F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96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6205</Words>
  <Characters>3538</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Velykiene</dc:creator>
  <cp:lastModifiedBy>a.dokutoviciene</cp:lastModifiedBy>
  <cp:revision>3</cp:revision>
  <dcterms:created xsi:type="dcterms:W3CDTF">2016-12-08T11:55:00Z</dcterms:created>
  <dcterms:modified xsi:type="dcterms:W3CDTF">2016-12-09T13:54:00Z</dcterms:modified>
</cp:coreProperties>
</file>