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90" w:rsidRPr="007B2154" w:rsidRDefault="00756290" w:rsidP="00756290">
      <w:pPr>
        <w:pStyle w:val="Pavadinimas"/>
        <w:ind w:left="0" w:right="-1"/>
        <w:jc w:val="left"/>
        <w:rPr>
          <w:i/>
          <w:sz w:val="24"/>
        </w:rPr>
      </w:pPr>
      <w:r>
        <w:rPr>
          <w:i/>
          <w:caps w:val="0"/>
          <w:noProof/>
          <w:sz w:val="24"/>
          <w:lang w:eastAsia="lt-LT"/>
        </w:rPr>
        <w:t>Aktuali redakcija nuo 2017</w:t>
      </w:r>
      <w:r w:rsidRPr="007B2154">
        <w:rPr>
          <w:i/>
          <w:caps w:val="0"/>
          <w:noProof/>
          <w:sz w:val="24"/>
          <w:lang w:eastAsia="lt-LT"/>
        </w:rPr>
        <w:t xml:space="preserve"> m. </w:t>
      </w:r>
      <w:r>
        <w:rPr>
          <w:i/>
          <w:caps w:val="0"/>
          <w:noProof/>
          <w:sz w:val="24"/>
          <w:lang w:eastAsia="lt-LT"/>
        </w:rPr>
        <w:t>sausio 1</w:t>
      </w:r>
      <w:r w:rsidRPr="007B2154">
        <w:rPr>
          <w:i/>
          <w:caps w:val="0"/>
          <w:noProof/>
          <w:sz w:val="24"/>
          <w:lang w:eastAsia="lt-LT"/>
        </w:rPr>
        <w:t xml:space="preserve"> d.</w:t>
      </w:r>
    </w:p>
    <w:p w:rsidR="00756290" w:rsidRDefault="00756290" w:rsidP="00756290">
      <w:pPr>
        <w:pStyle w:val="Data"/>
        <w:jc w:val="left"/>
        <w:rPr>
          <w:sz w:val="16"/>
        </w:rPr>
      </w:pPr>
    </w:p>
    <w:p w:rsidR="00000000" w:rsidRDefault="00C247E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56290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000000" w:rsidRDefault="00756290">
      <w:pPr>
        <w:pStyle w:val="Pavadinimas"/>
        <w:spacing w:line="360" w:lineRule="auto"/>
        <w:rPr>
          <w:sz w:val="24"/>
        </w:rPr>
      </w:pPr>
    </w:p>
    <w:p w:rsidR="00000000" w:rsidRDefault="00756290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000000" w:rsidRDefault="00756290">
      <w:pPr>
        <w:pStyle w:val="Pavadinimas"/>
        <w:rPr>
          <w:sz w:val="24"/>
        </w:rPr>
      </w:pPr>
      <w:r>
        <w:rPr>
          <w:sz w:val="24"/>
        </w:rPr>
        <w:t>DĖL TEISĖJŲ SPECIALIZACIJOS TAM TIKRŲ KATEGORIJŲ BYLOMS NAGRINĖTI NUSTATYMO TVARKOS APRAŠO PATVIRTINIMO</w:t>
      </w:r>
    </w:p>
    <w:p w:rsidR="00000000" w:rsidRDefault="00756290">
      <w:pPr>
        <w:pStyle w:val="Pavadinimas"/>
        <w:rPr>
          <w:sz w:val="24"/>
        </w:rPr>
      </w:pPr>
    </w:p>
    <w:p w:rsidR="00000000" w:rsidRDefault="00756290">
      <w:pPr>
        <w:pStyle w:val="Data"/>
      </w:pPr>
      <w:r>
        <w:t>2008 m. lapkričio 13 d. Nr. 13P-202-(7.1.2)</w:t>
      </w:r>
    </w:p>
    <w:p w:rsidR="00000000" w:rsidRDefault="00756290">
      <w:pPr>
        <w:pStyle w:val="Data"/>
      </w:pPr>
      <w:r>
        <w:t>Vilnius</w:t>
      </w:r>
    </w:p>
    <w:p w:rsidR="00000000" w:rsidRDefault="00756290">
      <w:pPr>
        <w:pStyle w:val="Antrats"/>
        <w:tabs>
          <w:tab w:val="left" w:pos="1296"/>
        </w:tabs>
        <w:spacing w:line="360" w:lineRule="auto"/>
      </w:pPr>
    </w:p>
    <w:p w:rsidR="00000000" w:rsidRDefault="00756290">
      <w:pPr>
        <w:spacing w:line="360" w:lineRule="auto"/>
        <w:ind w:firstLine="720"/>
        <w:jc w:val="both"/>
      </w:pPr>
      <w:r>
        <w:t>Vadovaudamasi Lietuvos Respublikos teismų įstatymo (</w:t>
      </w:r>
      <w:proofErr w:type="spellStart"/>
      <w:r>
        <w:t>Žin</w:t>
      </w:r>
      <w:proofErr w:type="spellEnd"/>
      <w:r>
        <w:t>., 1994, Nr. 46</w:t>
      </w:r>
      <w:r>
        <w:t>-851; 2002, Nr. 17-649; 2003, Nr. 17-700; 2006, Nr. 60-2121; 2008, Nr. 81-3186) 120 straipsnio 16 punktu, Teisėjų taryba n u t a r i a:</w:t>
      </w:r>
    </w:p>
    <w:p w:rsidR="00000000" w:rsidRDefault="00756290">
      <w:pPr>
        <w:spacing w:line="360" w:lineRule="auto"/>
        <w:ind w:firstLine="720"/>
        <w:jc w:val="both"/>
      </w:pPr>
      <w:r>
        <w:t>Patvirtinti Teisėjų specializacijos tam tikrų kategorijų byloms nagrinėti nustatymo tvarkos aprašą (pridedama).</w:t>
      </w:r>
    </w:p>
    <w:p w:rsidR="00000000" w:rsidRDefault="00756290">
      <w:pPr>
        <w:tabs>
          <w:tab w:val="left" w:pos="1418"/>
          <w:tab w:val="left" w:pos="1560"/>
        </w:tabs>
        <w:jc w:val="both"/>
      </w:pPr>
    </w:p>
    <w:p w:rsidR="00000000" w:rsidRDefault="00756290">
      <w:pPr>
        <w:tabs>
          <w:tab w:val="left" w:pos="1418"/>
          <w:tab w:val="left" w:pos="1560"/>
        </w:tabs>
        <w:jc w:val="both"/>
      </w:pPr>
    </w:p>
    <w:p w:rsidR="00000000" w:rsidRDefault="00756290">
      <w:pPr>
        <w:tabs>
          <w:tab w:val="left" w:pos="1418"/>
          <w:tab w:val="left" w:pos="1560"/>
        </w:tabs>
        <w:jc w:val="both"/>
      </w:pPr>
    </w:p>
    <w:p w:rsidR="00000000" w:rsidRDefault="00756290">
      <w:pPr>
        <w:tabs>
          <w:tab w:val="left" w:pos="1418"/>
          <w:tab w:val="left" w:pos="1560"/>
        </w:tabs>
        <w:jc w:val="both"/>
      </w:pPr>
    </w:p>
    <w:p w:rsidR="00000000" w:rsidRDefault="00756290">
      <w:r>
        <w:t>Pirm</w:t>
      </w:r>
      <w:r>
        <w:t xml:space="preserve">ininkė                                                                                                        Laima </w:t>
      </w:r>
      <w:proofErr w:type="spellStart"/>
      <w:r>
        <w:t>Garnelienė</w:t>
      </w:r>
      <w:proofErr w:type="spellEnd"/>
    </w:p>
    <w:p w:rsidR="00000000" w:rsidRDefault="00756290"/>
    <w:p w:rsidR="00000000" w:rsidRDefault="00756290"/>
    <w:p w:rsidR="00000000" w:rsidRDefault="007562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000000" w:rsidRDefault="00756290">
            <w:r>
              <w:t>Sekretorius</w:t>
            </w:r>
          </w:p>
        </w:tc>
        <w:tc>
          <w:tcPr>
            <w:tcW w:w="2490" w:type="dxa"/>
          </w:tcPr>
          <w:p w:rsidR="00000000" w:rsidRDefault="00756290">
            <w:r>
              <w:t>Artūras Šumskas</w:t>
            </w:r>
          </w:p>
        </w:tc>
      </w:tr>
    </w:tbl>
    <w:p w:rsidR="00000000" w:rsidRDefault="00756290"/>
    <w:p w:rsidR="00000000" w:rsidRDefault="00756290">
      <w:pPr>
        <w:widowControl w:val="0"/>
        <w:ind w:left="6600"/>
        <w:jc w:val="both"/>
      </w:pPr>
      <w:r>
        <w:br w:type="page"/>
      </w:r>
      <w:r>
        <w:lastRenderedPageBreak/>
        <w:t>PATVIRTINTA</w:t>
      </w:r>
    </w:p>
    <w:p w:rsidR="00000000" w:rsidRDefault="00756290">
      <w:pPr>
        <w:widowControl w:val="0"/>
        <w:ind w:left="6600"/>
        <w:jc w:val="both"/>
      </w:pPr>
      <w:r>
        <w:t xml:space="preserve">Teisėjų tarybos </w:t>
      </w:r>
    </w:p>
    <w:p w:rsidR="00000000" w:rsidRDefault="00756290">
      <w:pPr>
        <w:pStyle w:val="Pagrindinistekstas"/>
        <w:widowControl w:val="0"/>
        <w:ind w:left="6600"/>
      </w:pPr>
      <w:r>
        <w:t>2008 m. lapkričio 13 d.</w:t>
      </w:r>
    </w:p>
    <w:p w:rsidR="00000000" w:rsidRDefault="00756290">
      <w:pPr>
        <w:pStyle w:val="Pagrindinistekstas"/>
        <w:widowControl w:val="0"/>
        <w:ind w:left="6600"/>
      </w:pPr>
      <w:r>
        <w:t>nutarimu Nr. 13P-202-(7.1.2)</w:t>
      </w:r>
    </w:p>
    <w:p w:rsidR="00000000" w:rsidRDefault="00756290">
      <w:pPr>
        <w:jc w:val="center"/>
        <w:rPr>
          <w:b/>
        </w:rPr>
      </w:pPr>
    </w:p>
    <w:p w:rsidR="00000000" w:rsidRDefault="00756290">
      <w:pPr>
        <w:rPr>
          <w:b/>
        </w:rPr>
      </w:pPr>
    </w:p>
    <w:p w:rsidR="00000000" w:rsidRDefault="00756290">
      <w:pPr>
        <w:jc w:val="center"/>
        <w:rPr>
          <w:b/>
        </w:rPr>
      </w:pPr>
      <w:r>
        <w:rPr>
          <w:b/>
        </w:rPr>
        <w:t>TEISĖJŲ SPE</w:t>
      </w:r>
      <w:r>
        <w:rPr>
          <w:b/>
        </w:rPr>
        <w:t>CIALIZACIJOS TAM TIKRŲ KATEGORIJŲ BYLOMS NAGRINĖTI NUSTATYMO TVARKOS APRAŠAS</w:t>
      </w:r>
    </w:p>
    <w:p w:rsidR="00000000" w:rsidRDefault="00756290">
      <w:pPr>
        <w:jc w:val="center"/>
        <w:rPr>
          <w:b/>
        </w:rPr>
      </w:pPr>
    </w:p>
    <w:p w:rsidR="00000000" w:rsidRDefault="00756290">
      <w:pPr>
        <w:rPr>
          <w:b/>
        </w:rPr>
      </w:pPr>
    </w:p>
    <w:p w:rsidR="00000000" w:rsidRDefault="00756290">
      <w:pPr>
        <w:jc w:val="center"/>
        <w:rPr>
          <w:b/>
        </w:rPr>
      </w:pPr>
      <w:r>
        <w:rPr>
          <w:b/>
        </w:rPr>
        <w:t>I. BENDROSIOS NUOSTATOS</w:t>
      </w:r>
    </w:p>
    <w:p w:rsidR="00000000" w:rsidRDefault="00756290">
      <w:pPr>
        <w:jc w:val="center"/>
      </w:pPr>
    </w:p>
    <w:p w:rsidR="00000000" w:rsidRDefault="00756290">
      <w:pPr>
        <w:ind w:firstLine="720"/>
        <w:jc w:val="both"/>
      </w:pPr>
      <w:r>
        <w:t>1. Teisėjų specializacijos tam tikrų kategorijų byloms nagrinėti</w:t>
      </w:r>
      <w:r>
        <w:rPr>
          <w:b/>
        </w:rPr>
        <w:t xml:space="preserve">  </w:t>
      </w:r>
      <w:r>
        <w:t>nustatymo tvarkos aprašas reglamentuoja teisėjų specializacijos tam tikrų kategorijų b</w:t>
      </w:r>
      <w:r>
        <w:t>yloms nagrinėti</w:t>
      </w:r>
      <w:r>
        <w:rPr>
          <w:b/>
        </w:rPr>
        <w:t xml:space="preserve"> </w:t>
      </w:r>
      <w:r>
        <w:t>(toliau – teisėjų specializacija) nustatymo tvarką ir pagrindus.</w:t>
      </w:r>
    </w:p>
    <w:p w:rsidR="00000000" w:rsidRDefault="00756290">
      <w:pPr>
        <w:ind w:firstLine="720"/>
        <w:jc w:val="both"/>
      </w:pPr>
      <w:r>
        <w:t>2. Teisėjų specializacijos nustatymo tikslas – atitinkamos kategorijos bylų nagrinėjimo kokybės gerinimas.</w:t>
      </w:r>
    </w:p>
    <w:p w:rsidR="00000000" w:rsidRDefault="00756290">
      <w:pPr>
        <w:ind w:firstLine="720"/>
        <w:jc w:val="both"/>
      </w:pPr>
      <w:r>
        <w:t>3. Teisėjų specializacija neturėtų sudaryti sąlygų atitinkamos kateg</w:t>
      </w:r>
      <w:r>
        <w:t>orijos bylas skirti nagrinėti  tam pačiam iš anksto žinomam teisėjui.</w:t>
      </w:r>
    </w:p>
    <w:p w:rsidR="00000000" w:rsidRDefault="00756290">
      <w:pPr>
        <w:ind w:firstLine="720"/>
        <w:jc w:val="both"/>
      </w:pPr>
      <w:r>
        <w:t xml:space="preserve">4. Atsižvelgus į teisėjų bei atitinkamos kategorijos bylų skaičių  teisme, nepilnamečių, šeimos ar darbo bylų specializacija  gali būti nustatoma ir vienam teismo teisėjui. </w:t>
      </w:r>
    </w:p>
    <w:p w:rsidR="00000000" w:rsidRDefault="00756290">
      <w:pPr>
        <w:ind w:firstLine="720"/>
        <w:jc w:val="both"/>
      </w:pPr>
      <w:r>
        <w:t>5. Nustatant</w:t>
      </w:r>
      <w:r>
        <w:t xml:space="preserve"> teisėjų specializaciją atsižvelgiama į taisykles, reglamentuojančias bylų paskirstymą naudojant informacines technologijas.</w:t>
      </w:r>
    </w:p>
    <w:p w:rsidR="00000000" w:rsidRDefault="00756290">
      <w:pPr>
        <w:ind w:firstLine="720"/>
      </w:pPr>
    </w:p>
    <w:p w:rsidR="00000000" w:rsidRDefault="00756290">
      <w:pPr>
        <w:ind w:firstLine="720"/>
        <w:jc w:val="center"/>
        <w:rPr>
          <w:b/>
        </w:rPr>
      </w:pPr>
      <w:r>
        <w:rPr>
          <w:b/>
        </w:rPr>
        <w:t>II. TEISĖJŲ SPECIALIZACIJOS NUSTATYMO PAGRINDAI</w:t>
      </w:r>
    </w:p>
    <w:p w:rsidR="00000000" w:rsidRDefault="00756290">
      <w:pPr>
        <w:ind w:firstLine="720"/>
        <w:jc w:val="center"/>
        <w:rPr>
          <w:b/>
        </w:rPr>
      </w:pPr>
    </w:p>
    <w:p w:rsidR="00000000" w:rsidRDefault="00756290">
      <w:pPr>
        <w:ind w:firstLine="720"/>
        <w:jc w:val="both"/>
      </w:pPr>
      <w:r>
        <w:t>6. Teisėjų specializacija gali būti nustatoma bet kurių kategorijų byloms, jei te</w:t>
      </w:r>
      <w:r>
        <w:t xml:space="preserve">ismo pirmininkas, atsižvelgdamas į teisėjų kvalifikaciją ir atskiros srities žinias, įžvelgia poreikį  tokią specializaciją nustatyti. </w:t>
      </w:r>
    </w:p>
    <w:p w:rsidR="00000000" w:rsidRDefault="00756290">
      <w:pPr>
        <w:ind w:firstLine="720"/>
        <w:jc w:val="both"/>
      </w:pPr>
      <w:r>
        <w:t>7. Teisėjų specializacija bendrosios kompetencijos teismuose paprastai nustatoma šios kategorijos byloms nagrinėti:</w:t>
      </w:r>
    </w:p>
    <w:p w:rsidR="00000000" w:rsidRDefault="00756290">
      <w:pPr>
        <w:jc w:val="both"/>
      </w:pPr>
      <w:r>
        <w:t xml:space="preserve">    </w:t>
      </w:r>
      <w:r>
        <w:t xml:space="preserve">        7.1. </w:t>
      </w:r>
      <w:r w:rsidRPr="006844FD">
        <w:t xml:space="preserve">kai įstatymai nustato skirtingą bylų nagrinėjimo procesą – </w:t>
      </w:r>
      <w:r w:rsidRPr="00C17A32">
        <w:t>baudžiamosios,</w:t>
      </w:r>
      <w:r w:rsidRPr="006844FD">
        <w:t xml:space="preserve"> civilinės, administracinių </w:t>
      </w:r>
      <w:r w:rsidRPr="00C0518A">
        <w:t>teisės pažeidimų</w:t>
      </w:r>
      <w:r w:rsidRPr="006844FD">
        <w:t xml:space="preserve"> </w:t>
      </w:r>
      <w:r w:rsidRPr="00C17A32">
        <w:t>ar administracinių nusižengimų</w:t>
      </w:r>
      <w:r w:rsidRPr="006844FD">
        <w:rPr>
          <w:b/>
        </w:rPr>
        <w:t xml:space="preserve"> </w:t>
      </w:r>
      <w:r w:rsidRPr="006844FD">
        <w:t>bylos;</w:t>
      </w:r>
    </w:p>
    <w:p w:rsidR="00756290" w:rsidRPr="00CC3FB8" w:rsidRDefault="00756290" w:rsidP="00756290">
      <w:pPr>
        <w:pStyle w:val="Pavadinimas"/>
        <w:keepNext w:val="0"/>
        <w:overflowPunct w:val="0"/>
        <w:autoSpaceDE w:val="0"/>
        <w:autoSpaceDN w:val="0"/>
        <w:adjustRightInd w:val="0"/>
        <w:ind w:left="851" w:right="0"/>
        <w:jc w:val="both"/>
        <w:textAlignment w:val="baseline"/>
        <w:outlineLvl w:val="9"/>
        <w:rPr>
          <w:i/>
          <w:sz w:val="24"/>
        </w:rPr>
      </w:pPr>
      <w:r w:rsidRPr="00CC3FB8">
        <w:rPr>
          <w:i/>
          <w:caps w:val="0"/>
          <w:sz w:val="24"/>
          <w:lang w:eastAsia="lt-LT"/>
        </w:rPr>
        <w:t>Punkto pakeitimai:</w:t>
      </w:r>
    </w:p>
    <w:p w:rsidR="00756290" w:rsidRPr="00A10D8D" w:rsidRDefault="00756290" w:rsidP="00756290">
      <w:pPr>
        <w:pStyle w:val="Data"/>
        <w:ind w:firstLine="851"/>
        <w:jc w:val="both"/>
        <w:rPr>
          <w:b/>
          <w:i/>
        </w:rPr>
      </w:pPr>
      <w:r w:rsidRPr="00743BC1">
        <w:rPr>
          <w:b/>
          <w:i/>
        </w:rPr>
        <w:t>Nr. 13P-</w:t>
      </w:r>
      <w:r>
        <w:rPr>
          <w:b/>
          <w:i/>
        </w:rPr>
        <w:t>127</w:t>
      </w:r>
      <w:r w:rsidRPr="00743BC1">
        <w:rPr>
          <w:b/>
          <w:i/>
        </w:rPr>
        <w:t>-(7.1.2</w:t>
      </w:r>
      <w:r>
        <w:rPr>
          <w:b/>
          <w:i/>
        </w:rPr>
        <w:t>), 2016-12-09</w:t>
      </w:r>
    </w:p>
    <w:p w:rsidR="00000000" w:rsidRDefault="00756290">
      <w:pPr>
        <w:ind w:firstLine="720"/>
        <w:jc w:val="both"/>
      </w:pPr>
      <w:r>
        <w:t xml:space="preserve">7.2. kai bylų nagrinėjimui reikia specifinių žinių, pavyzdžiui, psichologinių – nepilnamečių, šeimos bylos; </w:t>
      </w:r>
    </w:p>
    <w:p w:rsidR="00000000" w:rsidRDefault="00756290">
      <w:pPr>
        <w:ind w:firstLine="720"/>
        <w:jc w:val="both"/>
      </w:pPr>
      <w:r>
        <w:t>7.3. kai gin</w:t>
      </w:r>
      <w:r>
        <w:t>čijamus teisinius santykius reglamentuoja specialūs įstatymai – pavyzdžiui, darbo bylos;</w:t>
      </w:r>
    </w:p>
    <w:p w:rsidR="00000000" w:rsidRDefault="00756290">
      <w:pPr>
        <w:ind w:firstLine="720"/>
        <w:jc w:val="both"/>
      </w:pPr>
      <w:r>
        <w:t>7.4. kai atitinkami teisiniai santykiai pasižymi išskirtine specifika – pavyzdžiui, bankroto bylos, mokesčių  bylos, bylos dėl užsieniečių teisinės padėties.</w:t>
      </w:r>
    </w:p>
    <w:p w:rsidR="00000000" w:rsidRDefault="00756290">
      <w:pPr>
        <w:ind w:firstLine="720"/>
        <w:jc w:val="both"/>
      </w:pPr>
      <w:r>
        <w:t>7.5. bylo</w:t>
      </w:r>
      <w:r>
        <w:t>ms, susijusios su sprendimų ir nuosprendžių vykdymu.</w:t>
      </w:r>
    </w:p>
    <w:p w:rsidR="00000000" w:rsidRDefault="00756290">
      <w:pPr>
        <w:ind w:firstLine="720"/>
      </w:pPr>
      <w:r>
        <w:t>7.6. įstatymų nustatytoms ikiteisminio tyrimo teisėjo funkcijoms atlikti.</w:t>
      </w:r>
    </w:p>
    <w:p w:rsidR="00000000" w:rsidRDefault="00756290">
      <w:pPr>
        <w:ind w:firstLine="720"/>
      </w:pPr>
      <w:r>
        <w:t xml:space="preserve"> </w:t>
      </w:r>
    </w:p>
    <w:p w:rsidR="00000000" w:rsidRDefault="00756290">
      <w:pPr>
        <w:ind w:firstLine="1296"/>
        <w:jc w:val="center"/>
        <w:rPr>
          <w:b/>
        </w:rPr>
      </w:pPr>
      <w:r>
        <w:rPr>
          <w:b/>
        </w:rPr>
        <w:t>III. TEISĖJŲ SPECIALIZACIJOS NUSTATYMO TVARKA</w:t>
      </w:r>
    </w:p>
    <w:p w:rsidR="00000000" w:rsidRDefault="00756290">
      <w:pPr>
        <w:ind w:firstLine="720"/>
        <w:jc w:val="center"/>
      </w:pPr>
    </w:p>
    <w:p w:rsidR="00000000" w:rsidRDefault="00756290">
      <w:pPr>
        <w:ind w:firstLine="720"/>
        <w:jc w:val="both"/>
      </w:pPr>
      <w:r>
        <w:t>8. Dėl teisėjų specializacijos nustatymo teisme sprendžia to teismo pirmininkas.</w:t>
      </w:r>
    </w:p>
    <w:p w:rsidR="00000000" w:rsidRDefault="00756290">
      <w:pPr>
        <w:ind w:firstLine="720"/>
        <w:jc w:val="both"/>
      </w:pPr>
      <w:r>
        <w:t>9. Nustatant konkretaus teisėjo specializaciją atsižvelgiama į teisėjo pageidavimą.</w:t>
      </w:r>
    </w:p>
    <w:p w:rsidR="00000000" w:rsidRDefault="00756290">
      <w:pPr>
        <w:ind w:firstLine="720"/>
        <w:jc w:val="both"/>
      </w:pPr>
      <w:r>
        <w:lastRenderedPageBreak/>
        <w:t>10. Jei pageidavimo nagrinėti tam tikros kategorijos bylas nepareiškia reikiamas teisėjų skaičius arba nepavyksta nustatyti teisėjų specializacijos pagal teisėjų pageidavi</w:t>
      </w:r>
      <w:r>
        <w:t>mus, teisėjų specializaciją nustato teismo pirmininkas.</w:t>
      </w:r>
    </w:p>
    <w:p w:rsidR="00000000" w:rsidRDefault="00756290">
      <w:pPr>
        <w:ind w:firstLine="720"/>
        <w:jc w:val="both"/>
      </w:pPr>
      <w:r>
        <w:t>11. Teisėjų specializacija įforminama teismo pirmininko įsakymu.</w:t>
      </w:r>
    </w:p>
    <w:p w:rsidR="00000000" w:rsidRDefault="00756290">
      <w:pPr>
        <w:ind w:firstLine="720"/>
        <w:jc w:val="both"/>
      </w:pPr>
      <w:r>
        <w:t>12. Įstatymų reglamentuotoms ikiteisminio tyrimo funkcijoms atlikti teismo pirmininko įsakymu skiriamas (-i) ikiteisminio tyrimo teisėj</w:t>
      </w:r>
      <w:r>
        <w:t>as (-ai).</w:t>
      </w:r>
    </w:p>
    <w:p w:rsidR="00000000" w:rsidRDefault="00756290">
      <w:pPr>
        <w:ind w:firstLine="720"/>
        <w:jc w:val="both"/>
      </w:pPr>
      <w:r>
        <w:t>13. Ikiteisminio tyrimo teisėjo specializacijai paprastai nustatomas 2 metų terminas ir taikomas teisėjų rotacijos principas. Šis terminas gali būti pratęstas tik teisėjui sutikus.</w:t>
      </w:r>
    </w:p>
    <w:p w:rsidR="00000000" w:rsidRDefault="00756290">
      <w:pPr>
        <w:ind w:firstLine="720"/>
        <w:jc w:val="both"/>
      </w:pPr>
    </w:p>
    <w:p w:rsidR="00000000" w:rsidRDefault="00756290">
      <w:pPr>
        <w:ind w:firstLine="720"/>
        <w:jc w:val="both"/>
      </w:pPr>
    </w:p>
    <w:p w:rsidR="00000000" w:rsidRDefault="00756290">
      <w:pPr>
        <w:ind w:firstLine="720"/>
        <w:jc w:val="center"/>
        <w:rPr>
          <w:b/>
        </w:rPr>
      </w:pPr>
      <w:r>
        <w:rPr>
          <w:b/>
        </w:rPr>
        <w:t>IV. TEISĖJŲ PASIRENGIMAS TAM TIKRŲ KATEGORIJŲ BYLOMS NAGRINĖTI</w:t>
      </w:r>
    </w:p>
    <w:p w:rsidR="00000000" w:rsidRDefault="00756290">
      <w:pPr>
        <w:ind w:firstLine="720"/>
        <w:jc w:val="center"/>
        <w:rPr>
          <w:b/>
        </w:rPr>
      </w:pPr>
    </w:p>
    <w:p w:rsidR="00000000" w:rsidRDefault="00756290">
      <w:pPr>
        <w:ind w:firstLine="720"/>
        <w:jc w:val="both"/>
      </w:pPr>
      <w:r>
        <w:t>14. Teisėjų mokymas, kvalifikacijos kėlimas turi būti susijęs su teisėjų specializacija ir turėtų būti organizuojamas atitinkamos specializacijos teisėjų grupėms. Tačiau kitos specializacijos ar neturintys specializacijos teisėjai gali dalyvauti kitos spe</w:t>
      </w:r>
      <w:r>
        <w:t>cializacijos ar tam tikros specializacijos teisėjų mokymuose ir kvalifikacijos kėlimo kursuose pagal pageidavimą.</w:t>
      </w:r>
    </w:p>
    <w:p w:rsidR="00000000" w:rsidRDefault="00756290">
      <w:pPr>
        <w:ind w:firstLine="720"/>
        <w:jc w:val="both"/>
      </w:pPr>
      <w:r>
        <w:t>15. Atskirų kategorijų bylos paprastai skiriamos nagrinėti atitinkamą specializaciją pasirinkusiam  teisėjui.</w:t>
      </w:r>
    </w:p>
    <w:p w:rsidR="00000000" w:rsidRDefault="00756290">
      <w:pPr>
        <w:ind w:firstLine="720"/>
        <w:jc w:val="both"/>
      </w:pPr>
      <w:r>
        <w:t>16. Bylos atitinkamos specializa</w:t>
      </w:r>
      <w:r>
        <w:t>cijos teisėjams skirstomos vadovaujantis taisyklėmis, reglamentuojančiomis bylų paskirstymą naudojant informacines technologijas.</w:t>
      </w:r>
    </w:p>
    <w:p w:rsidR="00000000" w:rsidRDefault="00756290">
      <w:pPr>
        <w:ind w:firstLine="720"/>
        <w:jc w:val="both"/>
      </w:pPr>
    </w:p>
    <w:p w:rsidR="00000000" w:rsidRDefault="00756290">
      <w:pPr>
        <w:ind w:firstLine="720"/>
        <w:jc w:val="center"/>
        <w:rPr>
          <w:b/>
        </w:rPr>
      </w:pPr>
      <w:r>
        <w:rPr>
          <w:b/>
        </w:rPr>
        <w:t>V. BAIGIAMOSIOS NUOSTATOS</w:t>
      </w:r>
    </w:p>
    <w:p w:rsidR="00000000" w:rsidRDefault="00756290">
      <w:pPr>
        <w:ind w:firstLine="720"/>
        <w:jc w:val="center"/>
        <w:rPr>
          <w:b/>
        </w:rPr>
      </w:pPr>
    </w:p>
    <w:p w:rsidR="00000000" w:rsidRDefault="00756290">
      <w:pPr>
        <w:ind w:firstLine="720"/>
        <w:jc w:val="both"/>
        <w:rPr>
          <w:b/>
        </w:rPr>
      </w:pPr>
      <w:r>
        <w:t>17. Specializacijos nustatymas negali būti kliūtis teisėjams skirti nagrinėti kitų kategorijų  byl</w:t>
      </w:r>
      <w:r>
        <w:t>as arba tam tikros kategorijos bylas skirti nagrinėti toje srityje nesispecializuojantiems teisėjams.</w:t>
      </w:r>
    </w:p>
    <w:p w:rsidR="00000000" w:rsidRDefault="00756290">
      <w:pPr>
        <w:ind w:firstLine="720"/>
        <w:jc w:val="both"/>
      </w:pPr>
      <w:r>
        <w:t>18. Apie teisėjų specializacijos nustatymą, specializacijos pakeitimą informuojama Nacionalinė teismų administracija, su lydraščiu pateikiant teismo pirmi</w:t>
      </w:r>
      <w:r>
        <w:t>ninko įsakymo kopiją.</w:t>
      </w:r>
    </w:p>
    <w:p w:rsidR="00000000" w:rsidRDefault="00756290">
      <w:pPr>
        <w:ind w:firstLine="720"/>
        <w:jc w:val="both"/>
      </w:pPr>
      <w:r>
        <w:t>19. Nacionalinė teismų administracija sudaro teisėjų, nagrinėjančių atitinkamos kategorijos bylas, sąrašus, kurie skelbiami Nacionalinės teismų administracijos interneto svetainėje.</w:t>
      </w:r>
    </w:p>
    <w:p w:rsidR="00000000" w:rsidRDefault="00756290">
      <w:pPr>
        <w:ind w:firstLine="720"/>
        <w:jc w:val="both"/>
        <w:rPr>
          <w:b/>
        </w:rPr>
      </w:pPr>
    </w:p>
    <w:p w:rsidR="00000000" w:rsidRDefault="00756290">
      <w:pPr>
        <w:ind w:firstLine="720"/>
        <w:jc w:val="both"/>
        <w:rPr>
          <w:b/>
        </w:rPr>
      </w:pPr>
    </w:p>
    <w:p w:rsidR="00000000" w:rsidRDefault="00756290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</w:t>
      </w:r>
    </w:p>
    <w:p w:rsidR="00000000" w:rsidRDefault="00756290"/>
    <w:p w:rsidR="00756290" w:rsidRPr="003F48D2" w:rsidRDefault="00756290" w:rsidP="00756290">
      <w:pPr>
        <w:tabs>
          <w:tab w:val="num" w:pos="0"/>
        </w:tabs>
        <w:ind w:firstLine="360"/>
        <w:rPr>
          <w:b/>
          <w:i/>
        </w:rPr>
      </w:pPr>
      <w:r w:rsidRPr="003F48D2">
        <w:rPr>
          <w:b/>
          <w:i/>
        </w:rPr>
        <w:t>Pakeitimai:</w:t>
      </w:r>
    </w:p>
    <w:p w:rsidR="00756290" w:rsidRPr="003F48D2" w:rsidRDefault="00756290" w:rsidP="00756290">
      <w:pPr>
        <w:pStyle w:val="Sraopastraipa"/>
        <w:tabs>
          <w:tab w:val="left" w:pos="993"/>
          <w:tab w:val="left" w:pos="1134"/>
          <w:tab w:val="left" w:pos="1418"/>
        </w:tabs>
        <w:ind w:left="709" w:hanging="425"/>
        <w:jc w:val="both"/>
        <w:rPr>
          <w:b/>
          <w:i/>
          <w:lang w:eastAsia="lt-LT"/>
        </w:rPr>
      </w:pPr>
      <w:r w:rsidRPr="003F48D2">
        <w:rPr>
          <w:b/>
          <w:i/>
        </w:rPr>
        <w:t>1. Tei</w:t>
      </w:r>
      <w:r>
        <w:rPr>
          <w:b/>
          <w:i/>
        </w:rPr>
        <w:t>sėjų taryba, nutarimas Nr. 13P-127-(7.1.2), 2016-12-0</w:t>
      </w:r>
      <w:bookmarkStart w:id="0" w:name="_GoBack"/>
      <w:bookmarkEnd w:id="0"/>
      <w:r w:rsidRPr="003F48D2">
        <w:rPr>
          <w:b/>
          <w:i/>
        </w:rPr>
        <w:t>9</w:t>
      </w:r>
      <w:r w:rsidRPr="003F48D2" w:rsidDel="005C38FE">
        <w:rPr>
          <w:b/>
          <w:i/>
        </w:rPr>
        <w:t xml:space="preserve"> </w:t>
      </w:r>
    </w:p>
    <w:p w:rsidR="00756290" w:rsidRDefault="00756290"/>
    <w:sectPr w:rsidR="007562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E8"/>
    <w:rsid w:val="00756290"/>
    <w:rsid w:val="00C2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uiPriority w:val="99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uiPriority w:val="99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2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290"/>
    <w:rPr>
      <w:rFonts w:ascii="Tahoma" w:hAnsi="Tahoma" w:cs="Tahoma"/>
      <w:sz w:val="16"/>
      <w:szCs w:val="1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56290"/>
    <w:rPr>
      <w:b/>
      <w:bCs/>
      <w:caps/>
      <w:sz w:val="26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uiPriority w:val="99"/>
    <w:rsid w:val="0075629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75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uiPriority w:val="99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uiPriority w:val="99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2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290"/>
    <w:rPr>
      <w:rFonts w:ascii="Tahoma" w:hAnsi="Tahoma" w:cs="Tahoma"/>
      <w:sz w:val="16"/>
      <w:szCs w:val="1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56290"/>
    <w:rPr>
      <w:b/>
      <w:bCs/>
      <w:caps/>
      <w:sz w:val="26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uiPriority w:val="99"/>
    <w:rsid w:val="0075629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75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3217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Nacionalinė teismų administracija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M.Pauzuolis</dc:creator>
  <cp:lastModifiedBy>Ligita Velykiene</cp:lastModifiedBy>
  <cp:revision>3</cp:revision>
  <dcterms:created xsi:type="dcterms:W3CDTF">2016-12-15T08:04:00Z</dcterms:created>
  <dcterms:modified xsi:type="dcterms:W3CDTF">2016-12-15T08:11:00Z</dcterms:modified>
</cp:coreProperties>
</file>