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 xml:space="preserve">LIETUVOS VYRIAUSIOJO ADMINISTRACINIO TEISMO IR </w:t>
      </w:r>
      <w:r w:rsidR="00E859C7">
        <w:rPr>
          <w:b/>
          <w:color w:val="000000"/>
        </w:rPr>
        <w:t>APYLINKIŲ TEISMŲ</w:t>
      </w:r>
      <w:r w:rsidR="00745501">
        <w:rPr>
          <w:b/>
          <w:color w:val="000000"/>
        </w:rPr>
        <w:t xml:space="preserve"> TEISĖJŲ MOKYMO PROGRAMĄ „</w:t>
      </w:r>
      <w:r w:rsidR="003A6FBF">
        <w:rPr>
          <w:b/>
          <w:color w:val="000000"/>
        </w:rPr>
        <w:t xml:space="preserve">PRIEBLOBSČIO </w:t>
      </w:r>
      <w:r w:rsidR="00E859C7">
        <w:rPr>
          <w:b/>
          <w:color w:val="000000"/>
        </w:rPr>
        <w:t>PRAŠYTOJŲ SULAIKYMO PROBLEMATIKA. ATLEIDIMAS NUO BAUDŽIAMOSIOS ATSAKOMYBĖS UŽ NETEISĖTĄ SIENOS PARĖJIMĄ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E859C7">
        <w:t>PB-3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74019" w:rsidRDefault="00AC44CA" w:rsidP="00CE5976">
      <w:pPr>
        <w:jc w:val="center"/>
        <w:rPr>
          <w:b/>
          <w:color w:val="000000"/>
        </w:rPr>
      </w:pPr>
      <w:r w:rsidRPr="00E74019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m. </w:t>
      </w:r>
      <w:r w:rsidR="003A6FBF">
        <w:t>vasario</w:t>
      </w:r>
      <w:r w:rsidR="00AC44CA" w:rsidRPr="00E06117">
        <w:t xml:space="preserve"> </w:t>
      </w:r>
      <w:r w:rsidR="00E859C7">
        <w:t>13</w:t>
      </w:r>
      <w:r w:rsidR="00AC44CA" w:rsidRPr="00E06117">
        <w:t xml:space="preserve">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745501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Vladimiras Siniovas</w:t>
            </w:r>
          </w:p>
          <w:p w:rsidR="00AC44CA" w:rsidRPr="00E06117" w:rsidRDefault="00745501" w:rsidP="00E06117">
            <w:pPr>
              <w:ind w:right="-1080"/>
              <w:jc w:val="both"/>
              <w:rPr>
                <w:b/>
                <w:i/>
              </w:rPr>
            </w:pPr>
            <w:r w:rsidRPr="00745501">
              <w:rPr>
                <w:i/>
                <w:iCs/>
              </w:rPr>
              <w:t>Jungtinių Tautų vyriausiojo pabėgėlių reikalų komisaro valdybos (UNHCR) atstovas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A6FBF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09:30-10:0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A6FBF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10:00-11:3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E859C7" w:rsidP="00E740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Teisėtumo ir savavališko sulaikymo draudimo reikalavimai. Sulaikymo būtinumas ir proporcingumas. Alternatyvios sulaikymui priemonės. Sulaikymo trukmė. Sprendimo sulaikyti peržiūra. Procesinės garantijos</w:t>
            </w:r>
            <w:r w:rsidR="00E74019">
              <w:t>. Prieglobsčio prašytojų atleidimo nuo baudžiamosios atsakomybės už neteisėtą sienos perėjimą sąlygos.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A6FBF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11:3</w:t>
            </w:r>
            <w:r w:rsidR="00745501">
              <w:rPr>
                <w:i/>
                <w:color w:val="000000"/>
              </w:rPr>
              <w:t>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A6FBF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11:45-13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E859C7" w:rsidRDefault="00E859C7" w:rsidP="003A6FB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E859C7">
              <w:rPr>
                <w:i/>
              </w:rPr>
              <w:t>Paskaitos tęsinys</w:t>
            </w:r>
            <w:r w:rsidR="003A6FBF" w:rsidRPr="00E859C7">
              <w:rPr>
                <w:i/>
              </w:rPr>
              <w:t> 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45501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700D48" w:rsidRDefault="00700D48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00D48" w:rsidRDefault="00700D48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00D48" w:rsidRDefault="00700D48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00D48" w:rsidRDefault="00700D48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bookmarkStart w:id="0" w:name="_GoBack"/>
      <w:bookmarkEnd w:id="0"/>
    </w:p>
    <w:p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700D48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700D48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700D48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700D48" w:rsidP="00700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D3" w:rsidRDefault="00CA34D3">
      <w:r>
        <w:separator/>
      </w:r>
    </w:p>
  </w:endnote>
  <w:endnote w:type="continuationSeparator" w:id="0">
    <w:p w:rsidR="00CA34D3" w:rsidRDefault="00C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D3" w:rsidRDefault="00CA34D3">
      <w:r>
        <w:separator/>
      </w:r>
    </w:p>
  </w:footnote>
  <w:footnote w:type="continuationSeparator" w:id="0">
    <w:p w:rsidR="00CA34D3" w:rsidRDefault="00CA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E74019" w:rsidRDefault="003075B7" w:rsidP="00EA07A2">
    <w:pPr>
      <w:pStyle w:val="Header"/>
      <w:jc w:val="center"/>
      <w:rPr>
        <w:b/>
      </w:rPr>
    </w:pPr>
    <w:r w:rsidRPr="00E74019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10F"/>
    <w:rsid w:val="004923F5"/>
    <w:rsid w:val="00492D52"/>
    <w:rsid w:val="0049460B"/>
    <w:rsid w:val="004947E1"/>
    <w:rsid w:val="004A07A6"/>
    <w:rsid w:val="004A13B7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0D48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1C6D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20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4D3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019"/>
    <w:rsid w:val="00E747D2"/>
    <w:rsid w:val="00E759EE"/>
    <w:rsid w:val="00E76CFA"/>
    <w:rsid w:val="00E83E0C"/>
    <w:rsid w:val="00E84843"/>
    <w:rsid w:val="00E8535A"/>
    <w:rsid w:val="00E856DC"/>
    <w:rsid w:val="00E859C7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4795D"/>
  <w15:docId w15:val="{6CCBCAEA-D7BA-4E2E-B3FC-EC8BFAB2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2015-03-23T08:16:00Z</cp:lastPrinted>
  <dcterms:created xsi:type="dcterms:W3CDTF">2016-12-19T09:31:00Z</dcterms:created>
  <dcterms:modified xsi:type="dcterms:W3CDTF">2017-01-24T08:55:00Z</dcterms:modified>
</cp:coreProperties>
</file>