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33DC6" w14:textId="77777777" w:rsidR="0017179D" w:rsidRPr="00D63894" w:rsidRDefault="0017179D" w:rsidP="0037682F">
      <w:pPr>
        <w:tabs>
          <w:tab w:val="left" w:pos="851"/>
          <w:tab w:val="left" w:pos="1134"/>
          <w:tab w:val="left" w:pos="1778"/>
        </w:tabs>
        <w:overflowPunct w:val="0"/>
        <w:ind w:firstLine="567"/>
        <w:jc w:val="center"/>
        <w:textAlignment w:val="baseline"/>
        <w:rPr>
          <w:rFonts w:eastAsia="Calibri"/>
          <w:b/>
          <w:szCs w:val="24"/>
        </w:rPr>
      </w:pPr>
    </w:p>
    <w:p w14:paraId="4355A9E6" w14:textId="1ED424F0" w:rsidR="0017179D" w:rsidRPr="00D63894" w:rsidRDefault="0023505C" w:rsidP="0037682F">
      <w:pPr>
        <w:tabs>
          <w:tab w:val="left" w:pos="851"/>
          <w:tab w:val="left" w:pos="1134"/>
          <w:tab w:val="left" w:pos="1778"/>
        </w:tabs>
        <w:overflowPunct w:val="0"/>
        <w:ind w:firstLine="567"/>
        <w:jc w:val="center"/>
        <w:textAlignment w:val="baseline"/>
        <w:rPr>
          <w:rFonts w:eastAsia="Calibri"/>
          <w:b/>
          <w:szCs w:val="24"/>
        </w:rPr>
      </w:pPr>
      <w:r>
        <w:rPr>
          <w:rFonts w:eastAsia="Calibri"/>
          <w:b/>
          <w:noProof/>
          <w:szCs w:val="24"/>
          <w:lang w:val="en-GB" w:eastAsia="en-GB"/>
        </w:rPr>
        <w:drawing>
          <wp:inline distT="0" distB="0" distL="0" distR="0" wp14:anchorId="2E386151" wp14:editId="4B51DE90">
            <wp:extent cx="73152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62000"/>
                    </a:xfrm>
                    <a:prstGeom prst="rect">
                      <a:avLst/>
                    </a:prstGeom>
                    <a:noFill/>
                  </pic:spPr>
                </pic:pic>
              </a:graphicData>
            </a:graphic>
          </wp:inline>
        </w:drawing>
      </w:r>
    </w:p>
    <w:p w14:paraId="4863B5A5" w14:textId="77777777" w:rsidR="0017179D" w:rsidRPr="00D63894" w:rsidRDefault="0017179D" w:rsidP="0037682F">
      <w:pPr>
        <w:tabs>
          <w:tab w:val="left" w:pos="851"/>
          <w:tab w:val="left" w:pos="1134"/>
          <w:tab w:val="left" w:pos="1778"/>
        </w:tabs>
        <w:overflowPunct w:val="0"/>
        <w:ind w:firstLine="567"/>
        <w:jc w:val="center"/>
        <w:textAlignment w:val="baseline"/>
        <w:rPr>
          <w:rFonts w:eastAsia="Calibri"/>
          <w:b/>
          <w:szCs w:val="24"/>
        </w:rPr>
      </w:pPr>
      <w:r w:rsidRPr="00D63894">
        <w:rPr>
          <w:rFonts w:eastAsia="Calibri"/>
          <w:b/>
          <w:szCs w:val="24"/>
        </w:rPr>
        <w:t>TEISĖJŲ TARYBA</w:t>
      </w:r>
    </w:p>
    <w:p w14:paraId="343C53A8" w14:textId="77777777" w:rsidR="0017179D" w:rsidRPr="00D63894" w:rsidRDefault="0017179D" w:rsidP="0037682F">
      <w:pPr>
        <w:tabs>
          <w:tab w:val="left" w:pos="851"/>
          <w:tab w:val="left" w:pos="1134"/>
          <w:tab w:val="left" w:pos="1778"/>
        </w:tabs>
        <w:overflowPunct w:val="0"/>
        <w:ind w:firstLine="567"/>
        <w:jc w:val="center"/>
        <w:textAlignment w:val="baseline"/>
        <w:rPr>
          <w:rFonts w:eastAsia="Calibri"/>
          <w:b/>
          <w:szCs w:val="24"/>
        </w:rPr>
      </w:pPr>
    </w:p>
    <w:p w14:paraId="09623046" w14:textId="77777777" w:rsidR="0017179D" w:rsidRPr="00D63894" w:rsidRDefault="0017179D" w:rsidP="0037682F">
      <w:pPr>
        <w:tabs>
          <w:tab w:val="left" w:pos="851"/>
          <w:tab w:val="left" w:pos="1134"/>
          <w:tab w:val="left" w:pos="1778"/>
        </w:tabs>
        <w:overflowPunct w:val="0"/>
        <w:ind w:firstLine="567"/>
        <w:jc w:val="center"/>
        <w:textAlignment w:val="baseline"/>
        <w:rPr>
          <w:rFonts w:eastAsia="Calibri"/>
          <w:b/>
          <w:szCs w:val="24"/>
        </w:rPr>
      </w:pPr>
      <w:r w:rsidRPr="00D63894">
        <w:rPr>
          <w:rFonts w:eastAsia="Calibri"/>
          <w:b/>
          <w:szCs w:val="24"/>
        </w:rPr>
        <w:t>NUTARIMAS</w:t>
      </w:r>
    </w:p>
    <w:p w14:paraId="16E2918C" w14:textId="77777777" w:rsidR="0017179D" w:rsidRPr="00D63894" w:rsidRDefault="0017179D" w:rsidP="0037682F">
      <w:pPr>
        <w:tabs>
          <w:tab w:val="left" w:pos="851"/>
          <w:tab w:val="left" w:pos="1134"/>
          <w:tab w:val="left" w:pos="1778"/>
        </w:tabs>
        <w:overflowPunct w:val="0"/>
        <w:ind w:firstLine="567"/>
        <w:jc w:val="center"/>
        <w:textAlignment w:val="baseline"/>
        <w:rPr>
          <w:rFonts w:eastAsia="Calibri"/>
          <w:b/>
          <w:szCs w:val="24"/>
        </w:rPr>
      </w:pPr>
      <w:r w:rsidRPr="00D63894">
        <w:rPr>
          <w:rFonts w:eastAsia="Calibri"/>
          <w:b/>
          <w:szCs w:val="24"/>
        </w:rPr>
        <w:t>DĖL NEVIEŠŲ DUOMENŲ TVARKYMO LIETUVOS TEISMŲ INFORMACINĖJE SISTEMOJE TVARKOS APRAŠO PATVIRTINIMO</w:t>
      </w:r>
    </w:p>
    <w:p w14:paraId="0CF67078" w14:textId="77777777" w:rsidR="0017179D" w:rsidRPr="00D63894" w:rsidRDefault="0017179D" w:rsidP="0037682F">
      <w:pPr>
        <w:tabs>
          <w:tab w:val="left" w:pos="851"/>
          <w:tab w:val="left" w:pos="1134"/>
          <w:tab w:val="left" w:pos="1778"/>
        </w:tabs>
        <w:overflowPunct w:val="0"/>
        <w:ind w:firstLine="567"/>
        <w:jc w:val="center"/>
        <w:textAlignment w:val="baseline"/>
        <w:rPr>
          <w:rFonts w:eastAsia="Calibri"/>
          <w:szCs w:val="24"/>
        </w:rPr>
      </w:pPr>
    </w:p>
    <w:p w14:paraId="65455F71" w14:textId="5A2ADE67" w:rsidR="0017179D" w:rsidRPr="00D63894" w:rsidRDefault="0017179D" w:rsidP="0037682F">
      <w:pPr>
        <w:tabs>
          <w:tab w:val="left" w:pos="851"/>
          <w:tab w:val="left" w:pos="1134"/>
          <w:tab w:val="left" w:pos="1778"/>
        </w:tabs>
        <w:overflowPunct w:val="0"/>
        <w:ind w:firstLine="567"/>
        <w:jc w:val="center"/>
        <w:textAlignment w:val="baseline"/>
        <w:rPr>
          <w:rFonts w:eastAsia="Calibri"/>
          <w:szCs w:val="24"/>
        </w:rPr>
      </w:pPr>
      <w:r w:rsidRPr="00D63894">
        <w:rPr>
          <w:rFonts w:eastAsia="Calibri"/>
          <w:szCs w:val="24"/>
        </w:rPr>
        <w:t>2017 m.</w:t>
      </w:r>
      <w:r w:rsidR="0023505C">
        <w:rPr>
          <w:rFonts w:eastAsia="Calibri"/>
          <w:szCs w:val="24"/>
        </w:rPr>
        <w:t xml:space="preserve"> kovo 31 d. Nr. 13P-</w:t>
      </w:r>
      <w:r w:rsidR="0023505C">
        <w:t>61</w:t>
      </w:r>
      <w:r w:rsidR="0023505C" w:rsidRPr="00323A6E">
        <w:t>-(7.1.2)</w:t>
      </w:r>
    </w:p>
    <w:p w14:paraId="316B6691" w14:textId="77777777" w:rsidR="0017179D" w:rsidRPr="00D63894" w:rsidRDefault="0017179D" w:rsidP="0037682F">
      <w:pPr>
        <w:tabs>
          <w:tab w:val="left" w:pos="851"/>
          <w:tab w:val="left" w:pos="1134"/>
          <w:tab w:val="left" w:pos="1778"/>
        </w:tabs>
        <w:overflowPunct w:val="0"/>
        <w:ind w:firstLine="567"/>
        <w:jc w:val="center"/>
        <w:textAlignment w:val="baseline"/>
        <w:rPr>
          <w:rFonts w:eastAsia="Calibri"/>
          <w:szCs w:val="24"/>
        </w:rPr>
      </w:pPr>
      <w:r w:rsidRPr="00D63894">
        <w:rPr>
          <w:rFonts w:eastAsia="Calibri"/>
          <w:szCs w:val="24"/>
        </w:rPr>
        <w:t>Vilnius</w:t>
      </w:r>
    </w:p>
    <w:p w14:paraId="004A8D77" w14:textId="77777777" w:rsidR="0017179D" w:rsidRPr="00D63894" w:rsidRDefault="0017179D" w:rsidP="0037682F">
      <w:pPr>
        <w:tabs>
          <w:tab w:val="left" w:pos="851"/>
          <w:tab w:val="left" w:pos="1134"/>
        </w:tabs>
        <w:overflowPunct w:val="0"/>
        <w:ind w:firstLine="567"/>
        <w:jc w:val="both"/>
        <w:textAlignment w:val="baseline"/>
        <w:rPr>
          <w:rFonts w:eastAsia="Calibri"/>
          <w:szCs w:val="24"/>
        </w:rPr>
      </w:pPr>
    </w:p>
    <w:p w14:paraId="4721B7F7" w14:textId="77777777" w:rsidR="00365C1A" w:rsidRPr="00D63894" w:rsidRDefault="00365C1A" w:rsidP="0037682F">
      <w:pPr>
        <w:tabs>
          <w:tab w:val="left" w:pos="851"/>
          <w:tab w:val="left" w:pos="1134"/>
        </w:tabs>
        <w:overflowPunct w:val="0"/>
        <w:ind w:firstLine="567"/>
        <w:jc w:val="both"/>
        <w:textAlignment w:val="baseline"/>
        <w:rPr>
          <w:rFonts w:eastAsia="Calibri"/>
          <w:szCs w:val="24"/>
        </w:rPr>
      </w:pPr>
    </w:p>
    <w:p w14:paraId="739B5F3D" w14:textId="77777777" w:rsidR="00365C1A" w:rsidRPr="00D63894" w:rsidRDefault="00365C1A" w:rsidP="0037682F">
      <w:pPr>
        <w:tabs>
          <w:tab w:val="left" w:pos="851"/>
          <w:tab w:val="left" w:pos="1134"/>
          <w:tab w:val="left" w:pos="1778"/>
        </w:tabs>
        <w:overflowPunct w:val="0"/>
        <w:ind w:firstLine="567"/>
        <w:jc w:val="both"/>
        <w:textAlignment w:val="baseline"/>
        <w:rPr>
          <w:rFonts w:eastAsia="Calibri"/>
          <w:szCs w:val="24"/>
        </w:rPr>
      </w:pPr>
      <w:r w:rsidRPr="00D63894">
        <w:rPr>
          <w:rFonts w:eastAsia="Calibri"/>
          <w:szCs w:val="24"/>
        </w:rPr>
        <w:t>Vadovaudamasi Lietuvos Respublikos teismų įstatymo 120 straipsnio 17 punktu, Teisėjų taryba  n u t a r i a:</w:t>
      </w:r>
    </w:p>
    <w:p w14:paraId="2AA18D97" w14:textId="77777777" w:rsidR="00365C1A" w:rsidRPr="00D63894" w:rsidRDefault="00365C1A" w:rsidP="0037682F">
      <w:pPr>
        <w:tabs>
          <w:tab w:val="left" w:pos="851"/>
          <w:tab w:val="left" w:pos="1134"/>
          <w:tab w:val="left" w:pos="1778"/>
        </w:tabs>
        <w:overflowPunct w:val="0"/>
        <w:ind w:firstLine="567"/>
        <w:jc w:val="both"/>
        <w:textAlignment w:val="baseline"/>
        <w:rPr>
          <w:rFonts w:eastAsia="Calibri"/>
          <w:szCs w:val="24"/>
        </w:rPr>
      </w:pPr>
      <w:r w:rsidRPr="00D63894">
        <w:rPr>
          <w:rFonts w:eastAsia="Calibri"/>
          <w:szCs w:val="24"/>
        </w:rPr>
        <w:t>1. Patvirtinti Neviešų duomenų tvarkymo Lietuvos teismų informacinėje sistemoje tvarkos aprašą (pridedama).</w:t>
      </w:r>
    </w:p>
    <w:p w14:paraId="12C19906" w14:textId="77777777" w:rsidR="0017179D" w:rsidRPr="00D63894" w:rsidRDefault="00365C1A" w:rsidP="0037682F">
      <w:pPr>
        <w:tabs>
          <w:tab w:val="left" w:pos="851"/>
          <w:tab w:val="left" w:pos="1134"/>
          <w:tab w:val="left" w:pos="1778"/>
        </w:tabs>
        <w:overflowPunct w:val="0"/>
        <w:ind w:firstLine="567"/>
        <w:jc w:val="both"/>
        <w:textAlignment w:val="baseline"/>
        <w:rPr>
          <w:rFonts w:eastAsia="Calibri"/>
          <w:szCs w:val="24"/>
        </w:rPr>
      </w:pPr>
      <w:r w:rsidRPr="00D63894">
        <w:rPr>
          <w:rFonts w:eastAsia="Calibri"/>
          <w:szCs w:val="24"/>
        </w:rPr>
        <w:t xml:space="preserve">2. Nustatyti, jog šis nutarimas įsigalioja nuo 2017 m. </w:t>
      </w:r>
      <w:r w:rsidR="00E33F45" w:rsidRPr="00D63894">
        <w:rPr>
          <w:rFonts w:eastAsia="Calibri"/>
          <w:szCs w:val="24"/>
        </w:rPr>
        <w:t xml:space="preserve">balandžio </w:t>
      </w:r>
      <w:r w:rsidRPr="00D63894">
        <w:rPr>
          <w:rFonts w:eastAsia="Calibri"/>
          <w:szCs w:val="24"/>
        </w:rPr>
        <w:t>1 d.</w:t>
      </w:r>
    </w:p>
    <w:p w14:paraId="28183361" w14:textId="77777777" w:rsidR="0017179D" w:rsidRPr="00D63894" w:rsidRDefault="0017179D" w:rsidP="0037682F">
      <w:pPr>
        <w:tabs>
          <w:tab w:val="left" w:pos="851"/>
          <w:tab w:val="left" w:pos="1134"/>
        </w:tabs>
        <w:overflowPunct w:val="0"/>
        <w:ind w:firstLine="567"/>
        <w:jc w:val="both"/>
        <w:textAlignment w:val="baseline"/>
        <w:rPr>
          <w:rFonts w:eastAsia="Calibri"/>
          <w:szCs w:val="24"/>
        </w:rPr>
      </w:pPr>
    </w:p>
    <w:p w14:paraId="4377CC8E" w14:textId="77777777" w:rsidR="0017179D" w:rsidRPr="00D63894" w:rsidRDefault="0017179D" w:rsidP="0037682F">
      <w:pPr>
        <w:tabs>
          <w:tab w:val="left" w:pos="851"/>
          <w:tab w:val="left" w:pos="1134"/>
        </w:tabs>
        <w:overflowPunct w:val="0"/>
        <w:ind w:firstLine="567"/>
        <w:jc w:val="both"/>
        <w:textAlignment w:val="baseline"/>
        <w:rPr>
          <w:rFonts w:eastAsia="Calibri"/>
          <w:szCs w:val="24"/>
        </w:rPr>
      </w:pPr>
    </w:p>
    <w:p w14:paraId="65EF45E4" w14:textId="77777777" w:rsidR="0017179D" w:rsidRPr="00D63894" w:rsidRDefault="0017179D" w:rsidP="0037682F">
      <w:pPr>
        <w:tabs>
          <w:tab w:val="left" w:pos="851"/>
          <w:tab w:val="left" w:pos="1134"/>
        </w:tabs>
        <w:overflowPunct w:val="0"/>
        <w:ind w:firstLine="567"/>
        <w:jc w:val="both"/>
        <w:textAlignment w:val="baseline"/>
        <w:rPr>
          <w:rFonts w:eastAsia="Calibri"/>
          <w:szCs w:val="24"/>
        </w:rPr>
      </w:pPr>
    </w:p>
    <w:p w14:paraId="275921A8" w14:textId="77777777" w:rsidR="0017179D" w:rsidRPr="00D63894" w:rsidRDefault="0017179D" w:rsidP="0037682F">
      <w:pPr>
        <w:tabs>
          <w:tab w:val="left" w:pos="851"/>
          <w:tab w:val="left" w:pos="1134"/>
          <w:tab w:val="left" w:pos="1778"/>
        </w:tabs>
        <w:overflowPunct w:val="0"/>
        <w:ind w:firstLine="567"/>
        <w:jc w:val="both"/>
        <w:textAlignment w:val="baseline"/>
        <w:rPr>
          <w:rFonts w:eastAsia="Calibri"/>
          <w:szCs w:val="24"/>
        </w:rPr>
      </w:pPr>
    </w:p>
    <w:p w14:paraId="216CFE1A" w14:textId="77777777" w:rsidR="0017179D" w:rsidRPr="00D63894" w:rsidRDefault="0017179D" w:rsidP="0037682F">
      <w:pPr>
        <w:tabs>
          <w:tab w:val="left" w:pos="851"/>
          <w:tab w:val="left" w:pos="1134"/>
          <w:tab w:val="left" w:pos="1778"/>
        </w:tabs>
        <w:overflowPunct w:val="0"/>
        <w:ind w:firstLine="567"/>
        <w:jc w:val="both"/>
        <w:textAlignment w:val="baseline"/>
        <w:rPr>
          <w:rFonts w:eastAsia="Calibri"/>
          <w:szCs w:val="24"/>
        </w:rPr>
      </w:pPr>
    </w:p>
    <w:tbl>
      <w:tblPr>
        <w:tblW w:w="9072" w:type="dxa"/>
        <w:tblLayout w:type="fixed"/>
        <w:tblLook w:val="04A0" w:firstRow="1" w:lastRow="0" w:firstColumn="1" w:lastColumn="0" w:noHBand="0" w:noVBand="1"/>
      </w:tblPr>
      <w:tblGrid>
        <w:gridCol w:w="6663"/>
        <w:gridCol w:w="2409"/>
      </w:tblGrid>
      <w:tr w:rsidR="00D63894" w:rsidRPr="00D63894" w14:paraId="57F02EA8" w14:textId="77777777" w:rsidTr="0023505C">
        <w:tc>
          <w:tcPr>
            <w:tcW w:w="6663" w:type="dxa"/>
          </w:tcPr>
          <w:p w14:paraId="6D5CFDA4" w14:textId="77777777" w:rsidR="0017179D" w:rsidRPr="00D63894" w:rsidRDefault="0017179D" w:rsidP="00B54DAE">
            <w:pPr>
              <w:tabs>
                <w:tab w:val="left" w:pos="851"/>
                <w:tab w:val="left" w:pos="1134"/>
              </w:tabs>
              <w:spacing w:line="276" w:lineRule="auto"/>
              <w:rPr>
                <w:rFonts w:eastAsia="Calibri"/>
                <w:szCs w:val="24"/>
              </w:rPr>
            </w:pPr>
            <w:r w:rsidRPr="00D63894">
              <w:rPr>
                <w:rFonts w:eastAsia="Calibri"/>
                <w:szCs w:val="24"/>
              </w:rPr>
              <w:t>Pirmininkas</w:t>
            </w:r>
          </w:p>
          <w:p w14:paraId="4F2D6758" w14:textId="77777777" w:rsidR="00B54DAE" w:rsidRPr="00D63894" w:rsidRDefault="00B54DAE" w:rsidP="00B54DAE">
            <w:pPr>
              <w:tabs>
                <w:tab w:val="left" w:pos="851"/>
                <w:tab w:val="left" w:pos="1134"/>
              </w:tabs>
              <w:spacing w:line="276" w:lineRule="auto"/>
              <w:rPr>
                <w:rFonts w:eastAsia="Calibri"/>
                <w:szCs w:val="24"/>
              </w:rPr>
            </w:pPr>
          </w:p>
        </w:tc>
        <w:tc>
          <w:tcPr>
            <w:tcW w:w="2409" w:type="dxa"/>
          </w:tcPr>
          <w:p w14:paraId="78F61339" w14:textId="7C4023F0" w:rsidR="0023505C" w:rsidRDefault="0023505C" w:rsidP="0023505C">
            <w:pPr>
              <w:tabs>
                <w:tab w:val="left" w:pos="851"/>
                <w:tab w:val="left" w:pos="1134"/>
              </w:tabs>
              <w:spacing w:line="276" w:lineRule="auto"/>
              <w:rPr>
                <w:rFonts w:eastAsia="Calibri"/>
                <w:szCs w:val="24"/>
              </w:rPr>
            </w:pPr>
            <w:r w:rsidRPr="0023505C">
              <w:rPr>
                <w:rFonts w:eastAsia="Calibri"/>
                <w:szCs w:val="24"/>
              </w:rPr>
              <w:t>Rimvydas Norkus</w:t>
            </w:r>
          </w:p>
          <w:p w14:paraId="0E3B9818" w14:textId="77777777" w:rsidR="003B50BC" w:rsidRPr="0023505C" w:rsidRDefault="003B50BC" w:rsidP="0023505C">
            <w:pPr>
              <w:tabs>
                <w:tab w:val="left" w:pos="851"/>
                <w:tab w:val="left" w:pos="1134"/>
              </w:tabs>
              <w:spacing w:line="276" w:lineRule="auto"/>
              <w:rPr>
                <w:rFonts w:eastAsia="Calibri"/>
                <w:szCs w:val="24"/>
              </w:rPr>
            </w:pPr>
            <w:bookmarkStart w:id="0" w:name="_GoBack"/>
            <w:bookmarkEnd w:id="0"/>
          </w:p>
          <w:p w14:paraId="1BE26959" w14:textId="0F14EFBD" w:rsidR="0017179D" w:rsidRPr="00D63894" w:rsidRDefault="0017179D" w:rsidP="0023505C">
            <w:pPr>
              <w:tabs>
                <w:tab w:val="left" w:pos="851"/>
                <w:tab w:val="left" w:pos="1134"/>
              </w:tabs>
              <w:spacing w:line="276" w:lineRule="auto"/>
              <w:rPr>
                <w:rFonts w:eastAsia="Calibri"/>
                <w:szCs w:val="24"/>
              </w:rPr>
            </w:pPr>
          </w:p>
        </w:tc>
      </w:tr>
      <w:tr w:rsidR="0017179D" w:rsidRPr="00D63894" w14:paraId="74743D3C" w14:textId="77777777" w:rsidTr="0023505C">
        <w:tc>
          <w:tcPr>
            <w:tcW w:w="6663" w:type="dxa"/>
          </w:tcPr>
          <w:p w14:paraId="343ACD21" w14:textId="77777777" w:rsidR="0017179D" w:rsidRPr="00D63894" w:rsidRDefault="0017179D" w:rsidP="00B54DAE">
            <w:pPr>
              <w:tabs>
                <w:tab w:val="left" w:pos="851"/>
                <w:tab w:val="left" w:pos="1134"/>
              </w:tabs>
              <w:spacing w:line="276" w:lineRule="auto"/>
              <w:rPr>
                <w:rFonts w:eastAsia="Calibri"/>
                <w:szCs w:val="24"/>
              </w:rPr>
            </w:pPr>
            <w:r w:rsidRPr="00D63894">
              <w:rPr>
                <w:rFonts w:eastAsia="Calibri"/>
                <w:szCs w:val="24"/>
              </w:rPr>
              <w:t xml:space="preserve">Sekretorius </w:t>
            </w:r>
          </w:p>
        </w:tc>
        <w:tc>
          <w:tcPr>
            <w:tcW w:w="2409" w:type="dxa"/>
            <w:hideMark/>
          </w:tcPr>
          <w:p w14:paraId="4EDC4C9F" w14:textId="78A45696" w:rsidR="0017179D" w:rsidRPr="00D63894" w:rsidRDefault="0023505C" w:rsidP="0023505C">
            <w:pPr>
              <w:tabs>
                <w:tab w:val="left" w:pos="851"/>
                <w:tab w:val="left" w:pos="1134"/>
              </w:tabs>
              <w:spacing w:line="276" w:lineRule="auto"/>
              <w:rPr>
                <w:rFonts w:eastAsia="Calibri"/>
                <w:szCs w:val="24"/>
              </w:rPr>
            </w:pPr>
            <w:r w:rsidRPr="0023505C">
              <w:rPr>
                <w:rFonts w:eastAsia="Calibri"/>
                <w:szCs w:val="24"/>
              </w:rPr>
              <w:t>Ramūnas Gadliauskas</w:t>
            </w:r>
          </w:p>
        </w:tc>
      </w:tr>
    </w:tbl>
    <w:p w14:paraId="2A5E1FF5" w14:textId="77777777" w:rsidR="0017179D" w:rsidRPr="00D63894" w:rsidRDefault="0017179D" w:rsidP="0037682F">
      <w:pPr>
        <w:tabs>
          <w:tab w:val="left" w:pos="851"/>
          <w:tab w:val="left" w:pos="1134"/>
        </w:tabs>
        <w:ind w:firstLine="567"/>
      </w:pPr>
    </w:p>
    <w:p w14:paraId="77FCC8E6" w14:textId="77777777" w:rsidR="0017179D" w:rsidRPr="00D63894" w:rsidRDefault="0017179D" w:rsidP="0037682F">
      <w:pPr>
        <w:tabs>
          <w:tab w:val="left" w:pos="851"/>
          <w:tab w:val="left" w:pos="1134"/>
        </w:tabs>
        <w:spacing w:after="160" w:line="259" w:lineRule="auto"/>
        <w:ind w:firstLine="567"/>
      </w:pPr>
      <w:r w:rsidRPr="00D63894">
        <w:br w:type="page"/>
      </w:r>
    </w:p>
    <w:p w14:paraId="37B42A06" w14:textId="77777777" w:rsidR="0017179D" w:rsidRPr="00D63894" w:rsidRDefault="0017179D" w:rsidP="00B54DAE">
      <w:pPr>
        <w:tabs>
          <w:tab w:val="left" w:pos="851"/>
          <w:tab w:val="left" w:pos="1134"/>
        </w:tabs>
        <w:ind w:left="5387"/>
        <w:rPr>
          <w:rFonts w:eastAsia="Calibri"/>
          <w:szCs w:val="24"/>
        </w:rPr>
      </w:pPr>
      <w:r w:rsidRPr="00D63894">
        <w:rPr>
          <w:rFonts w:eastAsia="Calibri"/>
          <w:szCs w:val="24"/>
        </w:rPr>
        <w:lastRenderedPageBreak/>
        <w:t>PATVIRTINTA</w:t>
      </w:r>
    </w:p>
    <w:p w14:paraId="15BCF56F" w14:textId="3DC38602" w:rsidR="0017179D" w:rsidRPr="00D63894" w:rsidRDefault="0017179D" w:rsidP="00B54DAE">
      <w:pPr>
        <w:tabs>
          <w:tab w:val="left" w:pos="851"/>
          <w:tab w:val="left" w:pos="1134"/>
        </w:tabs>
        <w:ind w:left="5387"/>
        <w:rPr>
          <w:rFonts w:eastAsia="Calibri"/>
          <w:szCs w:val="24"/>
        </w:rPr>
      </w:pPr>
      <w:r w:rsidRPr="00D63894">
        <w:rPr>
          <w:rFonts w:eastAsia="Calibri"/>
          <w:szCs w:val="24"/>
        </w:rPr>
        <w:t xml:space="preserve">Teisėjų tarybos </w:t>
      </w:r>
      <w:r w:rsidR="00385DFD" w:rsidRPr="00385DFD">
        <w:rPr>
          <w:rFonts w:eastAsia="Calibri"/>
          <w:szCs w:val="24"/>
        </w:rPr>
        <w:t>2017 m. kovo 31 d.</w:t>
      </w:r>
    </w:p>
    <w:p w14:paraId="0D206138" w14:textId="07CB9D5A" w:rsidR="0017179D" w:rsidRPr="00D63894" w:rsidRDefault="0017179D" w:rsidP="00B54DAE">
      <w:pPr>
        <w:tabs>
          <w:tab w:val="left" w:pos="851"/>
          <w:tab w:val="left" w:pos="1134"/>
          <w:tab w:val="left" w:pos="1778"/>
        </w:tabs>
        <w:overflowPunct w:val="0"/>
        <w:ind w:left="5387"/>
        <w:textAlignment w:val="baseline"/>
        <w:rPr>
          <w:rFonts w:eastAsia="Calibri"/>
          <w:szCs w:val="24"/>
        </w:rPr>
      </w:pPr>
      <w:r w:rsidRPr="00D63894">
        <w:rPr>
          <w:rFonts w:eastAsia="Calibri"/>
          <w:szCs w:val="24"/>
        </w:rPr>
        <w:t xml:space="preserve">nutarimu Nr. </w:t>
      </w:r>
      <w:r w:rsidR="00385DFD">
        <w:rPr>
          <w:rFonts w:eastAsia="Calibri"/>
          <w:szCs w:val="24"/>
        </w:rPr>
        <w:t>1</w:t>
      </w:r>
      <w:r w:rsidR="00385DFD" w:rsidRPr="00385DFD">
        <w:rPr>
          <w:rFonts w:eastAsia="Calibri"/>
          <w:szCs w:val="24"/>
        </w:rPr>
        <w:t>3P-61-(7.1.2)</w:t>
      </w:r>
    </w:p>
    <w:p w14:paraId="2E3E562B" w14:textId="77777777" w:rsidR="00C8631F" w:rsidRPr="00D63894" w:rsidRDefault="00C8631F" w:rsidP="0037682F">
      <w:pPr>
        <w:tabs>
          <w:tab w:val="left" w:pos="851"/>
          <w:tab w:val="left" w:pos="1134"/>
        </w:tabs>
        <w:ind w:firstLine="567"/>
      </w:pPr>
    </w:p>
    <w:p w14:paraId="287C8BA3" w14:textId="77777777" w:rsidR="0017179D" w:rsidRPr="00D63894" w:rsidRDefault="0017179D" w:rsidP="0037682F">
      <w:pPr>
        <w:tabs>
          <w:tab w:val="left" w:pos="851"/>
          <w:tab w:val="left" w:pos="1134"/>
        </w:tabs>
        <w:ind w:firstLine="567"/>
      </w:pPr>
    </w:p>
    <w:p w14:paraId="4D05A1CA" w14:textId="77777777" w:rsidR="0017179D" w:rsidRPr="00D63894" w:rsidRDefault="0017179D" w:rsidP="0037682F">
      <w:pPr>
        <w:tabs>
          <w:tab w:val="left" w:pos="851"/>
          <w:tab w:val="left" w:pos="1134"/>
        </w:tabs>
        <w:ind w:firstLine="567"/>
      </w:pPr>
    </w:p>
    <w:p w14:paraId="6C1C9759" w14:textId="77777777" w:rsidR="0017179D" w:rsidRPr="00D63894" w:rsidRDefault="0017179D" w:rsidP="0037682F">
      <w:pPr>
        <w:tabs>
          <w:tab w:val="left" w:pos="851"/>
          <w:tab w:val="left" w:pos="1134"/>
        </w:tabs>
        <w:ind w:firstLine="567"/>
        <w:jc w:val="center"/>
        <w:rPr>
          <w:b/>
        </w:rPr>
      </w:pPr>
      <w:r w:rsidRPr="00D63894">
        <w:rPr>
          <w:b/>
        </w:rPr>
        <w:t>NEVIEŠŲ DUOMENŲ TVARKYMO LIETUVOS TEISMŲ INFORMACINĖJE SISTEMOJE TVARKOS APRAŠAS</w:t>
      </w:r>
    </w:p>
    <w:p w14:paraId="1FE730CA" w14:textId="77777777" w:rsidR="0017179D" w:rsidRPr="00D63894" w:rsidRDefault="0017179D" w:rsidP="00AB1B0E">
      <w:pPr>
        <w:tabs>
          <w:tab w:val="left" w:pos="851"/>
          <w:tab w:val="left" w:pos="1134"/>
        </w:tabs>
        <w:ind w:firstLine="567"/>
        <w:jc w:val="both"/>
        <w:rPr>
          <w:b/>
        </w:rPr>
      </w:pPr>
    </w:p>
    <w:p w14:paraId="034767D0" w14:textId="77777777" w:rsidR="009979CA" w:rsidRPr="00D63894" w:rsidRDefault="009979CA" w:rsidP="00C3314C">
      <w:pPr>
        <w:pStyle w:val="ListParagraph"/>
        <w:numPr>
          <w:ilvl w:val="0"/>
          <w:numId w:val="5"/>
        </w:numPr>
        <w:tabs>
          <w:tab w:val="left" w:pos="851"/>
          <w:tab w:val="left" w:pos="1134"/>
        </w:tabs>
        <w:jc w:val="center"/>
        <w:rPr>
          <w:b/>
        </w:rPr>
      </w:pPr>
      <w:r w:rsidRPr="00D63894">
        <w:rPr>
          <w:b/>
        </w:rPr>
        <w:t>SKYRIUS</w:t>
      </w:r>
    </w:p>
    <w:p w14:paraId="65665367" w14:textId="77777777" w:rsidR="0017179D" w:rsidRPr="00D63894" w:rsidRDefault="00C3314C" w:rsidP="009979CA">
      <w:pPr>
        <w:pStyle w:val="ListParagraph"/>
        <w:tabs>
          <w:tab w:val="left" w:pos="851"/>
          <w:tab w:val="left" w:pos="1134"/>
        </w:tabs>
        <w:ind w:left="1287"/>
        <w:jc w:val="center"/>
        <w:rPr>
          <w:b/>
        </w:rPr>
      </w:pPr>
      <w:r w:rsidRPr="00D63894">
        <w:rPr>
          <w:b/>
        </w:rPr>
        <w:t>BENDROSIOS NUOSTATOS</w:t>
      </w:r>
    </w:p>
    <w:p w14:paraId="219A8325" w14:textId="77777777" w:rsidR="00C3314C" w:rsidRPr="00D63894" w:rsidRDefault="00C3314C" w:rsidP="003B4407">
      <w:pPr>
        <w:tabs>
          <w:tab w:val="left" w:pos="851"/>
          <w:tab w:val="left" w:pos="993"/>
        </w:tabs>
        <w:ind w:firstLine="567"/>
        <w:jc w:val="center"/>
        <w:rPr>
          <w:b/>
        </w:rPr>
      </w:pPr>
    </w:p>
    <w:p w14:paraId="3FA5DC10" w14:textId="77777777" w:rsidR="0017179D" w:rsidRPr="00D63894" w:rsidRDefault="0017179D" w:rsidP="00161358">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Neviešų duomenų tvarkymo Lietuvos teismų informacinėje sistemoje tvarkos aprašas (toliau – Aprašas) reglamentuoja Lietuvos Respublikos teismų </w:t>
      </w:r>
      <w:r w:rsidR="009979CA" w:rsidRPr="00D63894">
        <w:rPr>
          <w:rFonts w:eastAsia="Calibri"/>
          <w:szCs w:val="24"/>
        </w:rPr>
        <w:t xml:space="preserve">civilinėse, baudžiamosiose, administracinių nusižengimų ir administracinėse </w:t>
      </w:r>
      <w:r w:rsidRPr="00D63894">
        <w:rPr>
          <w:rFonts w:eastAsia="Calibri"/>
          <w:szCs w:val="24"/>
        </w:rPr>
        <w:t>bylose esančių neviešų duomenų tvarkymo Lietuvos teismų informacinėje sistemoje (toliau – LITEKO) pagrindinius principus ir tvarką.</w:t>
      </w:r>
    </w:p>
    <w:p w14:paraId="58F81F70" w14:textId="77777777" w:rsidR="00456248" w:rsidRPr="00D63894" w:rsidRDefault="00456248" w:rsidP="0023719F">
      <w:pPr>
        <w:pStyle w:val="ListParagraph"/>
        <w:numPr>
          <w:ilvl w:val="0"/>
          <w:numId w:val="3"/>
        </w:numPr>
        <w:tabs>
          <w:tab w:val="left" w:pos="851"/>
          <w:tab w:val="left" w:pos="993"/>
          <w:tab w:val="left" w:pos="1134"/>
        </w:tabs>
        <w:ind w:left="0" w:firstLine="567"/>
        <w:jc w:val="both"/>
        <w:rPr>
          <w:rFonts w:eastAsia="Calibri"/>
          <w:szCs w:val="24"/>
        </w:rPr>
      </w:pPr>
      <w:r w:rsidRPr="00D63894">
        <w:t>Ši</w:t>
      </w:r>
      <w:r w:rsidR="002D4318" w:rsidRPr="00D63894">
        <w:t>o</w:t>
      </w:r>
      <w:r w:rsidRPr="00D63894">
        <w:t xml:space="preserve"> Aprašo paskirtis – užtikrinti teismuose tvarkomų neviešų duomenų apsaugą bei vieningą teismų praktiką tvarkant LITEKO su nevieš</w:t>
      </w:r>
      <w:r w:rsidR="00FB0DCC" w:rsidRPr="00D63894">
        <w:t>a</w:t>
      </w:r>
      <w:r w:rsidRPr="00D63894">
        <w:t xml:space="preserve"> bylų medžiaga susijusius duomenis. </w:t>
      </w:r>
    </w:p>
    <w:p w14:paraId="41DAEC6C" w14:textId="77777777" w:rsidR="00032C1F" w:rsidRPr="00D63894" w:rsidRDefault="00032C1F" w:rsidP="0023719F">
      <w:pPr>
        <w:pStyle w:val="ListParagraph"/>
        <w:numPr>
          <w:ilvl w:val="0"/>
          <w:numId w:val="3"/>
        </w:numPr>
        <w:tabs>
          <w:tab w:val="left" w:pos="851"/>
          <w:tab w:val="left" w:pos="993"/>
          <w:tab w:val="left" w:pos="1134"/>
        </w:tabs>
        <w:ind w:left="0" w:firstLine="567"/>
        <w:jc w:val="both"/>
        <w:rPr>
          <w:rFonts w:eastAsia="Calibri"/>
          <w:szCs w:val="24"/>
        </w:rPr>
      </w:pPr>
      <w:r w:rsidRPr="00D63894">
        <w:t>Šiame apraše naudojamos sąvokos:</w:t>
      </w:r>
    </w:p>
    <w:p w14:paraId="06ACB1D2" w14:textId="77777777" w:rsidR="00032C1F" w:rsidRPr="00D63894" w:rsidRDefault="00BB7FB1" w:rsidP="007523C8">
      <w:pPr>
        <w:pStyle w:val="ListParagraph"/>
        <w:numPr>
          <w:ilvl w:val="1"/>
          <w:numId w:val="3"/>
        </w:numPr>
        <w:tabs>
          <w:tab w:val="left" w:pos="851"/>
          <w:tab w:val="left" w:pos="993"/>
          <w:tab w:val="left" w:pos="1134"/>
        </w:tabs>
        <w:ind w:left="0" w:firstLine="567"/>
        <w:jc w:val="both"/>
        <w:rPr>
          <w:rFonts w:eastAsia="Calibri"/>
          <w:szCs w:val="24"/>
        </w:rPr>
      </w:pPr>
      <w:r w:rsidRPr="00D63894">
        <w:rPr>
          <w:rFonts w:eastAsia="Calibri"/>
          <w:szCs w:val="24"/>
        </w:rPr>
        <w:t>N</w:t>
      </w:r>
      <w:r w:rsidR="005329D0" w:rsidRPr="00D63894">
        <w:rPr>
          <w:rFonts w:eastAsia="Calibri"/>
          <w:szCs w:val="24"/>
        </w:rPr>
        <w:t xml:space="preserve">evieši duomenys – tai duomenys, kurie teisės aktų nustatyta tvarka pripažinti ar laikytini neviešais ir kurie gali būti atskleisti tik </w:t>
      </w:r>
      <w:r w:rsidR="00D52D17" w:rsidRPr="00D63894">
        <w:rPr>
          <w:rFonts w:eastAsia="Calibri"/>
          <w:szCs w:val="24"/>
        </w:rPr>
        <w:t xml:space="preserve">asmenims, turintiems teisę gauti </w:t>
      </w:r>
      <w:r w:rsidR="005329D0" w:rsidRPr="00D63894">
        <w:rPr>
          <w:rFonts w:eastAsia="Calibri"/>
          <w:szCs w:val="24"/>
        </w:rPr>
        <w:t>tokius duomenis.</w:t>
      </w:r>
    </w:p>
    <w:p w14:paraId="2A2E7CD0" w14:textId="77777777" w:rsidR="00005EDE" w:rsidRPr="00D63894" w:rsidRDefault="00BB7FB1" w:rsidP="00C62892">
      <w:pPr>
        <w:pStyle w:val="ListParagraph"/>
        <w:numPr>
          <w:ilvl w:val="1"/>
          <w:numId w:val="3"/>
        </w:numPr>
        <w:tabs>
          <w:tab w:val="left" w:pos="851"/>
          <w:tab w:val="left" w:pos="993"/>
          <w:tab w:val="left" w:pos="1134"/>
        </w:tabs>
        <w:ind w:left="0" w:firstLine="567"/>
        <w:jc w:val="both"/>
        <w:rPr>
          <w:rFonts w:eastAsia="Calibri"/>
          <w:szCs w:val="24"/>
        </w:rPr>
      </w:pPr>
      <w:r w:rsidRPr="00D63894">
        <w:rPr>
          <w:rFonts w:eastAsia="Calibri"/>
          <w:szCs w:val="24"/>
        </w:rPr>
        <w:t>N</w:t>
      </w:r>
      <w:r w:rsidR="00DF6C7D" w:rsidRPr="00D63894">
        <w:rPr>
          <w:rFonts w:eastAsia="Calibri"/>
          <w:szCs w:val="24"/>
        </w:rPr>
        <w:t xml:space="preserve">evieša bylos medžiaga – </w:t>
      </w:r>
      <w:r w:rsidR="00005EDE" w:rsidRPr="00D63894">
        <w:rPr>
          <w:rFonts w:eastAsia="Calibri"/>
          <w:szCs w:val="24"/>
        </w:rPr>
        <w:t>teismo bylą sudarantys dokumentai, įskaitant ir teismo priimtus procesinius dokumentus, kuriuose yra neviešų duomenų.</w:t>
      </w:r>
    </w:p>
    <w:p w14:paraId="547701E4" w14:textId="77777777" w:rsidR="004F2D72" w:rsidRPr="00D63894" w:rsidRDefault="004F2D72" w:rsidP="0023719F">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Už neviešų duomenų tvarkymo LITEKO organizavimą ir kontrolę yra atsakingas teismo pirmininkas. Bylos nagrinėjimo metu už neviešų duomenų </w:t>
      </w:r>
      <w:r w:rsidR="003E6F66" w:rsidRPr="00D63894">
        <w:rPr>
          <w:rFonts w:eastAsia="Calibri"/>
          <w:szCs w:val="24"/>
        </w:rPr>
        <w:t xml:space="preserve">tvarkymo teisėtumo ir proporcingumo užtikrinimą </w:t>
      </w:r>
      <w:r w:rsidR="008136CB" w:rsidRPr="00D63894">
        <w:rPr>
          <w:rFonts w:eastAsia="Calibri"/>
          <w:szCs w:val="24"/>
        </w:rPr>
        <w:t xml:space="preserve">yra </w:t>
      </w:r>
      <w:r w:rsidRPr="00D63894">
        <w:rPr>
          <w:rFonts w:eastAsia="Calibri"/>
          <w:szCs w:val="24"/>
        </w:rPr>
        <w:t>atsakingas bylą nagrinėjantis teisėjas ar teisėjų kolegija.</w:t>
      </w:r>
    </w:p>
    <w:p w14:paraId="749068DB" w14:textId="77777777" w:rsidR="00470BA0" w:rsidRPr="00D63894" w:rsidRDefault="00CD0E1A" w:rsidP="003B03D3">
      <w:pPr>
        <w:pStyle w:val="ListParagraph"/>
        <w:numPr>
          <w:ilvl w:val="0"/>
          <w:numId w:val="3"/>
        </w:numPr>
        <w:tabs>
          <w:tab w:val="left" w:pos="851"/>
          <w:tab w:val="left" w:pos="993"/>
          <w:tab w:val="left" w:pos="1134"/>
        </w:tabs>
        <w:ind w:left="0" w:firstLine="567"/>
        <w:jc w:val="both"/>
        <w:rPr>
          <w:rFonts w:eastAsia="Calibri"/>
          <w:szCs w:val="24"/>
        </w:rPr>
      </w:pPr>
      <w:r w:rsidRPr="00D63894">
        <w:t>Įgyvendin</w:t>
      </w:r>
      <w:r w:rsidR="00DA5B6B" w:rsidRPr="00D63894">
        <w:t>damas</w:t>
      </w:r>
      <w:r w:rsidRPr="00D63894">
        <w:t xml:space="preserve"> ši</w:t>
      </w:r>
      <w:r w:rsidR="00EF3D8E" w:rsidRPr="00D63894">
        <w:t>ame Apraše ir kituose</w:t>
      </w:r>
      <w:r w:rsidRPr="00D63894">
        <w:t xml:space="preserve"> teisės aktuose nustatytus reikalavimus, teismo pirmininkas paskiria </w:t>
      </w:r>
      <w:r w:rsidR="00EF3D8E" w:rsidRPr="00D63894">
        <w:t>asmenis</w:t>
      </w:r>
      <w:r w:rsidRPr="00D63894">
        <w:t>, atsakingus už neviešų duomenų tvarkymą LITEKO.</w:t>
      </w:r>
      <w:r w:rsidR="00470BA0" w:rsidRPr="00D63894">
        <w:rPr>
          <w:rFonts w:eastAsia="Calibri"/>
          <w:szCs w:val="24"/>
        </w:rPr>
        <w:t xml:space="preserve"> </w:t>
      </w:r>
    </w:p>
    <w:p w14:paraId="6313A260" w14:textId="77777777" w:rsidR="00022EAA" w:rsidRPr="00D63894" w:rsidRDefault="00022EAA" w:rsidP="007523C8">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Aprašas netaikomas duomenų, kuriems Lietuvos Respublikos valstybės ir tarnybos paslapčių įstatymo nustatyta tvarka suteiktos slaptumo žymos, tvarkymui.</w:t>
      </w:r>
    </w:p>
    <w:p w14:paraId="034930CB" w14:textId="77777777" w:rsidR="00C3314C" w:rsidRPr="00D63894" w:rsidRDefault="00C3314C" w:rsidP="003B03D3">
      <w:pPr>
        <w:tabs>
          <w:tab w:val="left" w:pos="851"/>
          <w:tab w:val="left" w:pos="993"/>
          <w:tab w:val="left" w:pos="1134"/>
        </w:tabs>
        <w:ind w:firstLine="567"/>
        <w:jc w:val="both"/>
        <w:rPr>
          <w:rFonts w:eastAsia="Calibri"/>
          <w:szCs w:val="24"/>
        </w:rPr>
      </w:pPr>
    </w:p>
    <w:p w14:paraId="29E18F26" w14:textId="77777777" w:rsidR="00936FAD" w:rsidRPr="00D63894" w:rsidRDefault="00936FAD" w:rsidP="003B03D3">
      <w:pPr>
        <w:pStyle w:val="ListParagraph"/>
        <w:numPr>
          <w:ilvl w:val="0"/>
          <w:numId w:val="5"/>
        </w:numPr>
        <w:tabs>
          <w:tab w:val="left" w:pos="851"/>
          <w:tab w:val="left" w:pos="993"/>
          <w:tab w:val="left" w:pos="1134"/>
        </w:tabs>
        <w:ind w:left="0" w:firstLine="567"/>
        <w:jc w:val="center"/>
        <w:rPr>
          <w:rFonts w:eastAsia="Calibri"/>
          <w:b/>
          <w:szCs w:val="24"/>
        </w:rPr>
      </w:pPr>
      <w:r w:rsidRPr="00D63894">
        <w:rPr>
          <w:rFonts w:eastAsia="Calibri"/>
          <w:b/>
          <w:szCs w:val="24"/>
        </w:rPr>
        <w:t>SKYRIUS</w:t>
      </w:r>
    </w:p>
    <w:p w14:paraId="4D3D6F83" w14:textId="77777777" w:rsidR="008C4313" w:rsidRPr="00D63894" w:rsidRDefault="008C4313" w:rsidP="00936FAD">
      <w:pPr>
        <w:pStyle w:val="ListParagraph"/>
        <w:tabs>
          <w:tab w:val="left" w:pos="851"/>
          <w:tab w:val="left" w:pos="993"/>
          <w:tab w:val="left" w:pos="1134"/>
        </w:tabs>
        <w:ind w:left="567"/>
        <w:jc w:val="center"/>
        <w:rPr>
          <w:rFonts w:eastAsia="Calibri"/>
          <w:b/>
          <w:szCs w:val="24"/>
        </w:rPr>
      </w:pPr>
      <w:r w:rsidRPr="00D63894">
        <w:rPr>
          <w:rFonts w:eastAsia="Calibri"/>
          <w:b/>
          <w:szCs w:val="24"/>
        </w:rPr>
        <w:t>BENDRIEJI REIKALAVIMAI NEVIEŠŲ DUOMENŲ TVARKYMUI LITEKO</w:t>
      </w:r>
    </w:p>
    <w:p w14:paraId="48EBC2BD" w14:textId="77777777" w:rsidR="00C3314C" w:rsidRPr="00D63894" w:rsidRDefault="00C3314C" w:rsidP="003B03D3">
      <w:pPr>
        <w:tabs>
          <w:tab w:val="left" w:pos="851"/>
          <w:tab w:val="left" w:pos="993"/>
          <w:tab w:val="left" w:pos="1134"/>
        </w:tabs>
        <w:ind w:firstLine="567"/>
        <w:jc w:val="both"/>
        <w:rPr>
          <w:rFonts w:eastAsia="Calibri"/>
          <w:szCs w:val="24"/>
        </w:rPr>
      </w:pPr>
    </w:p>
    <w:p w14:paraId="179AB7CF" w14:textId="7144E8BA" w:rsidR="00B25EE1" w:rsidRPr="00D63894" w:rsidRDefault="00B25EE1" w:rsidP="003B03D3">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Visa bylos medžiaga arba jos dalis nevieša gali būti pripažįstama teismo nutartimi. Teismo nutartyje nurodyt</w:t>
      </w:r>
      <w:r w:rsidR="00081E47" w:rsidRPr="00D63894">
        <w:rPr>
          <w:rFonts w:eastAsia="Calibri"/>
          <w:szCs w:val="24"/>
        </w:rPr>
        <w:t>a bylos medžiaga</w:t>
      </w:r>
      <w:r w:rsidRPr="00D63894">
        <w:rPr>
          <w:rFonts w:eastAsia="Calibri"/>
          <w:szCs w:val="24"/>
        </w:rPr>
        <w:t xml:space="preserve"> nevieša </w:t>
      </w:r>
      <w:r w:rsidR="00081E47" w:rsidRPr="00D63894">
        <w:rPr>
          <w:rFonts w:eastAsia="Calibri"/>
          <w:szCs w:val="24"/>
        </w:rPr>
        <w:t xml:space="preserve">laikoma </w:t>
      </w:r>
      <w:r w:rsidRPr="00D63894">
        <w:rPr>
          <w:rFonts w:eastAsia="Calibri"/>
          <w:szCs w:val="24"/>
        </w:rPr>
        <w:t xml:space="preserve">nuo </w:t>
      </w:r>
      <w:r w:rsidR="00F60C91" w:rsidRPr="00D63894">
        <w:rPr>
          <w:rFonts w:eastAsia="Calibri"/>
          <w:szCs w:val="24"/>
        </w:rPr>
        <w:t xml:space="preserve">tokios </w:t>
      </w:r>
      <w:r w:rsidRPr="00D63894">
        <w:rPr>
          <w:rFonts w:eastAsia="Calibri"/>
          <w:szCs w:val="24"/>
        </w:rPr>
        <w:t>nutarties priėmimo momento.</w:t>
      </w:r>
    </w:p>
    <w:p w14:paraId="258A504D" w14:textId="77777777" w:rsidR="005B5ED2" w:rsidRPr="00D63894" w:rsidRDefault="005B5ED2" w:rsidP="003B03D3">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Teismui </w:t>
      </w:r>
      <w:r w:rsidR="00C02D7A" w:rsidRPr="00D63894">
        <w:rPr>
          <w:rFonts w:eastAsia="Calibri"/>
          <w:szCs w:val="24"/>
        </w:rPr>
        <w:t xml:space="preserve">nusprendus </w:t>
      </w:r>
      <w:r w:rsidRPr="00D63894">
        <w:rPr>
          <w:rFonts w:eastAsia="Calibri"/>
          <w:szCs w:val="24"/>
        </w:rPr>
        <w:t xml:space="preserve">bylą nagrinėti </w:t>
      </w:r>
      <w:r w:rsidR="00081869" w:rsidRPr="00D63894">
        <w:rPr>
          <w:rFonts w:eastAsia="Calibri"/>
          <w:szCs w:val="24"/>
        </w:rPr>
        <w:t>uždarame</w:t>
      </w:r>
      <w:r w:rsidR="00081869" w:rsidRPr="00D63894">
        <w:rPr>
          <w:rFonts w:eastAsia="Calibri"/>
          <w:b/>
          <w:szCs w:val="24"/>
        </w:rPr>
        <w:t xml:space="preserve"> </w:t>
      </w:r>
      <w:r w:rsidR="00BE1915" w:rsidRPr="00D63894">
        <w:rPr>
          <w:rFonts w:eastAsia="Calibri"/>
          <w:szCs w:val="24"/>
        </w:rPr>
        <w:t>(</w:t>
      </w:r>
      <w:r w:rsidR="00081869" w:rsidRPr="00D63894">
        <w:rPr>
          <w:rFonts w:eastAsia="Calibri"/>
          <w:szCs w:val="24"/>
        </w:rPr>
        <w:t>neviešame</w:t>
      </w:r>
      <w:r w:rsidR="00BE1915" w:rsidRPr="00D63894">
        <w:rPr>
          <w:rFonts w:eastAsia="Calibri"/>
          <w:szCs w:val="24"/>
        </w:rPr>
        <w:t>)</w:t>
      </w:r>
      <w:r w:rsidRPr="00D63894">
        <w:rPr>
          <w:rFonts w:eastAsia="Calibri"/>
          <w:szCs w:val="24"/>
        </w:rPr>
        <w:t xml:space="preserve"> teismo posėdyje, </w:t>
      </w:r>
      <w:r w:rsidR="00C02D7A" w:rsidRPr="00D63894">
        <w:rPr>
          <w:rFonts w:eastAsia="Calibri"/>
          <w:szCs w:val="24"/>
        </w:rPr>
        <w:t xml:space="preserve">jei teismo procesiniame sprendime nenumatyta kitaip, </w:t>
      </w:r>
      <w:r w:rsidRPr="00D63894">
        <w:rPr>
          <w:rFonts w:eastAsia="Calibri"/>
          <w:szCs w:val="24"/>
        </w:rPr>
        <w:t xml:space="preserve">tokios bylos </w:t>
      </w:r>
      <w:r w:rsidR="008D5617" w:rsidRPr="00D63894">
        <w:rPr>
          <w:rFonts w:eastAsia="Calibri"/>
          <w:szCs w:val="24"/>
        </w:rPr>
        <w:t xml:space="preserve">visa </w:t>
      </w:r>
      <w:r w:rsidRPr="00D63894">
        <w:rPr>
          <w:rFonts w:eastAsia="Calibri"/>
          <w:szCs w:val="24"/>
        </w:rPr>
        <w:t>medžiaga laikoma nevieša šioje byloje nedalyvaujančių asmenų</w:t>
      </w:r>
      <w:r w:rsidR="00081E47" w:rsidRPr="00D63894">
        <w:rPr>
          <w:rFonts w:eastAsia="Calibri"/>
          <w:szCs w:val="24"/>
        </w:rPr>
        <w:t>,</w:t>
      </w:r>
      <w:r w:rsidRPr="00D63894">
        <w:rPr>
          <w:rFonts w:eastAsia="Calibri"/>
          <w:szCs w:val="24"/>
        </w:rPr>
        <w:t xml:space="preserve"> </w:t>
      </w:r>
      <w:r w:rsidR="00081E47" w:rsidRPr="00D63894">
        <w:rPr>
          <w:rFonts w:eastAsia="Calibri"/>
          <w:szCs w:val="24"/>
        </w:rPr>
        <w:t>įskaitant ir su bylos procesu tiesiogiai nesusijusius teismo darbuotojus, atžvilgiu</w:t>
      </w:r>
      <w:r w:rsidRPr="00D63894">
        <w:rPr>
          <w:rFonts w:eastAsia="Calibri"/>
          <w:szCs w:val="24"/>
        </w:rPr>
        <w:t>.</w:t>
      </w:r>
      <w:r w:rsidR="008D5617" w:rsidRPr="00D63894">
        <w:rPr>
          <w:rFonts w:eastAsia="Calibri"/>
          <w:szCs w:val="24"/>
        </w:rPr>
        <w:t xml:space="preserve"> </w:t>
      </w:r>
    </w:p>
    <w:p w14:paraId="4637541E" w14:textId="5C4AE9EE" w:rsidR="005B5ED2" w:rsidRPr="00D63894" w:rsidRDefault="005B5ED2" w:rsidP="003B03D3">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Teismo nutartis, kuria bylos medžiaga ar jos dalis pripažįstama nevieša,</w:t>
      </w:r>
      <w:r w:rsidR="00D24C08" w:rsidRPr="00D63894">
        <w:rPr>
          <w:rFonts w:eastAsia="Calibri"/>
          <w:szCs w:val="24"/>
        </w:rPr>
        <w:t xml:space="preserve"> </w:t>
      </w:r>
      <w:r w:rsidR="00DA5B6B" w:rsidRPr="00D63894">
        <w:rPr>
          <w:rFonts w:eastAsia="Calibri"/>
          <w:szCs w:val="24"/>
        </w:rPr>
        <w:t>arba kuria</w:t>
      </w:r>
      <w:r w:rsidR="00D24C08" w:rsidRPr="00D63894">
        <w:rPr>
          <w:rFonts w:eastAsia="Calibri"/>
          <w:szCs w:val="24"/>
        </w:rPr>
        <w:t xml:space="preserve"> nuspręsta bylą nagrinėti </w:t>
      </w:r>
      <w:r w:rsidRPr="00D63894">
        <w:rPr>
          <w:rFonts w:eastAsia="Calibri"/>
          <w:szCs w:val="24"/>
        </w:rPr>
        <w:t xml:space="preserve"> </w:t>
      </w:r>
      <w:r w:rsidR="00D24C08" w:rsidRPr="00D63894">
        <w:rPr>
          <w:rFonts w:eastAsia="Calibri"/>
          <w:szCs w:val="24"/>
        </w:rPr>
        <w:t xml:space="preserve">uždarame (neviešame) teismo posėdyje, </w:t>
      </w:r>
      <w:r w:rsidRPr="00D63894">
        <w:rPr>
          <w:rFonts w:eastAsia="Calibri"/>
          <w:szCs w:val="24"/>
        </w:rPr>
        <w:t xml:space="preserve">LITEKO turi būti </w:t>
      </w:r>
      <w:r w:rsidR="00DA5B6B" w:rsidRPr="00D63894">
        <w:rPr>
          <w:rFonts w:eastAsia="Calibri"/>
          <w:szCs w:val="24"/>
        </w:rPr>
        <w:t>įkeliama</w:t>
      </w:r>
      <w:r w:rsidRPr="00D63894">
        <w:rPr>
          <w:rFonts w:eastAsia="Calibri"/>
          <w:szCs w:val="24"/>
        </w:rPr>
        <w:t xml:space="preserve"> kuo skubiau, bet ne vėliau kaip per 1 darbo dieną</w:t>
      </w:r>
      <w:r w:rsidR="00F971CE" w:rsidRPr="00D63894">
        <w:rPr>
          <w:rFonts w:eastAsia="Calibri"/>
          <w:szCs w:val="24"/>
        </w:rPr>
        <w:t xml:space="preserve"> nuo jos priėmimo</w:t>
      </w:r>
      <w:r w:rsidRPr="00D63894">
        <w:rPr>
          <w:rFonts w:eastAsia="Calibri"/>
          <w:szCs w:val="24"/>
        </w:rPr>
        <w:t>.</w:t>
      </w:r>
      <w:r w:rsidR="00081E47" w:rsidRPr="00D63894">
        <w:rPr>
          <w:rFonts w:eastAsia="Calibri"/>
          <w:szCs w:val="24"/>
        </w:rPr>
        <w:t xml:space="preserve"> Į LITEKO </w:t>
      </w:r>
      <w:r w:rsidR="00582514" w:rsidRPr="00D63894">
        <w:rPr>
          <w:rFonts w:eastAsia="Calibri"/>
          <w:szCs w:val="24"/>
        </w:rPr>
        <w:t>įkeliama</w:t>
      </w:r>
      <w:r w:rsidR="00081E47" w:rsidRPr="00D63894">
        <w:rPr>
          <w:rFonts w:eastAsia="Calibri"/>
          <w:szCs w:val="24"/>
        </w:rPr>
        <w:t xml:space="preserve"> skaitmeninta nutarties kopija arba saugiu kvalifikuotu elektroniniu parašu pasirašyta nutartis.</w:t>
      </w:r>
    </w:p>
    <w:p w14:paraId="53A2DAF0" w14:textId="77777777" w:rsidR="00B25EE1" w:rsidRPr="00D63894" w:rsidRDefault="00B25EE1" w:rsidP="003B03D3">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Priėmus nutartį, kuria </w:t>
      </w:r>
      <w:r w:rsidR="00106904" w:rsidRPr="00D63894">
        <w:rPr>
          <w:rFonts w:eastAsia="Calibri"/>
          <w:szCs w:val="24"/>
        </w:rPr>
        <w:t xml:space="preserve">teismas </w:t>
      </w:r>
      <w:r w:rsidRPr="00D63894">
        <w:rPr>
          <w:rFonts w:eastAsia="Calibri"/>
          <w:szCs w:val="24"/>
        </w:rPr>
        <w:t>bylos medžiag</w:t>
      </w:r>
      <w:r w:rsidR="00106904" w:rsidRPr="00D63894">
        <w:rPr>
          <w:rFonts w:eastAsia="Calibri"/>
          <w:szCs w:val="24"/>
        </w:rPr>
        <w:t>ą</w:t>
      </w:r>
      <w:r w:rsidRPr="00D63894">
        <w:rPr>
          <w:rFonts w:eastAsia="Calibri"/>
          <w:szCs w:val="24"/>
        </w:rPr>
        <w:t xml:space="preserve"> ar jos dal</w:t>
      </w:r>
      <w:r w:rsidR="00106904" w:rsidRPr="00D63894">
        <w:rPr>
          <w:rFonts w:eastAsia="Calibri"/>
          <w:szCs w:val="24"/>
        </w:rPr>
        <w:t>į</w:t>
      </w:r>
      <w:r w:rsidRPr="00D63894">
        <w:rPr>
          <w:rFonts w:eastAsia="Calibri"/>
          <w:szCs w:val="24"/>
        </w:rPr>
        <w:t xml:space="preserve"> pripažįsta nevieša,</w:t>
      </w:r>
      <w:r w:rsidR="00106904" w:rsidRPr="00D63894">
        <w:rPr>
          <w:rFonts w:eastAsia="Calibri"/>
          <w:szCs w:val="24"/>
        </w:rPr>
        <w:t xml:space="preserve"> arba</w:t>
      </w:r>
      <w:r w:rsidR="00DA5B6B" w:rsidRPr="00D63894">
        <w:rPr>
          <w:rFonts w:eastAsia="Calibri"/>
          <w:szCs w:val="24"/>
        </w:rPr>
        <w:t xml:space="preserve"> kuria nuspręsta </w:t>
      </w:r>
      <w:r w:rsidR="00106904" w:rsidRPr="00D63894">
        <w:rPr>
          <w:rFonts w:eastAsia="Calibri"/>
          <w:szCs w:val="24"/>
        </w:rPr>
        <w:t xml:space="preserve"> bylą nagrinėti uždarame</w:t>
      </w:r>
      <w:r w:rsidR="00005EDE" w:rsidRPr="00D63894">
        <w:rPr>
          <w:rFonts w:eastAsia="Calibri"/>
          <w:szCs w:val="24"/>
        </w:rPr>
        <w:t xml:space="preserve"> (neviešame)</w:t>
      </w:r>
      <w:r w:rsidR="00106904" w:rsidRPr="00D63894">
        <w:rPr>
          <w:rFonts w:eastAsia="Calibri"/>
          <w:szCs w:val="24"/>
        </w:rPr>
        <w:t xml:space="preserve"> teismo posėdyje</w:t>
      </w:r>
      <w:r w:rsidR="00F431CA" w:rsidRPr="00D63894">
        <w:rPr>
          <w:rFonts w:eastAsia="Calibri"/>
          <w:szCs w:val="24"/>
        </w:rPr>
        <w:t xml:space="preserve">, </w:t>
      </w:r>
      <w:r w:rsidR="00E90E51" w:rsidRPr="00D63894">
        <w:rPr>
          <w:rFonts w:eastAsia="Calibri"/>
          <w:szCs w:val="24"/>
        </w:rPr>
        <w:t>nedelsiant</w:t>
      </w:r>
      <w:r w:rsidR="00160076" w:rsidRPr="00D63894">
        <w:rPr>
          <w:rFonts w:eastAsia="Calibri"/>
          <w:szCs w:val="24"/>
        </w:rPr>
        <w:t xml:space="preserve">, </w:t>
      </w:r>
      <w:r w:rsidR="00160076" w:rsidRPr="00D63894">
        <w:t>bet ne vėliau kaip kitą darbo dieną nuo nutarties priėmimo,</w:t>
      </w:r>
      <w:r w:rsidR="009826DF" w:rsidRPr="00D63894">
        <w:rPr>
          <w:rFonts w:eastAsia="Calibri"/>
          <w:szCs w:val="24"/>
        </w:rPr>
        <w:t xml:space="preserve"> nutartyje nurodytiems duomenims</w:t>
      </w:r>
      <w:r w:rsidR="0097513B" w:rsidRPr="00D63894">
        <w:rPr>
          <w:rFonts w:eastAsia="Calibri"/>
          <w:szCs w:val="24"/>
        </w:rPr>
        <w:t xml:space="preserve">, </w:t>
      </w:r>
      <w:r w:rsidR="00106904" w:rsidRPr="00D63894">
        <w:rPr>
          <w:rFonts w:eastAsia="Calibri"/>
          <w:szCs w:val="24"/>
        </w:rPr>
        <w:t xml:space="preserve"> bylą nagrinėjantis teisėjas </w:t>
      </w:r>
      <w:r w:rsidR="000222E1" w:rsidRPr="00D63894">
        <w:rPr>
          <w:rFonts w:eastAsia="Calibri"/>
          <w:szCs w:val="24"/>
        </w:rPr>
        <w:t xml:space="preserve">ar teisėjų kolegijos narys, arba </w:t>
      </w:r>
      <w:r w:rsidR="00106904" w:rsidRPr="00D63894">
        <w:rPr>
          <w:rFonts w:eastAsia="Calibri"/>
          <w:szCs w:val="24"/>
        </w:rPr>
        <w:t xml:space="preserve">kitas teismo pirmininko įgaliotas asmuo </w:t>
      </w:r>
      <w:r w:rsidR="009826DF" w:rsidRPr="00D63894">
        <w:rPr>
          <w:rFonts w:eastAsia="Calibri"/>
          <w:szCs w:val="24"/>
        </w:rPr>
        <w:t xml:space="preserve"> </w:t>
      </w:r>
      <w:r w:rsidR="00106904" w:rsidRPr="00D63894">
        <w:rPr>
          <w:rFonts w:eastAsia="Calibri"/>
          <w:szCs w:val="24"/>
        </w:rPr>
        <w:t xml:space="preserve">LITEKO </w:t>
      </w:r>
      <w:r w:rsidR="009826DF" w:rsidRPr="00D63894">
        <w:rPr>
          <w:rFonts w:eastAsia="Calibri"/>
          <w:szCs w:val="24"/>
        </w:rPr>
        <w:t>priskiria neviešumo požym</w:t>
      </w:r>
      <w:r w:rsidR="00106904" w:rsidRPr="00D63894">
        <w:rPr>
          <w:rFonts w:eastAsia="Calibri"/>
          <w:szCs w:val="24"/>
        </w:rPr>
        <w:t>į</w:t>
      </w:r>
      <w:r w:rsidR="009826DF" w:rsidRPr="00D63894">
        <w:rPr>
          <w:rFonts w:eastAsia="Calibri"/>
          <w:szCs w:val="24"/>
        </w:rPr>
        <w:t xml:space="preserve">. </w:t>
      </w:r>
    </w:p>
    <w:p w14:paraId="29B61370" w14:textId="3CA1EA6C" w:rsidR="0023719F" w:rsidRPr="00D63894" w:rsidRDefault="0023719F" w:rsidP="00B928A2">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Įstatymuose ir kituose teisės aktuose nustatytais atvejais visa bylos medžiaga arba jos dalis laikoma nevieša be atskiros teismo nutarties nuo jos gavimo teisme momento.</w:t>
      </w:r>
    </w:p>
    <w:p w14:paraId="491478E4" w14:textId="77777777" w:rsidR="009826DF" w:rsidRPr="00D63894" w:rsidRDefault="009826DF" w:rsidP="003B03D3">
      <w:pPr>
        <w:pStyle w:val="ListParagraph"/>
        <w:numPr>
          <w:ilvl w:val="0"/>
          <w:numId w:val="3"/>
        </w:numPr>
        <w:tabs>
          <w:tab w:val="left" w:pos="851"/>
          <w:tab w:val="left" w:pos="993"/>
          <w:tab w:val="left" w:pos="1134"/>
        </w:tabs>
        <w:ind w:left="0" w:firstLine="567"/>
        <w:jc w:val="both"/>
      </w:pPr>
      <w:r w:rsidRPr="00D63894">
        <w:lastRenderedPageBreak/>
        <w:t xml:space="preserve">Kai nevieši duomenys yra nustatyti įstatymuose ar kituose teisės aktuose, </w:t>
      </w:r>
      <w:r w:rsidR="00106904" w:rsidRPr="00D63894">
        <w:t>bylą nagrinėjantis teisėjas ar</w:t>
      </w:r>
      <w:r w:rsidR="000222E1" w:rsidRPr="00D63894">
        <w:t xml:space="preserve"> teisėjų kolegijos narys, arba </w:t>
      </w:r>
      <w:r w:rsidR="00106904" w:rsidRPr="00D63894">
        <w:t xml:space="preserve">kitas teismo pirmininko įgaliotas asmuo neviešiems duomenims LITEKO priskiria </w:t>
      </w:r>
      <w:r w:rsidRPr="00D63894">
        <w:t>neviešumo požym</w:t>
      </w:r>
      <w:r w:rsidR="00106904" w:rsidRPr="00D63894">
        <w:t>į</w:t>
      </w:r>
      <w:r w:rsidR="00160076" w:rsidRPr="00D63894">
        <w:t xml:space="preserve"> </w:t>
      </w:r>
      <w:r w:rsidR="00E90E51" w:rsidRPr="00D63894">
        <w:t>nedelsiant</w:t>
      </w:r>
      <w:r w:rsidR="00160076" w:rsidRPr="00D63894">
        <w:t xml:space="preserve">, bet ne vėliau kaip kitą darbo dieną nuo </w:t>
      </w:r>
      <w:r w:rsidR="00106904" w:rsidRPr="00D63894">
        <w:t>šių duomenų įvedimo į</w:t>
      </w:r>
      <w:r w:rsidR="00160076" w:rsidRPr="00D63894">
        <w:t xml:space="preserve"> LITEKO dienos</w:t>
      </w:r>
      <w:r w:rsidR="00AE1391" w:rsidRPr="00D63894">
        <w:t>. Jei duomenų registravimo LITEKO metu nebuvo ir negalėjo būti žinoma, kad šie duomenys yra nevieši, neviešumo požymis jiems LITEKO priskiriamas nedelsiant</w:t>
      </w:r>
      <w:r w:rsidR="000222E1" w:rsidRPr="00D63894">
        <w:t xml:space="preserve">, </w:t>
      </w:r>
      <w:r w:rsidR="00AE1391" w:rsidRPr="00D63894">
        <w:t>bet ne vėliau kaip kitą darbo dieną nuo aplinkybių apie duomenų neviešumą</w:t>
      </w:r>
      <w:r w:rsidR="00106904" w:rsidRPr="00D63894">
        <w:t xml:space="preserve"> paaiškėj</w:t>
      </w:r>
      <w:r w:rsidR="00AE1391" w:rsidRPr="00D63894">
        <w:t>imo momento.</w:t>
      </w:r>
    </w:p>
    <w:p w14:paraId="316EAE6D" w14:textId="77777777" w:rsidR="004A5B29" w:rsidRPr="00D63894" w:rsidRDefault="00384AE6" w:rsidP="007523C8">
      <w:pPr>
        <w:pStyle w:val="ListParagraph"/>
        <w:numPr>
          <w:ilvl w:val="0"/>
          <w:numId w:val="3"/>
        </w:numPr>
        <w:tabs>
          <w:tab w:val="left" w:pos="851"/>
          <w:tab w:val="left" w:pos="993"/>
          <w:tab w:val="left" w:pos="1134"/>
        </w:tabs>
        <w:ind w:left="0" w:firstLine="567"/>
        <w:jc w:val="both"/>
      </w:pPr>
      <w:r w:rsidRPr="00D63894">
        <w:t xml:space="preserve">Teisme gauti su teismo proceso byla susiję popierinės formos nevieši dokumentai </w:t>
      </w:r>
      <w:r w:rsidR="000222E1" w:rsidRPr="00D63894">
        <w:t xml:space="preserve">registruojami </w:t>
      </w:r>
      <w:r w:rsidR="00217E40" w:rsidRPr="00D63894">
        <w:t>Lietuvos Respublikos teismų procesinių dokumentų tvarkymo ir apskaitos reikalavimų aprašo</w:t>
      </w:r>
      <w:r w:rsidR="00217E40" w:rsidRPr="00D63894" w:rsidDel="00217E40">
        <w:t xml:space="preserve"> </w:t>
      </w:r>
      <w:r w:rsidRPr="00D63894">
        <w:t>nustatyta tvarka, o elektroninės formos nevieši dokumentai tvarkomi Su teismo proceso bylomis susijusių elektroninių duomenų teismuose tvarkymo, įtraukimo į apskaitą ir saugojimo naudojant informacines ir elektroninių ryšių technologijas tvarkos aprašo nustatyta tvarka, išskyrus šiame Apraše numatytas išimtis.</w:t>
      </w:r>
    </w:p>
    <w:p w14:paraId="7E265F24" w14:textId="77777777" w:rsidR="0023719F" w:rsidRPr="00D63894" w:rsidRDefault="003F2690" w:rsidP="007523C8">
      <w:pPr>
        <w:pStyle w:val="ListParagraph"/>
        <w:numPr>
          <w:ilvl w:val="0"/>
          <w:numId w:val="3"/>
        </w:numPr>
        <w:tabs>
          <w:tab w:val="left" w:pos="851"/>
          <w:tab w:val="left" w:pos="993"/>
          <w:tab w:val="left" w:pos="1134"/>
        </w:tabs>
        <w:ind w:left="0" w:firstLine="567"/>
        <w:jc w:val="both"/>
      </w:pPr>
      <w:r w:rsidRPr="00D63894">
        <w:t>B</w:t>
      </w:r>
      <w:r w:rsidR="00F60C91" w:rsidRPr="00D63894">
        <w:t>yloje</w:t>
      </w:r>
      <w:r w:rsidRPr="00D63894">
        <w:t xml:space="preserve">, kurios visa medžiaga </w:t>
      </w:r>
      <w:r w:rsidR="00C71480" w:rsidRPr="00D63894">
        <w:t>yra</w:t>
      </w:r>
      <w:r w:rsidRPr="00D63894">
        <w:t xml:space="preserve"> nevieša,</w:t>
      </w:r>
      <w:r w:rsidR="00F60C91" w:rsidRPr="00D63894">
        <w:t xml:space="preserve"> </w:t>
      </w:r>
      <w:r w:rsidR="00C71480" w:rsidRPr="00D63894">
        <w:t xml:space="preserve">LITEKO registruojant naujai gautus bylos proceso dalyvių dokumentus, arba </w:t>
      </w:r>
      <w:r w:rsidR="00F60C91" w:rsidRPr="00D63894">
        <w:t xml:space="preserve">teismo </w:t>
      </w:r>
      <w:r w:rsidR="00C71480" w:rsidRPr="00D63894">
        <w:t>priimtus procesinius sprendimus,</w:t>
      </w:r>
      <w:r w:rsidR="00217E40" w:rsidRPr="00D63894">
        <w:t xml:space="preserve"> konkretaus teismo nustatyta tvarka, suderinus su bylą nagrinėjančiu teisėju</w:t>
      </w:r>
      <w:r w:rsidR="000222E1" w:rsidRPr="00D63894">
        <w:t xml:space="preserve"> ar teisėjų kolegija</w:t>
      </w:r>
      <w:r w:rsidR="00217E40" w:rsidRPr="00D63894">
        <w:t>,</w:t>
      </w:r>
      <w:r w:rsidR="000222E1" w:rsidRPr="00D63894">
        <w:t xml:space="preserve"> </w:t>
      </w:r>
      <w:r w:rsidR="00470BA0" w:rsidRPr="00D63894">
        <w:t xml:space="preserve">kiekvieną kartą </w:t>
      </w:r>
      <w:r w:rsidR="00C71480" w:rsidRPr="00D63894">
        <w:t>p</w:t>
      </w:r>
      <w:r w:rsidR="00F60C91" w:rsidRPr="00D63894">
        <w:t xml:space="preserve">apildomai </w:t>
      </w:r>
      <w:r w:rsidR="00C71480" w:rsidRPr="00D63894">
        <w:t xml:space="preserve">turi būti </w:t>
      </w:r>
      <w:r w:rsidR="00F60C91" w:rsidRPr="00D63894">
        <w:t>įvertina</w:t>
      </w:r>
      <w:r w:rsidR="00C71480" w:rsidRPr="00D63894">
        <w:t xml:space="preserve">mas registruojamo dokumento statusas bei bylos proceso dalyvių teisės </w:t>
      </w:r>
      <w:r w:rsidR="00384AE6" w:rsidRPr="00D63894">
        <w:t xml:space="preserve">gauti </w:t>
      </w:r>
      <w:r w:rsidR="00C71480" w:rsidRPr="00D63894">
        <w:t>ši</w:t>
      </w:r>
      <w:r w:rsidR="00384AE6" w:rsidRPr="00D63894">
        <w:t>uos</w:t>
      </w:r>
      <w:r w:rsidR="00C71480" w:rsidRPr="00D63894">
        <w:t xml:space="preserve"> dokument</w:t>
      </w:r>
      <w:r w:rsidR="00384AE6" w:rsidRPr="00D63894">
        <w:t>us naudojantis LITEKO Viešųjų elektroninių paslaugų posistemiu (toliau – VEP posistemis)</w:t>
      </w:r>
      <w:r w:rsidR="00C71480" w:rsidRPr="00D63894">
        <w:t>.  Taip pat byloje, kurios visa medžiaga yra nevieša, LITEKO</w:t>
      </w:r>
      <w:r w:rsidR="00477AEE" w:rsidRPr="00D63894">
        <w:t xml:space="preserve"> įtraukus naują </w:t>
      </w:r>
      <w:r w:rsidR="00C71480" w:rsidRPr="00D63894">
        <w:t xml:space="preserve">bylos proceso </w:t>
      </w:r>
      <w:r w:rsidR="00477AEE" w:rsidRPr="00D63894">
        <w:t xml:space="preserve">dalyvį </w:t>
      </w:r>
      <w:r w:rsidR="00C71480" w:rsidRPr="00D63894">
        <w:t>papildomai turi būti</w:t>
      </w:r>
      <w:r w:rsidR="00477AEE" w:rsidRPr="00D63894">
        <w:t xml:space="preserve"> įvertina</w:t>
      </w:r>
      <w:r w:rsidR="00C71480" w:rsidRPr="00D63894">
        <w:t xml:space="preserve">mos </w:t>
      </w:r>
      <w:r w:rsidR="00477AEE" w:rsidRPr="00D63894">
        <w:t>jo teis</w:t>
      </w:r>
      <w:r w:rsidR="00C71480" w:rsidRPr="00D63894">
        <w:t>ė</w:t>
      </w:r>
      <w:r w:rsidR="00477AEE" w:rsidRPr="00D63894">
        <w:t xml:space="preserve">s </w:t>
      </w:r>
      <w:r w:rsidR="00384AE6" w:rsidRPr="00D63894">
        <w:t xml:space="preserve">savo LITEKO VEP </w:t>
      </w:r>
      <w:r w:rsidR="00C56786" w:rsidRPr="00D63894">
        <w:t xml:space="preserve">posistemio portalo e.teismas.lt paskyroje </w:t>
      </w:r>
      <w:r w:rsidR="00384AE6" w:rsidRPr="00D63894">
        <w:t>matyti</w:t>
      </w:r>
      <w:r w:rsidR="00477AEE" w:rsidRPr="00D63894">
        <w:t xml:space="preserve"> </w:t>
      </w:r>
      <w:r w:rsidR="00C71480" w:rsidRPr="00D63894">
        <w:t>byloje tvarkom</w:t>
      </w:r>
      <w:r w:rsidR="00384AE6" w:rsidRPr="00D63894">
        <w:t>us</w:t>
      </w:r>
      <w:r w:rsidR="00C71480" w:rsidRPr="00D63894">
        <w:t xml:space="preserve"> </w:t>
      </w:r>
      <w:r w:rsidR="00477AEE" w:rsidRPr="00D63894">
        <w:t>nevieš</w:t>
      </w:r>
      <w:r w:rsidR="00384AE6" w:rsidRPr="00D63894">
        <w:t>us</w:t>
      </w:r>
      <w:r w:rsidR="00477AEE" w:rsidRPr="00D63894">
        <w:t xml:space="preserve"> duomen</w:t>
      </w:r>
      <w:r w:rsidR="00384AE6" w:rsidRPr="00D63894">
        <w:t>is</w:t>
      </w:r>
      <w:r w:rsidR="00477AEE" w:rsidRPr="00D63894">
        <w:t>.</w:t>
      </w:r>
      <w:r w:rsidR="00C71480" w:rsidRPr="00D63894">
        <w:t xml:space="preserve"> </w:t>
      </w:r>
      <w:r w:rsidR="003213E2" w:rsidRPr="00D63894">
        <w:t>Atlikus pirmiau nurodytus veiksmus</w:t>
      </w:r>
      <w:r w:rsidR="00F658B5" w:rsidRPr="00D63894">
        <w:t>,</w:t>
      </w:r>
      <w:r w:rsidR="003213E2" w:rsidRPr="00D63894">
        <w:t xml:space="preserve"> bylą nagrinėjantis teisėjas ar </w:t>
      </w:r>
      <w:r w:rsidR="000222E1" w:rsidRPr="00D63894">
        <w:t xml:space="preserve">teisėjų kolegijos narys, arba </w:t>
      </w:r>
      <w:r w:rsidR="003213E2" w:rsidRPr="00D63894">
        <w:t xml:space="preserve">kitas teismo </w:t>
      </w:r>
      <w:r w:rsidR="00F658B5" w:rsidRPr="00D63894">
        <w:t>pirmininko įgaliotas asmuo, suderinęs su bylą nagrinėjančiu teisėju</w:t>
      </w:r>
      <w:r w:rsidR="000222E1" w:rsidRPr="00D63894">
        <w:t xml:space="preserve"> ar teisėjų kolegija</w:t>
      </w:r>
      <w:r w:rsidR="00F658B5" w:rsidRPr="00D63894">
        <w:t>, kuo skubiau, bet ne vėliau kaip per 1 darbo dieną nuo duomenų įvedimo LITEKO,</w:t>
      </w:r>
      <w:r w:rsidR="003213E2" w:rsidRPr="00D63894">
        <w:t xml:space="preserve"> </w:t>
      </w:r>
      <w:r w:rsidR="00F658B5" w:rsidRPr="00D63894">
        <w:t>jei reikia, priskiria papildomą neviešumo požymį.</w:t>
      </w:r>
    </w:p>
    <w:p w14:paraId="211CD63A" w14:textId="77777777" w:rsidR="00A850EF" w:rsidRPr="00D63894" w:rsidRDefault="00470BA0" w:rsidP="007523C8">
      <w:pPr>
        <w:pStyle w:val="ListParagraph"/>
        <w:numPr>
          <w:ilvl w:val="0"/>
          <w:numId w:val="3"/>
        </w:numPr>
        <w:tabs>
          <w:tab w:val="left" w:pos="851"/>
          <w:tab w:val="left" w:pos="993"/>
          <w:tab w:val="left" w:pos="1134"/>
        </w:tabs>
        <w:ind w:left="0" w:firstLine="567"/>
        <w:jc w:val="both"/>
      </w:pPr>
      <w:r w:rsidRPr="00D63894">
        <w:t xml:space="preserve">Kai visa bylos medžiaga ar jos dalis yra nevieša, procesiniai dokumentai bylą nagrinėjančio teisėjo </w:t>
      </w:r>
      <w:r w:rsidR="000222E1" w:rsidRPr="00D63894">
        <w:t xml:space="preserve">ar teisėjų kolegijos </w:t>
      </w:r>
      <w:r w:rsidRPr="00D63894">
        <w:t xml:space="preserve">nuožiūra gali būti siunčiami bylos proceso dalyviams teisės aktuose nustatyta tvarka naudojantis LITEKO </w:t>
      </w:r>
      <w:r w:rsidR="00384AE6" w:rsidRPr="00D63894">
        <w:t>VEP</w:t>
      </w:r>
      <w:r w:rsidRPr="00D63894">
        <w:t xml:space="preserve"> posistemiu, jei tai neprieštarauja bylos neviešų duomenų apsaugos principams. Jei bylą nagrinėjančiam teisėjui </w:t>
      </w:r>
      <w:r w:rsidR="000222E1" w:rsidRPr="00D63894">
        <w:t xml:space="preserve">ar teisėjų kolegijai </w:t>
      </w:r>
      <w:r w:rsidRPr="00D63894">
        <w:t>kyla pagrįstų abejonių, kad procesinių dokumentų įteikimas naudojantis LITEKO VEP posistemiu neužtikrins reikiamos neviešų duomenų apsaugos, dokumentai nepriklausomai nuo bylos tvarkymo formos proceso dalyviams siunčiami registruota pašto siunta ar kitu teisės aktuose nustatytu būdu.</w:t>
      </w:r>
    </w:p>
    <w:p w14:paraId="6A532325" w14:textId="3637225F" w:rsidR="00470BA0" w:rsidRPr="00D63894" w:rsidRDefault="00217E40" w:rsidP="007523C8">
      <w:pPr>
        <w:pStyle w:val="ListParagraph"/>
        <w:numPr>
          <w:ilvl w:val="0"/>
          <w:numId w:val="3"/>
        </w:numPr>
        <w:tabs>
          <w:tab w:val="left" w:pos="851"/>
          <w:tab w:val="left" w:pos="993"/>
          <w:tab w:val="left" w:pos="1134"/>
        </w:tabs>
        <w:ind w:left="0" w:firstLine="567"/>
        <w:jc w:val="both"/>
      </w:pPr>
      <w:r w:rsidRPr="00D63894">
        <w:t>LITEKO tvarkomi duomenys, kuriems suteiktas neviešumo požymis</w:t>
      </w:r>
      <w:r w:rsidR="000222E1" w:rsidRPr="00D63894">
        <w:t>,</w:t>
      </w:r>
      <w:r w:rsidRPr="00D63894">
        <w:t xml:space="preserve"> yra prieinami</w:t>
      </w:r>
      <w:r w:rsidR="000222E1" w:rsidRPr="00D63894">
        <w:t xml:space="preserve"> </w:t>
      </w:r>
      <w:r w:rsidR="003B4407" w:rsidRPr="00D63894">
        <w:t>tik</w:t>
      </w:r>
      <w:r w:rsidR="00936FAD" w:rsidRPr="00D63894">
        <w:t xml:space="preserve"> Aprašo</w:t>
      </w:r>
      <w:r w:rsidR="003B4407" w:rsidRPr="00D63894">
        <w:t xml:space="preserve"> 2</w:t>
      </w:r>
      <w:r w:rsidR="005B197E" w:rsidRPr="00D63894">
        <w:t>4</w:t>
      </w:r>
      <w:r w:rsidR="00470BA0" w:rsidRPr="00D63894">
        <w:t xml:space="preserve"> punkte nurodytiems asmenims. Teisės aktų nustatyta tvarka viešai skelbiant informaciją apie bylą</w:t>
      </w:r>
      <w:r w:rsidR="00710204" w:rsidRPr="00D63894">
        <w:t>, kurios medžiaga ar jos dalis yra nevieša</w:t>
      </w:r>
      <w:r w:rsidR="00470BA0" w:rsidRPr="00D63894">
        <w:t xml:space="preserve"> (viešoje tvarkaraščių ar </w:t>
      </w:r>
      <w:r w:rsidR="00FC1341" w:rsidRPr="00D63894">
        <w:t xml:space="preserve">viešoje </w:t>
      </w:r>
      <w:r w:rsidR="00470BA0" w:rsidRPr="00D63894">
        <w:t xml:space="preserve">teismo sprendimų paieškoje) nevieši </w:t>
      </w:r>
      <w:r w:rsidR="003B4407" w:rsidRPr="00D63894">
        <w:t>d</w:t>
      </w:r>
      <w:r w:rsidR="00470BA0" w:rsidRPr="00D63894">
        <w:t>uomenys nėra atvaizduojami – vietoje šių duomenų pateikiama informacija, kad duomenys yra nevieši.</w:t>
      </w:r>
    </w:p>
    <w:p w14:paraId="12782580" w14:textId="49E5EB71" w:rsidR="00783306" w:rsidRPr="00D63894" w:rsidRDefault="00470BA0" w:rsidP="007523C8">
      <w:pPr>
        <w:pStyle w:val="ListParagraph"/>
        <w:numPr>
          <w:ilvl w:val="0"/>
          <w:numId w:val="3"/>
        </w:numPr>
        <w:tabs>
          <w:tab w:val="left" w:pos="851"/>
          <w:tab w:val="left" w:pos="993"/>
          <w:tab w:val="left" w:pos="1134"/>
        </w:tabs>
        <w:ind w:left="0" w:firstLine="567"/>
        <w:jc w:val="both"/>
      </w:pPr>
      <w:r w:rsidRPr="00D63894">
        <w:t>Neviešumo požymis LITEKO gali būti panaikinamas tik išnykus aplinkybėms, dėl kurių visa bylos medžiaga ar jos dalis buvo pripažinta nevieša</w:t>
      </w:r>
      <w:r w:rsidR="00161358" w:rsidRPr="00D63894">
        <w:t>.</w:t>
      </w:r>
      <w:r w:rsidR="00161358" w:rsidRPr="00D63894">
        <w:rPr>
          <w:rStyle w:val="CommentReference"/>
        </w:rPr>
        <w:t xml:space="preserve"> </w:t>
      </w:r>
      <w:r w:rsidR="00783306" w:rsidRPr="00D63894">
        <w:rPr>
          <w:rFonts w:eastAsia="Calibri"/>
          <w:szCs w:val="24"/>
        </w:rPr>
        <w:t xml:space="preserve">Neviešumo požymį LITEKO panaikina </w:t>
      </w:r>
      <w:r w:rsidR="00AE0DA9" w:rsidRPr="00D63894">
        <w:rPr>
          <w:rFonts w:eastAsia="Calibri"/>
          <w:szCs w:val="24"/>
        </w:rPr>
        <w:t xml:space="preserve">bylą nagrinėjantis teisėjas </w:t>
      </w:r>
      <w:r w:rsidR="00FC1341" w:rsidRPr="00D63894">
        <w:rPr>
          <w:rFonts w:eastAsia="Calibri"/>
          <w:szCs w:val="24"/>
        </w:rPr>
        <w:t>ar teisėjų kolegijos</w:t>
      </w:r>
      <w:r w:rsidR="00115B09" w:rsidRPr="00D63894">
        <w:rPr>
          <w:rFonts w:eastAsia="Calibri"/>
          <w:szCs w:val="24"/>
        </w:rPr>
        <w:t xml:space="preserve"> </w:t>
      </w:r>
      <w:r w:rsidR="00FC1341" w:rsidRPr="00D63894">
        <w:rPr>
          <w:rFonts w:eastAsia="Calibri"/>
          <w:szCs w:val="24"/>
        </w:rPr>
        <w:t xml:space="preserve">narys, </w:t>
      </w:r>
      <w:r w:rsidR="00AE0DA9" w:rsidRPr="00D63894">
        <w:rPr>
          <w:rFonts w:eastAsia="Calibri"/>
          <w:szCs w:val="24"/>
        </w:rPr>
        <w:t>ar</w:t>
      </w:r>
      <w:r w:rsidR="00FC1341" w:rsidRPr="00D63894">
        <w:rPr>
          <w:rFonts w:eastAsia="Calibri"/>
          <w:szCs w:val="24"/>
        </w:rPr>
        <w:t>ba</w:t>
      </w:r>
      <w:r w:rsidR="00AE0DA9" w:rsidRPr="00D63894">
        <w:rPr>
          <w:rFonts w:eastAsia="Calibri"/>
          <w:szCs w:val="24"/>
        </w:rPr>
        <w:t xml:space="preserve"> kitas teismo pirmininko įgaliotas asmuo</w:t>
      </w:r>
      <w:r w:rsidR="00F658B5" w:rsidRPr="00D63894">
        <w:rPr>
          <w:rFonts w:eastAsia="Calibri"/>
          <w:szCs w:val="24"/>
        </w:rPr>
        <w:t>, suderinęs su bylą nagrinėjančiu teisėju</w:t>
      </w:r>
      <w:r w:rsidR="00FC1341" w:rsidRPr="00D63894">
        <w:rPr>
          <w:rFonts w:eastAsia="Calibri"/>
          <w:szCs w:val="24"/>
        </w:rPr>
        <w:t xml:space="preserve"> ar teisėjų kolegija</w:t>
      </w:r>
      <w:r w:rsidR="00F658B5" w:rsidRPr="00D63894">
        <w:rPr>
          <w:rFonts w:eastAsia="Calibri"/>
          <w:szCs w:val="24"/>
        </w:rPr>
        <w:t xml:space="preserve">. Išnagrinėtoje byloje neviešumo požymis </w:t>
      </w:r>
      <w:r w:rsidR="00E82C0D" w:rsidRPr="00D63894">
        <w:rPr>
          <w:rFonts w:eastAsia="Calibri"/>
          <w:szCs w:val="24"/>
        </w:rPr>
        <w:t xml:space="preserve">gali būti </w:t>
      </w:r>
      <w:r w:rsidR="00F658B5" w:rsidRPr="00D63894">
        <w:rPr>
          <w:rFonts w:eastAsia="Calibri"/>
          <w:szCs w:val="24"/>
        </w:rPr>
        <w:t xml:space="preserve">panaikinamas </w:t>
      </w:r>
      <w:r w:rsidR="00115B09" w:rsidRPr="00D63894">
        <w:rPr>
          <w:rFonts w:eastAsia="Calibri"/>
          <w:szCs w:val="24"/>
        </w:rPr>
        <w:t xml:space="preserve">bylą išnagrinėjusio teisėjo ar teisėjų kolegijos nario sprendimu, o jei bylą </w:t>
      </w:r>
      <w:r w:rsidR="00A8045B" w:rsidRPr="00D63894">
        <w:rPr>
          <w:rFonts w:eastAsia="Calibri"/>
          <w:szCs w:val="24"/>
        </w:rPr>
        <w:t>išnagrinėjęs</w:t>
      </w:r>
      <w:r w:rsidR="00115B09" w:rsidRPr="00D63894">
        <w:rPr>
          <w:rFonts w:eastAsia="Calibri"/>
          <w:szCs w:val="24"/>
        </w:rPr>
        <w:t xml:space="preserve"> teisėjas teisme nebedirba arba dėl kitų objektyvių priežasčių tokio sprendimo priimti negali – </w:t>
      </w:r>
      <w:r w:rsidR="00F658B5" w:rsidRPr="00D63894">
        <w:rPr>
          <w:rFonts w:eastAsia="Calibri"/>
          <w:szCs w:val="24"/>
        </w:rPr>
        <w:t>teismo pirmininko sprendimu.</w:t>
      </w:r>
      <w:r w:rsidR="00AE0DA9" w:rsidRPr="00D63894">
        <w:rPr>
          <w:rFonts w:eastAsia="Calibri"/>
          <w:szCs w:val="24"/>
        </w:rPr>
        <w:t xml:space="preserve">  </w:t>
      </w:r>
    </w:p>
    <w:p w14:paraId="264357EC" w14:textId="77777777" w:rsidR="00783306" w:rsidRPr="00D63894" w:rsidRDefault="00783306" w:rsidP="0023719F">
      <w:pPr>
        <w:pStyle w:val="ListParagraph"/>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Bylos, kurių visa medžiaga ar jos dalis yra nevieša, teisėjams skirstomos Bylų paskirstymo teisėjams ir teisėjų kolegijų sudarymo taisyklių apraše nustatyta tvarka. </w:t>
      </w:r>
    </w:p>
    <w:p w14:paraId="0090C9F6" w14:textId="77777777" w:rsidR="00470BA0" w:rsidRPr="00D63894" w:rsidRDefault="00783306" w:rsidP="0023719F">
      <w:pPr>
        <w:pStyle w:val="ListParagraph"/>
        <w:numPr>
          <w:ilvl w:val="0"/>
          <w:numId w:val="3"/>
        </w:numPr>
        <w:tabs>
          <w:tab w:val="left" w:pos="851"/>
          <w:tab w:val="left" w:pos="993"/>
          <w:tab w:val="left" w:pos="1134"/>
        </w:tabs>
        <w:ind w:left="0" w:firstLine="567"/>
        <w:jc w:val="both"/>
      </w:pPr>
      <w:r w:rsidRPr="00D63894">
        <w:rPr>
          <w:rFonts w:eastAsia="Calibri"/>
          <w:szCs w:val="24"/>
        </w:rPr>
        <w:t xml:space="preserve">Bylose, kurių visa medžiaga ar jos dalis yra nevieša, viešai skelbtinos nuasmenintos teismo procesinių sprendimų versijos rengiamos ir </w:t>
      </w:r>
      <w:r w:rsidR="00AF5600" w:rsidRPr="00D63894">
        <w:rPr>
          <w:rFonts w:eastAsia="Calibri"/>
          <w:szCs w:val="24"/>
        </w:rPr>
        <w:t>įkeliamos</w:t>
      </w:r>
      <w:r w:rsidRPr="00D63894">
        <w:rPr>
          <w:rFonts w:eastAsia="Calibri"/>
          <w:szCs w:val="24"/>
        </w:rPr>
        <w:t xml:space="preserve"> į LITEKO vadovaujantis Teismų procesinių sprendimų bei teisėjų drausmės bylose priimtų sprendimų viešo skelbimo tvarkos nuostatomis.</w:t>
      </w:r>
    </w:p>
    <w:p w14:paraId="4DA091F2" w14:textId="77777777" w:rsidR="007523C8" w:rsidRPr="00D63894" w:rsidRDefault="007523C8" w:rsidP="007523C8">
      <w:pPr>
        <w:pStyle w:val="ListParagraph"/>
        <w:tabs>
          <w:tab w:val="left" w:pos="851"/>
          <w:tab w:val="left" w:pos="993"/>
          <w:tab w:val="left" w:pos="1134"/>
        </w:tabs>
        <w:ind w:left="567"/>
        <w:jc w:val="both"/>
      </w:pPr>
    </w:p>
    <w:p w14:paraId="240BD7DE" w14:textId="77777777" w:rsidR="009E68E6" w:rsidRPr="00D63894" w:rsidRDefault="009E68E6" w:rsidP="003B03D3">
      <w:pPr>
        <w:tabs>
          <w:tab w:val="left" w:pos="851"/>
          <w:tab w:val="left" w:pos="993"/>
          <w:tab w:val="left" w:pos="1134"/>
        </w:tabs>
        <w:ind w:firstLine="567"/>
        <w:jc w:val="both"/>
        <w:rPr>
          <w:rFonts w:eastAsia="Calibri"/>
          <w:szCs w:val="24"/>
        </w:rPr>
      </w:pPr>
    </w:p>
    <w:p w14:paraId="7565349D" w14:textId="77777777" w:rsidR="00936FAD" w:rsidRPr="00D63894" w:rsidRDefault="00936FAD" w:rsidP="003B03D3">
      <w:pPr>
        <w:pStyle w:val="ListParagraph"/>
        <w:numPr>
          <w:ilvl w:val="0"/>
          <w:numId w:val="5"/>
        </w:numPr>
        <w:tabs>
          <w:tab w:val="left" w:pos="851"/>
          <w:tab w:val="left" w:pos="993"/>
          <w:tab w:val="left" w:pos="1134"/>
        </w:tabs>
        <w:ind w:left="0" w:firstLine="567"/>
        <w:jc w:val="center"/>
        <w:rPr>
          <w:rFonts w:eastAsia="Calibri"/>
          <w:b/>
          <w:szCs w:val="24"/>
        </w:rPr>
      </w:pPr>
      <w:r w:rsidRPr="00D63894">
        <w:rPr>
          <w:rFonts w:eastAsia="Calibri"/>
          <w:b/>
          <w:szCs w:val="24"/>
        </w:rPr>
        <w:t>SKYRIUS</w:t>
      </w:r>
    </w:p>
    <w:p w14:paraId="46A06A7D" w14:textId="77777777" w:rsidR="00C3314C" w:rsidRPr="00D63894" w:rsidRDefault="00C3314C" w:rsidP="00936FAD">
      <w:pPr>
        <w:pStyle w:val="ListParagraph"/>
        <w:tabs>
          <w:tab w:val="left" w:pos="851"/>
          <w:tab w:val="left" w:pos="993"/>
          <w:tab w:val="left" w:pos="1134"/>
        </w:tabs>
        <w:ind w:left="567"/>
        <w:jc w:val="center"/>
        <w:rPr>
          <w:rFonts w:eastAsia="Calibri"/>
          <w:b/>
          <w:szCs w:val="24"/>
        </w:rPr>
      </w:pPr>
      <w:r w:rsidRPr="00D63894">
        <w:rPr>
          <w:rFonts w:eastAsia="Calibri"/>
          <w:b/>
          <w:szCs w:val="24"/>
        </w:rPr>
        <w:t xml:space="preserve">NEVIEŠUMO POŽYMIO LITEKO </w:t>
      </w:r>
      <w:r w:rsidR="00470BA0" w:rsidRPr="00D63894">
        <w:rPr>
          <w:rFonts w:eastAsia="Calibri"/>
          <w:b/>
          <w:szCs w:val="24"/>
        </w:rPr>
        <w:t>PRISKYRIMO TVARKA</w:t>
      </w:r>
    </w:p>
    <w:p w14:paraId="13221634" w14:textId="77777777" w:rsidR="00C3314C" w:rsidRPr="00D63894" w:rsidRDefault="00C3314C" w:rsidP="003B03D3">
      <w:pPr>
        <w:tabs>
          <w:tab w:val="left" w:pos="851"/>
          <w:tab w:val="left" w:pos="993"/>
          <w:tab w:val="left" w:pos="1134"/>
        </w:tabs>
        <w:ind w:firstLine="567"/>
        <w:jc w:val="both"/>
        <w:rPr>
          <w:rFonts w:eastAsia="Calibri"/>
          <w:szCs w:val="24"/>
        </w:rPr>
      </w:pPr>
    </w:p>
    <w:p w14:paraId="1DBA85BC" w14:textId="77777777" w:rsidR="0017179D" w:rsidRPr="00D63894" w:rsidRDefault="00BE0B1F" w:rsidP="003B03D3">
      <w:pPr>
        <w:pStyle w:val="ListParagraph"/>
        <w:widowControl w:val="0"/>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Neviešumo </w:t>
      </w:r>
      <w:r w:rsidR="000019A0" w:rsidRPr="00D63894">
        <w:rPr>
          <w:rFonts w:eastAsia="Calibri"/>
          <w:szCs w:val="24"/>
        </w:rPr>
        <w:t xml:space="preserve">požymis LITEKO </w:t>
      </w:r>
      <w:r w:rsidR="0017179D" w:rsidRPr="00D63894">
        <w:rPr>
          <w:rFonts w:eastAsia="Calibri"/>
          <w:szCs w:val="24"/>
        </w:rPr>
        <w:t xml:space="preserve">gali būti </w:t>
      </w:r>
      <w:r w:rsidR="000019A0" w:rsidRPr="00D63894">
        <w:rPr>
          <w:rFonts w:eastAsia="Calibri"/>
          <w:szCs w:val="24"/>
        </w:rPr>
        <w:t>priskiriamas</w:t>
      </w:r>
      <w:r w:rsidR="0017179D" w:rsidRPr="00D63894">
        <w:rPr>
          <w:rFonts w:eastAsia="Calibri"/>
          <w:szCs w:val="24"/>
        </w:rPr>
        <w:t>:</w:t>
      </w:r>
    </w:p>
    <w:p w14:paraId="17A943A8" w14:textId="77777777" w:rsidR="0017179D" w:rsidRPr="00D63894" w:rsidRDefault="000A4BD7" w:rsidP="003B03D3">
      <w:pPr>
        <w:pStyle w:val="ListParagraph"/>
        <w:widowControl w:val="0"/>
        <w:numPr>
          <w:ilvl w:val="1"/>
          <w:numId w:val="3"/>
        </w:numPr>
        <w:tabs>
          <w:tab w:val="left" w:pos="851"/>
          <w:tab w:val="left" w:pos="993"/>
          <w:tab w:val="left" w:pos="1134"/>
        </w:tabs>
        <w:ind w:left="0" w:firstLine="567"/>
        <w:jc w:val="both"/>
        <w:rPr>
          <w:rFonts w:eastAsia="Calibri"/>
          <w:szCs w:val="24"/>
        </w:rPr>
      </w:pPr>
      <w:r w:rsidRPr="00D63894">
        <w:rPr>
          <w:rFonts w:eastAsia="Calibri"/>
          <w:szCs w:val="24"/>
        </w:rPr>
        <w:t>Teismo bylą sudarantiems</w:t>
      </w:r>
      <w:r w:rsidR="0017179D" w:rsidRPr="00D63894">
        <w:rPr>
          <w:rFonts w:eastAsia="Calibri"/>
          <w:szCs w:val="24"/>
        </w:rPr>
        <w:t xml:space="preserve"> dokumenta</w:t>
      </w:r>
      <w:r w:rsidR="000019A0" w:rsidRPr="00D63894">
        <w:rPr>
          <w:rFonts w:eastAsia="Calibri"/>
          <w:szCs w:val="24"/>
        </w:rPr>
        <w:t>ms</w:t>
      </w:r>
      <w:r w:rsidR="00365C1A" w:rsidRPr="00D63894">
        <w:rPr>
          <w:rFonts w:eastAsia="Calibri"/>
          <w:szCs w:val="24"/>
        </w:rPr>
        <w:t xml:space="preserve"> </w:t>
      </w:r>
      <w:r w:rsidRPr="00D63894">
        <w:rPr>
          <w:rFonts w:eastAsia="Calibri"/>
          <w:szCs w:val="24"/>
        </w:rPr>
        <w:t xml:space="preserve">(neįskaitant teismo procesinių dokumentų) </w:t>
      </w:r>
      <w:r w:rsidR="00365C1A" w:rsidRPr="00D63894">
        <w:rPr>
          <w:rFonts w:eastAsia="Calibri"/>
          <w:szCs w:val="24"/>
        </w:rPr>
        <w:t>ir su jais susij</w:t>
      </w:r>
      <w:r w:rsidR="000019A0" w:rsidRPr="00D63894">
        <w:rPr>
          <w:rFonts w:eastAsia="Calibri"/>
          <w:szCs w:val="24"/>
        </w:rPr>
        <w:t>usiems</w:t>
      </w:r>
      <w:r w:rsidR="00365C1A" w:rsidRPr="00D63894">
        <w:rPr>
          <w:rFonts w:eastAsia="Calibri"/>
          <w:szCs w:val="24"/>
        </w:rPr>
        <w:t xml:space="preserve"> LITEKO tvarkomi</w:t>
      </w:r>
      <w:r w:rsidR="000019A0" w:rsidRPr="00D63894">
        <w:rPr>
          <w:rFonts w:eastAsia="Calibri"/>
          <w:szCs w:val="24"/>
        </w:rPr>
        <w:t>ems</w:t>
      </w:r>
      <w:r w:rsidR="00365C1A" w:rsidRPr="00D63894">
        <w:rPr>
          <w:rFonts w:eastAsia="Calibri"/>
          <w:szCs w:val="24"/>
        </w:rPr>
        <w:t xml:space="preserve"> duomen</w:t>
      </w:r>
      <w:r w:rsidR="000019A0" w:rsidRPr="00D63894">
        <w:rPr>
          <w:rFonts w:eastAsia="Calibri"/>
          <w:szCs w:val="24"/>
        </w:rPr>
        <w:t>im</w:t>
      </w:r>
      <w:r w:rsidR="00365C1A" w:rsidRPr="00D63894">
        <w:rPr>
          <w:rFonts w:eastAsia="Calibri"/>
          <w:szCs w:val="24"/>
        </w:rPr>
        <w:t>s</w:t>
      </w:r>
      <w:r w:rsidR="0017179D" w:rsidRPr="00D63894">
        <w:rPr>
          <w:rFonts w:eastAsia="Calibri"/>
          <w:szCs w:val="24"/>
        </w:rPr>
        <w:t>;</w:t>
      </w:r>
    </w:p>
    <w:p w14:paraId="53954D03" w14:textId="77777777" w:rsidR="003A1AC4" w:rsidRPr="00D63894" w:rsidRDefault="003A1AC4" w:rsidP="003B03D3">
      <w:pPr>
        <w:pStyle w:val="ListParagraph"/>
        <w:widowControl w:val="0"/>
        <w:numPr>
          <w:ilvl w:val="1"/>
          <w:numId w:val="3"/>
        </w:numPr>
        <w:tabs>
          <w:tab w:val="left" w:pos="851"/>
          <w:tab w:val="left" w:pos="993"/>
          <w:tab w:val="left" w:pos="1134"/>
        </w:tabs>
        <w:ind w:left="0" w:firstLine="567"/>
        <w:jc w:val="both"/>
        <w:rPr>
          <w:rFonts w:eastAsia="Calibri"/>
          <w:szCs w:val="24"/>
        </w:rPr>
      </w:pPr>
      <w:r w:rsidRPr="00D63894">
        <w:rPr>
          <w:rFonts w:eastAsia="Calibri"/>
          <w:szCs w:val="24"/>
        </w:rPr>
        <w:t>Teismo procesinia</w:t>
      </w:r>
      <w:r w:rsidR="000019A0" w:rsidRPr="00D63894">
        <w:rPr>
          <w:rFonts w:eastAsia="Calibri"/>
          <w:szCs w:val="24"/>
        </w:rPr>
        <w:t xml:space="preserve">ms </w:t>
      </w:r>
      <w:r w:rsidRPr="00D63894">
        <w:rPr>
          <w:rFonts w:eastAsia="Calibri"/>
          <w:szCs w:val="24"/>
        </w:rPr>
        <w:t>dokumenta</w:t>
      </w:r>
      <w:r w:rsidR="000019A0" w:rsidRPr="00D63894">
        <w:rPr>
          <w:rFonts w:eastAsia="Calibri"/>
          <w:szCs w:val="24"/>
        </w:rPr>
        <w:t>ms</w:t>
      </w:r>
      <w:r w:rsidRPr="00D63894">
        <w:rPr>
          <w:rFonts w:eastAsia="Calibri"/>
          <w:szCs w:val="24"/>
        </w:rPr>
        <w:t>;</w:t>
      </w:r>
    </w:p>
    <w:p w14:paraId="21B842C9" w14:textId="77777777" w:rsidR="0017179D" w:rsidRPr="00D63894" w:rsidRDefault="00365C1A" w:rsidP="003B03D3">
      <w:pPr>
        <w:pStyle w:val="ListParagraph"/>
        <w:widowControl w:val="0"/>
        <w:numPr>
          <w:ilvl w:val="1"/>
          <w:numId w:val="3"/>
        </w:numPr>
        <w:tabs>
          <w:tab w:val="left" w:pos="851"/>
          <w:tab w:val="left" w:pos="993"/>
          <w:tab w:val="left" w:pos="1134"/>
        </w:tabs>
        <w:ind w:left="0" w:firstLine="567"/>
        <w:jc w:val="both"/>
        <w:rPr>
          <w:rFonts w:eastAsia="Calibri"/>
          <w:szCs w:val="24"/>
        </w:rPr>
      </w:pPr>
      <w:r w:rsidRPr="00D63894">
        <w:rPr>
          <w:rFonts w:eastAsia="Calibri"/>
          <w:szCs w:val="24"/>
        </w:rPr>
        <w:t>LITEKO tvarkomi</w:t>
      </w:r>
      <w:r w:rsidR="000019A0" w:rsidRPr="00D63894">
        <w:rPr>
          <w:rFonts w:eastAsia="Calibri"/>
          <w:szCs w:val="24"/>
        </w:rPr>
        <w:t>ems</w:t>
      </w:r>
      <w:r w:rsidRPr="00D63894">
        <w:rPr>
          <w:rFonts w:eastAsia="Calibri"/>
          <w:szCs w:val="24"/>
        </w:rPr>
        <w:t xml:space="preserve"> duomen</w:t>
      </w:r>
      <w:r w:rsidR="000019A0" w:rsidRPr="00D63894">
        <w:rPr>
          <w:rFonts w:eastAsia="Calibri"/>
          <w:szCs w:val="24"/>
        </w:rPr>
        <w:t>im</w:t>
      </w:r>
      <w:r w:rsidRPr="00D63894">
        <w:rPr>
          <w:rFonts w:eastAsia="Calibri"/>
          <w:szCs w:val="24"/>
        </w:rPr>
        <w:t>s apie bylos proceso dalyvį (dalyvius)</w:t>
      </w:r>
      <w:r w:rsidR="0017179D" w:rsidRPr="00D63894">
        <w:rPr>
          <w:rFonts w:eastAsia="Calibri"/>
          <w:szCs w:val="24"/>
        </w:rPr>
        <w:t>;</w:t>
      </w:r>
    </w:p>
    <w:p w14:paraId="34E6D291" w14:textId="77777777" w:rsidR="0017179D" w:rsidRPr="00D63894" w:rsidRDefault="0017179D" w:rsidP="003B03D3">
      <w:pPr>
        <w:pStyle w:val="ListParagraph"/>
        <w:widowControl w:val="0"/>
        <w:numPr>
          <w:ilvl w:val="1"/>
          <w:numId w:val="3"/>
        </w:numPr>
        <w:tabs>
          <w:tab w:val="left" w:pos="851"/>
          <w:tab w:val="left" w:pos="993"/>
          <w:tab w:val="left" w:pos="1134"/>
        </w:tabs>
        <w:ind w:left="0" w:firstLine="567"/>
        <w:jc w:val="both"/>
        <w:rPr>
          <w:rFonts w:eastAsia="Calibri"/>
          <w:szCs w:val="24"/>
        </w:rPr>
      </w:pPr>
      <w:r w:rsidRPr="00D63894">
        <w:rPr>
          <w:rFonts w:eastAsia="Calibri"/>
          <w:szCs w:val="24"/>
        </w:rPr>
        <w:t>Vis</w:t>
      </w:r>
      <w:r w:rsidR="00365C1A" w:rsidRPr="00D63894">
        <w:rPr>
          <w:rFonts w:eastAsia="Calibri"/>
          <w:szCs w:val="24"/>
        </w:rPr>
        <w:t>i</w:t>
      </w:r>
      <w:r w:rsidR="000019A0" w:rsidRPr="00D63894">
        <w:rPr>
          <w:rFonts w:eastAsia="Calibri"/>
          <w:szCs w:val="24"/>
        </w:rPr>
        <w:t>ems</w:t>
      </w:r>
      <w:r w:rsidRPr="00D63894">
        <w:rPr>
          <w:rFonts w:eastAsia="Calibri"/>
          <w:szCs w:val="24"/>
        </w:rPr>
        <w:t xml:space="preserve"> </w:t>
      </w:r>
      <w:r w:rsidR="00365C1A" w:rsidRPr="00D63894">
        <w:rPr>
          <w:rFonts w:eastAsia="Calibri"/>
          <w:szCs w:val="24"/>
        </w:rPr>
        <w:t>LITEKO tvarkomi</w:t>
      </w:r>
      <w:r w:rsidR="000019A0" w:rsidRPr="00D63894">
        <w:rPr>
          <w:rFonts w:eastAsia="Calibri"/>
          <w:szCs w:val="24"/>
        </w:rPr>
        <w:t>ems</w:t>
      </w:r>
      <w:r w:rsidR="00365C1A" w:rsidRPr="00D63894">
        <w:rPr>
          <w:rFonts w:eastAsia="Calibri"/>
          <w:szCs w:val="24"/>
        </w:rPr>
        <w:t xml:space="preserve"> duomen</w:t>
      </w:r>
      <w:r w:rsidR="000019A0" w:rsidRPr="00D63894">
        <w:rPr>
          <w:rFonts w:eastAsia="Calibri"/>
          <w:szCs w:val="24"/>
        </w:rPr>
        <w:t>im</w:t>
      </w:r>
      <w:r w:rsidR="00365C1A" w:rsidRPr="00D63894">
        <w:rPr>
          <w:rFonts w:eastAsia="Calibri"/>
          <w:szCs w:val="24"/>
        </w:rPr>
        <w:t>s</w:t>
      </w:r>
      <w:r w:rsidR="00E82C0D" w:rsidRPr="00D63894">
        <w:rPr>
          <w:rFonts w:eastAsia="Calibri"/>
          <w:szCs w:val="24"/>
        </w:rPr>
        <w:t>, susijusiems su nevieš</w:t>
      </w:r>
      <w:r w:rsidR="00005EDE" w:rsidRPr="00D63894">
        <w:rPr>
          <w:rFonts w:eastAsia="Calibri"/>
          <w:szCs w:val="24"/>
        </w:rPr>
        <w:t>a</w:t>
      </w:r>
      <w:r w:rsidR="00E82C0D" w:rsidRPr="00D63894">
        <w:rPr>
          <w:rFonts w:eastAsia="Calibri"/>
          <w:szCs w:val="24"/>
        </w:rPr>
        <w:t xml:space="preserve"> bylos medžiaga</w:t>
      </w:r>
      <w:r w:rsidR="00957764" w:rsidRPr="00D63894">
        <w:rPr>
          <w:rFonts w:eastAsia="Calibri"/>
          <w:szCs w:val="24"/>
        </w:rPr>
        <w:t>.</w:t>
      </w:r>
    </w:p>
    <w:p w14:paraId="1628CB56" w14:textId="77777777" w:rsidR="00810536" w:rsidRPr="00D63894" w:rsidRDefault="008937D6" w:rsidP="00B9558C">
      <w:pPr>
        <w:pStyle w:val="ListParagraph"/>
        <w:widowControl w:val="0"/>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Duomenys, nurodyti </w:t>
      </w:r>
      <w:r w:rsidR="000E70F1" w:rsidRPr="00D63894">
        <w:rPr>
          <w:rFonts w:eastAsia="Calibri"/>
          <w:szCs w:val="24"/>
        </w:rPr>
        <w:t>20</w:t>
      </w:r>
      <w:r w:rsidR="004A5B29" w:rsidRPr="00D63894">
        <w:rPr>
          <w:rFonts w:eastAsia="Calibri"/>
          <w:szCs w:val="24"/>
        </w:rPr>
        <w:t xml:space="preserve"> </w:t>
      </w:r>
      <w:r w:rsidR="0017179D" w:rsidRPr="00D63894">
        <w:rPr>
          <w:rFonts w:eastAsia="Calibri"/>
          <w:szCs w:val="24"/>
        </w:rPr>
        <w:t>punk</w:t>
      </w:r>
      <w:r w:rsidR="003B4407" w:rsidRPr="00D63894">
        <w:rPr>
          <w:rFonts w:eastAsia="Calibri"/>
          <w:szCs w:val="24"/>
        </w:rPr>
        <w:t>te</w:t>
      </w:r>
      <w:r w:rsidRPr="00D63894">
        <w:rPr>
          <w:rFonts w:eastAsia="Calibri"/>
          <w:szCs w:val="24"/>
        </w:rPr>
        <w:t>,</w:t>
      </w:r>
      <w:r w:rsidR="0017179D" w:rsidRPr="00D63894">
        <w:rPr>
          <w:rFonts w:eastAsia="Calibri"/>
          <w:szCs w:val="24"/>
        </w:rPr>
        <w:t xml:space="preserve"> laikomi neviešais byloje nedalyvaujantiems asmenims, įskaitant neturinčius </w:t>
      </w:r>
      <w:r w:rsidR="000019A0" w:rsidRPr="00D63894">
        <w:rPr>
          <w:rFonts w:eastAsia="Calibri"/>
          <w:szCs w:val="24"/>
        </w:rPr>
        <w:t xml:space="preserve">LITEKO </w:t>
      </w:r>
      <w:r w:rsidR="0017179D" w:rsidRPr="00D63894">
        <w:rPr>
          <w:rFonts w:eastAsia="Calibri"/>
          <w:szCs w:val="24"/>
        </w:rPr>
        <w:t xml:space="preserve">prieigos prie neviešų duomenų teisėjus ir teismo </w:t>
      </w:r>
      <w:r w:rsidR="00E82C0D" w:rsidRPr="00D63894">
        <w:rPr>
          <w:rFonts w:eastAsia="Calibri"/>
          <w:szCs w:val="24"/>
        </w:rPr>
        <w:t>darbuotojus</w:t>
      </w:r>
      <w:r w:rsidR="00B9558C" w:rsidRPr="00D63894">
        <w:rPr>
          <w:rFonts w:eastAsia="Calibri"/>
          <w:szCs w:val="24"/>
        </w:rPr>
        <w:t>. Jei bylą nagrinėjantis teisėjas ar teisėjų kolegija nenusprendžia kitaip, šie duomenys laikomi neviešais ir byloje dalyvaujantiems asmenims.</w:t>
      </w:r>
    </w:p>
    <w:p w14:paraId="360D60BC" w14:textId="77777777" w:rsidR="00810536" w:rsidRPr="00D63894" w:rsidRDefault="003B4407" w:rsidP="003B03D3">
      <w:pPr>
        <w:pStyle w:val="ListParagraph"/>
        <w:numPr>
          <w:ilvl w:val="0"/>
          <w:numId w:val="3"/>
        </w:numPr>
        <w:tabs>
          <w:tab w:val="left" w:pos="851"/>
          <w:tab w:val="left" w:pos="993"/>
          <w:tab w:val="left" w:pos="1134"/>
        </w:tabs>
        <w:ind w:left="0" w:firstLine="567"/>
        <w:jc w:val="both"/>
      </w:pPr>
      <w:r w:rsidRPr="00D63894">
        <w:t>Bylą nagrinėjantis teisėjas ar</w:t>
      </w:r>
      <w:r w:rsidR="00E33F45" w:rsidRPr="00D63894">
        <w:t xml:space="preserve"> teisėjų kolegijos narys, arba</w:t>
      </w:r>
      <w:r w:rsidRPr="00D63894">
        <w:t xml:space="preserve"> kitas teismo pirmininko įgaliotas asmuo</w:t>
      </w:r>
      <w:r w:rsidR="00470BA0" w:rsidRPr="00D63894">
        <w:t>,</w:t>
      </w:r>
      <w:r w:rsidR="00810536" w:rsidRPr="00D63894">
        <w:t xml:space="preserve"> prieš priskirdamas neviešumo požymį </w:t>
      </w:r>
      <w:r w:rsidRPr="00D63894">
        <w:t>LITEKO</w:t>
      </w:r>
      <w:r w:rsidR="006F1CA8" w:rsidRPr="00D63894">
        <w:t>,</w:t>
      </w:r>
      <w:r w:rsidRPr="00D63894">
        <w:t xml:space="preserve"> </w:t>
      </w:r>
      <w:r w:rsidR="00810536" w:rsidRPr="00D63894">
        <w:t>papildomai patikrina:</w:t>
      </w:r>
    </w:p>
    <w:p w14:paraId="3A44D281" w14:textId="77777777" w:rsidR="00810536" w:rsidRPr="00D63894" w:rsidRDefault="00810536" w:rsidP="003B03D3">
      <w:pPr>
        <w:pStyle w:val="ListParagraph"/>
        <w:numPr>
          <w:ilvl w:val="1"/>
          <w:numId w:val="3"/>
        </w:numPr>
        <w:tabs>
          <w:tab w:val="left" w:pos="851"/>
          <w:tab w:val="left" w:pos="993"/>
          <w:tab w:val="left" w:pos="1134"/>
        </w:tabs>
        <w:ind w:left="0" w:firstLine="567"/>
        <w:jc w:val="both"/>
      </w:pPr>
      <w:r w:rsidRPr="00D63894">
        <w:t>ar nėra kitų susijusių LITEKO elektroninių bylų kortelių, kurioms taip pat turi būti priskirtas neviešumo požymis</w:t>
      </w:r>
      <w:r w:rsidR="006F1CA8" w:rsidRPr="00D63894">
        <w:t>;</w:t>
      </w:r>
      <w:r w:rsidRPr="00D63894">
        <w:t xml:space="preserve">  </w:t>
      </w:r>
    </w:p>
    <w:p w14:paraId="7D4C8044" w14:textId="77777777" w:rsidR="00810536" w:rsidRPr="00D63894" w:rsidRDefault="00810536" w:rsidP="003B03D3">
      <w:pPr>
        <w:pStyle w:val="ListParagraph"/>
        <w:numPr>
          <w:ilvl w:val="1"/>
          <w:numId w:val="3"/>
        </w:numPr>
        <w:tabs>
          <w:tab w:val="left" w:pos="851"/>
          <w:tab w:val="left" w:pos="993"/>
          <w:tab w:val="left" w:pos="1134"/>
        </w:tabs>
        <w:ind w:left="0" w:firstLine="567"/>
        <w:jc w:val="both"/>
      </w:pPr>
      <w:r w:rsidRPr="00D63894">
        <w:t>ar LITEKO elektroninėje bylos kortelėje nėra bylos proceso dalyvių, kuri</w:t>
      </w:r>
      <w:r w:rsidR="003B4407" w:rsidRPr="00D63894">
        <w:t>e</w:t>
      </w:r>
      <w:r w:rsidRPr="00D63894">
        <w:t>ms turi būti priskirtas neviešumo požymis</w:t>
      </w:r>
      <w:r w:rsidR="006F1CA8" w:rsidRPr="00D63894">
        <w:t>;</w:t>
      </w:r>
    </w:p>
    <w:p w14:paraId="7AE1B5FF" w14:textId="77777777" w:rsidR="00810536" w:rsidRPr="00D63894" w:rsidRDefault="00810536" w:rsidP="003B03D3">
      <w:pPr>
        <w:pStyle w:val="ListParagraph"/>
        <w:numPr>
          <w:ilvl w:val="1"/>
          <w:numId w:val="3"/>
        </w:numPr>
        <w:tabs>
          <w:tab w:val="left" w:pos="851"/>
          <w:tab w:val="left" w:pos="993"/>
          <w:tab w:val="left" w:pos="1134"/>
        </w:tabs>
        <w:ind w:left="0" w:firstLine="567"/>
        <w:jc w:val="both"/>
      </w:pPr>
      <w:r w:rsidRPr="00D63894">
        <w:t>ar proceso dalyviams jų LITEKO VEP paskyroje gali būti matomi elektroninėje bylos kortelėje esantys duomenys bei dokumentai.</w:t>
      </w:r>
    </w:p>
    <w:p w14:paraId="400FFD3C" w14:textId="77777777" w:rsidR="0023719F" w:rsidRPr="00D63894" w:rsidRDefault="0023719F" w:rsidP="007523C8">
      <w:pPr>
        <w:pStyle w:val="ListParagraph"/>
        <w:widowControl w:val="0"/>
        <w:numPr>
          <w:ilvl w:val="0"/>
          <w:numId w:val="3"/>
        </w:numPr>
        <w:tabs>
          <w:tab w:val="left" w:pos="851"/>
          <w:tab w:val="left" w:pos="993"/>
          <w:tab w:val="left" w:pos="1134"/>
        </w:tabs>
        <w:ind w:left="0" w:firstLine="567"/>
        <w:jc w:val="both"/>
        <w:rPr>
          <w:rFonts w:eastAsia="Calibri"/>
          <w:szCs w:val="24"/>
        </w:rPr>
      </w:pPr>
      <w:r w:rsidRPr="00D63894">
        <w:rPr>
          <w:rFonts w:eastAsia="Calibri"/>
          <w:szCs w:val="24"/>
        </w:rPr>
        <w:t xml:space="preserve">Jei teismui pateiktame procesiniame dokumente yra neviešų duomenų, ir dėl techninių ar kitų objektyvių priežasčių nėra galimybės šio dokumento registruojant LITEKO suskaidyti į atskiras dalis, </w:t>
      </w:r>
      <w:r w:rsidR="00D52D17" w:rsidRPr="00D63894">
        <w:rPr>
          <w:rFonts w:eastAsia="Calibri"/>
          <w:szCs w:val="24"/>
        </w:rPr>
        <w:t xml:space="preserve">jei bylą nagrinėjantis teisėjas ar teisėjų kolegija nenusprendžia kitaip, </w:t>
      </w:r>
      <w:r w:rsidRPr="00D63894">
        <w:rPr>
          <w:rFonts w:eastAsia="Calibri"/>
          <w:szCs w:val="24"/>
        </w:rPr>
        <w:t>neviešumo požymis priskiriamas visam dokumentui.</w:t>
      </w:r>
    </w:p>
    <w:p w14:paraId="4072BB8B" w14:textId="77777777" w:rsidR="00C3314C" w:rsidRPr="00D63894" w:rsidRDefault="00C3314C" w:rsidP="003B03D3">
      <w:pPr>
        <w:widowControl w:val="0"/>
        <w:tabs>
          <w:tab w:val="left" w:pos="851"/>
          <w:tab w:val="left" w:pos="993"/>
          <w:tab w:val="left" w:pos="1134"/>
        </w:tabs>
        <w:ind w:firstLine="567"/>
        <w:jc w:val="both"/>
        <w:rPr>
          <w:rFonts w:eastAsia="Calibri"/>
          <w:szCs w:val="24"/>
        </w:rPr>
      </w:pPr>
    </w:p>
    <w:p w14:paraId="0C9187AF" w14:textId="77777777" w:rsidR="00936FAD" w:rsidRPr="00D63894" w:rsidRDefault="00936FAD" w:rsidP="003B03D3">
      <w:pPr>
        <w:pStyle w:val="ListParagraph"/>
        <w:widowControl w:val="0"/>
        <w:numPr>
          <w:ilvl w:val="0"/>
          <w:numId w:val="5"/>
        </w:numPr>
        <w:tabs>
          <w:tab w:val="left" w:pos="851"/>
          <w:tab w:val="left" w:pos="993"/>
          <w:tab w:val="left" w:pos="1134"/>
        </w:tabs>
        <w:ind w:left="0" w:firstLine="567"/>
        <w:jc w:val="center"/>
        <w:rPr>
          <w:rFonts w:eastAsia="Calibri"/>
          <w:b/>
          <w:szCs w:val="24"/>
        </w:rPr>
      </w:pPr>
      <w:r w:rsidRPr="00D63894">
        <w:rPr>
          <w:rFonts w:eastAsia="Calibri"/>
          <w:b/>
          <w:szCs w:val="24"/>
        </w:rPr>
        <w:t>SKYRIUS</w:t>
      </w:r>
    </w:p>
    <w:p w14:paraId="460F034A" w14:textId="77777777" w:rsidR="00C3314C" w:rsidRPr="00D63894" w:rsidRDefault="00C3314C" w:rsidP="00936FAD">
      <w:pPr>
        <w:pStyle w:val="ListParagraph"/>
        <w:widowControl w:val="0"/>
        <w:tabs>
          <w:tab w:val="left" w:pos="851"/>
          <w:tab w:val="left" w:pos="993"/>
          <w:tab w:val="left" w:pos="1134"/>
        </w:tabs>
        <w:ind w:left="567"/>
        <w:jc w:val="center"/>
        <w:rPr>
          <w:rFonts w:eastAsia="Calibri"/>
          <w:b/>
          <w:szCs w:val="24"/>
        </w:rPr>
      </w:pPr>
      <w:r w:rsidRPr="00D63894">
        <w:rPr>
          <w:rFonts w:eastAsia="Calibri"/>
          <w:b/>
          <w:szCs w:val="24"/>
        </w:rPr>
        <w:t>PRIEIGĄ PRIE NEV</w:t>
      </w:r>
      <w:r w:rsidR="00470BA0" w:rsidRPr="00D63894">
        <w:rPr>
          <w:rFonts w:eastAsia="Calibri"/>
          <w:b/>
          <w:szCs w:val="24"/>
        </w:rPr>
        <w:t>IEŠ</w:t>
      </w:r>
      <w:r w:rsidRPr="00D63894">
        <w:rPr>
          <w:rFonts w:eastAsia="Calibri"/>
          <w:b/>
          <w:szCs w:val="24"/>
        </w:rPr>
        <w:t>Ų LITEKO DUOMENŲ TURINTYS ASMENYS</w:t>
      </w:r>
    </w:p>
    <w:p w14:paraId="48FE08FF" w14:textId="77777777" w:rsidR="00C3314C" w:rsidRPr="00D63894" w:rsidRDefault="00C3314C" w:rsidP="003B03D3">
      <w:pPr>
        <w:widowControl w:val="0"/>
        <w:tabs>
          <w:tab w:val="left" w:pos="851"/>
          <w:tab w:val="left" w:pos="993"/>
          <w:tab w:val="left" w:pos="1134"/>
        </w:tabs>
        <w:ind w:firstLine="567"/>
        <w:jc w:val="both"/>
        <w:rPr>
          <w:rFonts w:eastAsia="Calibri"/>
          <w:b/>
          <w:szCs w:val="24"/>
        </w:rPr>
      </w:pPr>
    </w:p>
    <w:p w14:paraId="54ABF3AE" w14:textId="77777777" w:rsidR="0017179D" w:rsidRPr="00D63894" w:rsidRDefault="0017179D" w:rsidP="00D63894">
      <w:pPr>
        <w:pStyle w:val="ListParagraph"/>
        <w:widowControl w:val="0"/>
        <w:numPr>
          <w:ilvl w:val="0"/>
          <w:numId w:val="3"/>
        </w:numPr>
        <w:tabs>
          <w:tab w:val="left" w:pos="1134"/>
          <w:tab w:val="left" w:pos="1276"/>
        </w:tabs>
        <w:ind w:left="0" w:firstLine="567"/>
        <w:jc w:val="both"/>
        <w:rPr>
          <w:rFonts w:eastAsia="Calibri"/>
          <w:szCs w:val="24"/>
        </w:rPr>
      </w:pPr>
      <w:r w:rsidRPr="00D63894">
        <w:rPr>
          <w:rFonts w:eastAsia="Calibri"/>
          <w:szCs w:val="24"/>
        </w:rPr>
        <w:t>LITEKO prieigą prie neviešų duomenų turi:</w:t>
      </w:r>
    </w:p>
    <w:p w14:paraId="63B03A44" w14:textId="77777777"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Teisėjas ar teisėjų kolegijos nariai,  nagrinėjantys bylą, kurioje yra neviešų duomenų;</w:t>
      </w:r>
    </w:p>
    <w:p w14:paraId="7AB83DA8" w14:textId="77777777"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 xml:space="preserve">Teismo </w:t>
      </w:r>
      <w:r w:rsidR="00E82C0D" w:rsidRPr="00D63894">
        <w:rPr>
          <w:rFonts w:eastAsia="Calibri"/>
          <w:szCs w:val="24"/>
        </w:rPr>
        <w:t>darbuotojai</w:t>
      </w:r>
      <w:r w:rsidR="00E33F45" w:rsidRPr="00D63894">
        <w:rPr>
          <w:rFonts w:eastAsia="Calibri"/>
          <w:szCs w:val="24"/>
        </w:rPr>
        <w:t xml:space="preserve">, </w:t>
      </w:r>
      <w:r w:rsidRPr="00D63894">
        <w:rPr>
          <w:rFonts w:eastAsia="Calibri"/>
          <w:szCs w:val="24"/>
        </w:rPr>
        <w:t xml:space="preserve">LITEKO susieti su bylą nagrinėjančiu teisėju ar teisėjų kolegijos nariu (teisėjo padėjėjas, teismo posėdžių sekretorius); </w:t>
      </w:r>
    </w:p>
    <w:p w14:paraId="09225902" w14:textId="77777777"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Teismo pirmininkas;</w:t>
      </w:r>
    </w:p>
    <w:p w14:paraId="05BD68B0" w14:textId="77777777" w:rsidR="0037682F" w:rsidRPr="00D63894" w:rsidRDefault="0037682F"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Teismo skyriaus pirmininkas;</w:t>
      </w:r>
    </w:p>
    <w:p w14:paraId="6630A6D4" w14:textId="737CF565" w:rsidR="009152A2" w:rsidRPr="00D63894" w:rsidRDefault="009152A2"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Teismo pirmininko pavaduotojas;</w:t>
      </w:r>
    </w:p>
    <w:p w14:paraId="4E65DBF0" w14:textId="77777777"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Teismo pirmininko patarėjas;</w:t>
      </w:r>
    </w:p>
    <w:p w14:paraId="34B36246" w14:textId="77777777"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Teismo pirmininko padėjėjas;</w:t>
      </w:r>
    </w:p>
    <w:p w14:paraId="6E5E29B4" w14:textId="2D72E1E4" w:rsidR="009152A2" w:rsidRPr="00D63894" w:rsidRDefault="009152A2"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Teismo skyriaus pirmininko patarėjas;</w:t>
      </w:r>
    </w:p>
    <w:p w14:paraId="1B9E355B" w14:textId="49B20F4B" w:rsidR="009152A2" w:rsidRPr="00D63894" w:rsidRDefault="009152A2"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Teismo skyriaus pirmininko padėjėjas;</w:t>
      </w:r>
    </w:p>
    <w:p w14:paraId="60CDFA55" w14:textId="1C6E5AE3"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 xml:space="preserve">Teismo </w:t>
      </w:r>
      <w:r w:rsidR="00E82C0D" w:rsidRPr="00D63894">
        <w:rPr>
          <w:rFonts w:eastAsia="Calibri"/>
          <w:szCs w:val="24"/>
        </w:rPr>
        <w:t>darbuotoja</w:t>
      </w:r>
      <w:r w:rsidR="00D52D17" w:rsidRPr="00D63894">
        <w:rPr>
          <w:rFonts w:eastAsia="Calibri"/>
          <w:szCs w:val="24"/>
        </w:rPr>
        <w:t>s</w:t>
      </w:r>
      <w:r w:rsidRPr="00D63894">
        <w:rPr>
          <w:rFonts w:eastAsia="Calibri"/>
          <w:szCs w:val="24"/>
        </w:rPr>
        <w:t xml:space="preserve">, teismo pirmininko </w:t>
      </w:r>
      <w:r w:rsidR="00D52D17" w:rsidRPr="00D63894">
        <w:rPr>
          <w:rFonts w:eastAsia="Calibri"/>
          <w:szCs w:val="24"/>
        </w:rPr>
        <w:t xml:space="preserve">Bylų paskirstymo teisėjams ir teisėjų kolegijų sudarymo taisyklių aprašo nustatyta tvarka </w:t>
      </w:r>
      <w:r w:rsidRPr="00D63894">
        <w:rPr>
          <w:rFonts w:eastAsia="Calibri"/>
          <w:szCs w:val="24"/>
        </w:rPr>
        <w:t>įgaliotas skirstyti bylas</w:t>
      </w:r>
      <w:r w:rsidR="00B12095" w:rsidRPr="00D63894">
        <w:rPr>
          <w:rFonts w:eastAsia="Calibri"/>
          <w:szCs w:val="24"/>
        </w:rPr>
        <w:t>, kuriose yra neviešų duomenų</w:t>
      </w:r>
      <w:r w:rsidRPr="00D63894">
        <w:rPr>
          <w:rFonts w:eastAsia="Calibri"/>
          <w:szCs w:val="24"/>
        </w:rPr>
        <w:t>;</w:t>
      </w:r>
    </w:p>
    <w:p w14:paraId="59098617" w14:textId="77777777"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 xml:space="preserve">Teismo </w:t>
      </w:r>
      <w:r w:rsidR="00E82C0D" w:rsidRPr="00D63894">
        <w:rPr>
          <w:rFonts w:eastAsia="Calibri"/>
          <w:szCs w:val="24"/>
        </w:rPr>
        <w:t>darbuotojas</w:t>
      </w:r>
      <w:r w:rsidRPr="00D63894">
        <w:rPr>
          <w:rFonts w:eastAsia="Calibri"/>
          <w:szCs w:val="24"/>
        </w:rPr>
        <w:t>, teismo pirmininko įgaliotas dirbti su LITEKO tvarkomais neviešais duomenimis;</w:t>
      </w:r>
    </w:p>
    <w:p w14:paraId="5D69F9D2" w14:textId="77777777" w:rsidR="0017179D" w:rsidRPr="00D63894" w:rsidRDefault="00D05530" w:rsidP="00D63894">
      <w:pPr>
        <w:pStyle w:val="ListParagraph"/>
        <w:widowControl w:val="0"/>
        <w:numPr>
          <w:ilvl w:val="1"/>
          <w:numId w:val="3"/>
        </w:numPr>
        <w:tabs>
          <w:tab w:val="left" w:pos="1134"/>
          <w:tab w:val="left" w:pos="1276"/>
        </w:tabs>
        <w:ind w:left="0" w:firstLine="567"/>
        <w:jc w:val="both"/>
      </w:pPr>
      <w:r w:rsidRPr="00D63894">
        <w:t xml:space="preserve">LITEKO valdytojo </w:t>
      </w:r>
      <w:r w:rsidR="0017179D" w:rsidRPr="00D63894">
        <w:t>Nacionalinės teismų administracijos darbuotojas, įgaliotas dirbti su LITEKO tvarkomais neviešais duomenimis;</w:t>
      </w:r>
    </w:p>
    <w:p w14:paraId="45A1C27C" w14:textId="77777777" w:rsidR="0017179D" w:rsidRPr="00D63894" w:rsidRDefault="0017179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 xml:space="preserve">Kiti LITEKO naudotojai, kuriems šio aprašo </w:t>
      </w:r>
      <w:r w:rsidR="003B4407" w:rsidRPr="00D63894">
        <w:rPr>
          <w:rFonts w:eastAsia="Calibri"/>
          <w:szCs w:val="24"/>
        </w:rPr>
        <w:t xml:space="preserve">V skyriuje </w:t>
      </w:r>
      <w:r w:rsidRPr="00D63894">
        <w:rPr>
          <w:rFonts w:eastAsia="Calibri"/>
          <w:szCs w:val="24"/>
        </w:rPr>
        <w:t>nustatyta tvarka buvo suteikta individuali prieiga prie konkrečios bylos neviešų duomenų.</w:t>
      </w:r>
    </w:p>
    <w:p w14:paraId="69AED6AD" w14:textId="77777777" w:rsidR="00E82C0D" w:rsidRPr="00D63894" w:rsidRDefault="00E82C0D" w:rsidP="00D63894">
      <w:pPr>
        <w:pStyle w:val="ListParagraph"/>
        <w:widowControl w:val="0"/>
        <w:numPr>
          <w:ilvl w:val="1"/>
          <w:numId w:val="3"/>
        </w:numPr>
        <w:tabs>
          <w:tab w:val="left" w:pos="1134"/>
          <w:tab w:val="left" w:pos="1276"/>
        </w:tabs>
        <w:ind w:left="0" w:firstLine="567"/>
        <w:jc w:val="both"/>
        <w:rPr>
          <w:rFonts w:eastAsia="Calibri"/>
          <w:szCs w:val="24"/>
        </w:rPr>
      </w:pPr>
      <w:r w:rsidRPr="00D63894">
        <w:rPr>
          <w:rFonts w:eastAsia="Calibri"/>
          <w:szCs w:val="24"/>
        </w:rPr>
        <w:t xml:space="preserve">Kiti asmenys ar institucijos, pagal teisės aktus turintys teisę susipažinti su nevieša teismuose nagrinėjamų bylų medžiaga, LITEKO duomenis </w:t>
      </w:r>
      <w:r w:rsidR="00D05530" w:rsidRPr="00D63894">
        <w:rPr>
          <w:rFonts w:eastAsia="Calibri"/>
          <w:szCs w:val="24"/>
        </w:rPr>
        <w:t xml:space="preserve">gaunantys </w:t>
      </w:r>
      <w:r w:rsidRPr="00D63894">
        <w:rPr>
          <w:rFonts w:eastAsia="Calibri"/>
          <w:szCs w:val="24"/>
        </w:rPr>
        <w:t>pagal su LITEKO valdytoju sudarytas duomenų teikimo sutartis.</w:t>
      </w:r>
    </w:p>
    <w:p w14:paraId="736E9D8F" w14:textId="77777777" w:rsidR="0017179D" w:rsidRPr="00D63894" w:rsidRDefault="00161358" w:rsidP="003B03D3">
      <w:pPr>
        <w:pStyle w:val="ListParagraph"/>
        <w:widowControl w:val="0"/>
        <w:numPr>
          <w:ilvl w:val="0"/>
          <w:numId w:val="3"/>
        </w:numPr>
        <w:tabs>
          <w:tab w:val="left" w:pos="851"/>
          <w:tab w:val="left" w:pos="993"/>
          <w:tab w:val="left" w:pos="1134"/>
        </w:tabs>
        <w:ind w:left="0" w:firstLine="567"/>
        <w:jc w:val="both"/>
      </w:pPr>
      <w:r w:rsidRPr="00D63894">
        <w:t xml:space="preserve">Prieiga </w:t>
      </w:r>
      <w:r w:rsidR="003B4407" w:rsidRPr="00D63894">
        <w:t>2</w:t>
      </w:r>
      <w:r w:rsidR="00115B09" w:rsidRPr="00D63894">
        <w:t>4</w:t>
      </w:r>
      <w:r w:rsidR="0017179D" w:rsidRPr="00D63894">
        <w:t xml:space="preserve">.1 ir </w:t>
      </w:r>
      <w:r w:rsidR="003B4407" w:rsidRPr="00D63894">
        <w:t>2</w:t>
      </w:r>
      <w:r w:rsidR="00115B09" w:rsidRPr="00D63894">
        <w:t>4</w:t>
      </w:r>
      <w:r w:rsidR="0017179D" w:rsidRPr="00D63894">
        <w:t>.2 papunkčiuose nurodytiems asmenims suteikiama tik prie LITEKO tvarkomų neviešų duomenų atitinkamo teisėjo</w:t>
      </w:r>
      <w:r w:rsidR="006F1CA8" w:rsidRPr="00D63894">
        <w:t xml:space="preserve"> ar teisėjų kolegijos</w:t>
      </w:r>
      <w:r w:rsidR="0017179D" w:rsidRPr="00D63894">
        <w:t xml:space="preserve"> nagrinėjamose bylose.</w:t>
      </w:r>
    </w:p>
    <w:p w14:paraId="759F7AAC" w14:textId="5A212BAC" w:rsidR="0017179D" w:rsidRPr="00D63894" w:rsidRDefault="00161358" w:rsidP="003B03D3">
      <w:pPr>
        <w:pStyle w:val="ListParagraph"/>
        <w:numPr>
          <w:ilvl w:val="0"/>
          <w:numId w:val="3"/>
        </w:numPr>
        <w:tabs>
          <w:tab w:val="left" w:pos="851"/>
          <w:tab w:val="left" w:pos="993"/>
          <w:tab w:val="left" w:pos="1134"/>
        </w:tabs>
        <w:ind w:left="0" w:firstLine="567"/>
        <w:jc w:val="both"/>
      </w:pPr>
      <w:r w:rsidRPr="00D63894">
        <w:lastRenderedPageBreak/>
        <w:t xml:space="preserve">Prieiga </w:t>
      </w:r>
      <w:r w:rsidR="003B4407" w:rsidRPr="00D63894">
        <w:t>2</w:t>
      </w:r>
      <w:r w:rsidR="00115B09" w:rsidRPr="00D63894">
        <w:t>4</w:t>
      </w:r>
      <w:r w:rsidR="0017179D" w:rsidRPr="00D63894">
        <w:t xml:space="preserve">.3 </w:t>
      </w:r>
      <w:r w:rsidR="003B4407" w:rsidRPr="00D63894">
        <w:t>–</w:t>
      </w:r>
      <w:r w:rsidR="0017179D" w:rsidRPr="00D63894">
        <w:t xml:space="preserve"> </w:t>
      </w:r>
      <w:r w:rsidR="003B4407" w:rsidRPr="00D63894">
        <w:t>2</w:t>
      </w:r>
      <w:r w:rsidR="00115B09" w:rsidRPr="00D63894">
        <w:t>4</w:t>
      </w:r>
      <w:r w:rsidR="0017179D" w:rsidRPr="00D63894">
        <w:t>.</w:t>
      </w:r>
      <w:r w:rsidR="00AC438A" w:rsidRPr="00D63894">
        <w:t>12</w:t>
      </w:r>
      <w:r w:rsidR="0017179D" w:rsidRPr="00D63894">
        <w:t xml:space="preserve"> papunkčiuose nurodytiems asmenims suteikiama prie visų teisme nagrinėjamų bylų LITEKO tvarkomų neviešų duomenų.</w:t>
      </w:r>
    </w:p>
    <w:p w14:paraId="0231FEEA" w14:textId="77777777" w:rsidR="00142348" w:rsidRPr="00D63894" w:rsidRDefault="00142348" w:rsidP="003B03D3">
      <w:pPr>
        <w:tabs>
          <w:tab w:val="left" w:pos="851"/>
          <w:tab w:val="left" w:pos="993"/>
          <w:tab w:val="left" w:pos="1134"/>
        </w:tabs>
        <w:ind w:firstLine="567"/>
        <w:jc w:val="both"/>
      </w:pPr>
    </w:p>
    <w:p w14:paraId="530D162C" w14:textId="77777777" w:rsidR="00936FAD" w:rsidRPr="00D63894" w:rsidRDefault="00936FAD" w:rsidP="003B03D3">
      <w:pPr>
        <w:pStyle w:val="ListParagraph"/>
        <w:numPr>
          <w:ilvl w:val="0"/>
          <w:numId w:val="5"/>
        </w:numPr>
        <w:tabs>
          <w:tab w:val="left" w:pos="851"/>
          <w:tab w:val="left" w:pos="993"/>
          <w:tab w:val="left" w:pos="1134"/>
        </w:tabs>
        <w:ind w:left="0" w:firstLine="567"/>
        <w:jc w:val="center"/>
        <w:rPr>
          <w:b/>
        </w:rPr>
      </w:pPr>
      <w:r w:rsidRPr="00D63894">
        <w:rPr>
          <w:b/>
        </w:rPr>
        <w:t>SKYRIUS</w:t>
      </w:r>
    </w:p>
    <w:p w14:paraId="3818748C" w14:textId="77777777" w:rsidR="00142348" w:rsidRPr="00D63894" w:rsidRDefault="00AB1B0E" w:rsidP="00936FAD">
      <w:pPr>
        <w:pStyle w:val="ListParagraph"/>
        <w:tabs>
          <w:tab w:val="left" w:pos="851"/>
          <w:tab w:val="left" w:pos="993"/>
          <w:tab w:val="left" w:pos="1134"/>
        </w:tabs>
        <w:ind w:left="567"/>
        <w:jc w:val="center"/>
        <w:rPr>
          <w:b/>
        </w:rPr>
      </w:pPr>
      <w:r w:rsidRPr="00D63894">
        <w:rPr>
          <w:b/>
        </w:rPr>
        <w:t>INDIVIDUALIOS PRIEIGOS PRIE NEVIEŠŲ DUOMENŲ SUTEIKIM</w:t>
      </w:r>
      <w:r w:rsidR="00234F6C" w:rsidRPr="00D63894">
        <w:rPr>
          <w:b/>
        </w:rPr>
        <w:t>O TVARKA</w:t>
      </w:r>
    </w:p>
    <w:p w14:paraId="1D3BF22F" w14:textId="77777777" w:rsidR="00142348" w:rsidRPr="00D63894" w:rsidRDefault="00142348" w:rsidP="003B03D3">
      <w:pPr>
        <w:tabs>
          <w:tab w:val="left" w:pos="851"/>
          <w:tab w:val="left" w:pos="993"/>
          <w:tab w:val="left" w:pos="1134"/>
        </w:tabs>
        <w:ind w:firstLine="567"/>
        <w:jc w:val="both"/>
      </w:pPr>
    </w:p>
    <w:p w14:paraId="1FC6A7F4" w14:textId="77777777" w:rsidR="00365C1A" w:rsidRPr="00D63894" w:rsidRDefault="003B4407" w:rsidP="003B03D3">
      <w:pPr>
        <w:pStyle w:val="ListParagraph"/>
        <w:numPr>
          <w:ilvl w:val="0"/>
          <w:numId w:val="3"/>
        </w:numPr>
        <w:tabs>
          <w:tab w:val="left" w:pos="851"/>
          <w:tab w:val="left" w:pos="993"/>
          <w:tab w:val="left" w:pos="1134"/>
        </w:tabs>
        <w:ind w:left="0" w:firstLine="567"/>
        <w:jc w:val="both"/>
      </w:pPr>
      <w:r w:rsidRPr="00D63894">
        <w:t xml:space="preserve">LITEKO </w:t>
      </w:r>
      <w:r w:rsidR="003A1AC4" w:rsidRPr="00D63894">
        <w:t xml:space="preserve">naudotojas, neturintis prieigos prie LITEKO tvarkomų neviešų duomenų, gali </w:t>
      </w:r>
      <w:r w:rsidR="001F21BC" w:rsidRPr="00D63894">
        <w:t xml:space="preserve">LITEKO priemonėmis </w:t>
      </w:r>
      <w:r w:rsidR="003A1AC4" w:rsidRPr="00D63894">
        <w:t xml:space="preserve">pateikti </w:t>
      </w:r>
      <w:r w:rsidR="003F4687" w:rsidRPr="00D63894">
        <w:t xml:space="preserve">rašytinį </w:t>
      </w:r>
      <w:r w:rsidR="001F21BC" w:rsidRPr="00D63894">
        <w:t>prašymą suteikti jam individualią prieigą prie neviešų duomenų. Šiame prašyme tur</w:t>
      </w:r>
      <w:r w:rsidRPr="00D63894">
        <w:t>i</w:t>
      </w:r>
      <w:r w:rsidR="001F21BC" w:rsidRPr="00D63894">
        <w:t xml:space="preserve"> būti nurodytas bylos numeris, konkretūs duomenys, prie kurių norima gauti prieigą bei tikslas, kuriuo šie duomenys bus naudojami.</w:t>
      </w:r>
    </w:p>
    <w:p w14:paraId="2325FBEE" w14:textId="4FEEB681" w:rsidR="001F21BC" w:rsidRPr="00D63894" w:rsidRDefault="001F21BC" w:rsidP="00C62892">
      <w:pPr>
        <w:pStyle w:val="ListParagraph"/>
        <w:numPr>
          <w:ilvl w:val="0"/>
          <w:numId w:val="3"/>
        </w:numPr>
        <w:tabs>
          <w:tab w:val="left" w:pos="710"/>
          <w:tab w:val="left" w:pos="851"/>
          <w:tab w:val="left" w:pos="993"/>
        </w:tabs>
        <w:ind w:left="0" w:firstLine="567"/>
        <w:jc w:val="both"/>
      </w:pPr>
      <w:r w:rsidRPr="00D63894">
        <w:t>Individualią prieigą prie neviešų duomenų gali suteikti byl</w:t>
      </w:r>
      <w:r w:rsidR="005A12D3" w:rsidRPr="00D63894">
        <w:t>ą nagrinėjantis</w:t>
      </w:r>
      <w:r w:rsidR="001E21C2" w:rsidRPr="00D63894">
        <w:t xml:space="preserve"> ar ją išnagrinėjęs</w:t>
      </w:r>
      <w:r w:rsidR="005A12D3" w:rsidRPr="00D63894">
        <w:t xml:space="preserve"> teisėjas</w:t>
      </w:r>
      <w:r w:rsidR="00E33F45" w:rsidRPr="00D63894">
        <w:t xml:space="preserve"> ar teisėjų kolegijos narys</w:t>
      </w:r>
      <w:r w:rsidR="001E21C2" w:rsidRPr="00D63894">
        <w:t>. J</w:t>
      </w:r>
      <w:r w:rsidR="005A12D3" w:rsidRPr="00D63894">
        <w:t xml:space="preserve">ei teisėjas byloje dar nėra paskirtas, arba </w:t>
      </w:r>
      <w:r w:rsidR="001E21C2" w:rsidRPr="00D63894">
        <w:t>jei bylą išnagrinėjęs teisėjas teisme nebedirba</w:t>
      </w:r>
      <w:r w:rsidR="005A12D3" w:rsidRPr="00D63894">
        <w:t xml:space="preserve"> –</w:t>
      </w:r>
      <w:r w:rsidR="00A816A3" w:rsidRPr="00D63894">
        <w:t xml:space="preserve"> individualią prieigą prie neviešų duomenų gali suteikti </w:t>
      </w:r>
      <w:r w:rsidR="005A12D3" w:rsidRPr="00D63894">
        <w:t xml:space="preserve">teismo pirmininkas arba teismo </w:t>
      </w:r>
      <w:r w:rsidR="003F4687" w:rsidRPr="00D63894">
        <w:t>darbuotojas</w:t>
      </w:r>
      <w:r w:rsidR="005A12D3" w:rsidRPr="00D63894">
        <w:t xml:space="preserve">, teismo pirmininko įgaliotas dirbti su </w:t>
      </w:r>
      <w:r w:rsidR="00D05530" w:rsidRPr="00D63894">
        <w:t xml:space="preserve">LITEKO </w:t>
      </w:r>
      <w:r w:rsidR="005A12D3" w:rsidRPr="00D63894">
        <w:t>neviešais duomenimis.</w:t>
      </w:r>
    </w:p>
    <w:p w14:paraId="033EAD76" w14:textId="77777777" w:rsidR="005F2FDD" w:rsidRPr="00D63894" w:rsidRDefault="005F2FDD" w:rsidP="003B03D3">
      <w:pPr>
        <w:pStyle w:val="ListParagraph"/>
        <w:numPr>
          <w:ilvl w:val="0"/>
          <w:numId w:val="3"/>
        </w:numPr>
        <w:tabs>
          <w:tab w:val="left" w:pos="851"/>
          <w:tab w:val="left" w:pos="993"/>
          <w:tab w:val="left" w:pos="1134"/>
        </w:tabs>
        <w:ind w:left="0" w:firstLine="567"/>
        <w:jc w:val="both"/>
      </w:pPr>
      <w:r w:rsidRPr="00D63894">
        <w:t>Prašymo suteikti individualią prieigą prie neviešų duomenų sprendimo rezultatas įvedamas į LITEKO.</w:t>
      </w:r>
    </w:p>
    <w:p w14:paraId="16912CBC" w14:textId="77777777" w:rsidR="005A12D3" w:rsidRPr="00D63894" w:rsidRDefault="005A12D3" w:rsidP="003B03D3">
      <w:pPr>
        <w:pStyle w:val="ListParagraph"/>
        <w:numPr>
          <w:ilvl w:val="0"/>
          <w:numId w:val="3"/>
        </w:numPr>
        <w:tabs>
          <w:tab w:val="left" w:pos="851"/>
          <w:tab w:val="left" w:pos="993"/>
          <w:tab w:val="left" w:pos="1134"/>
        </w:tabs>
        <w:ind w:left="0" w:firstLine="567"/>
        <w:jc w:val="both"/>
      </w:pPr>
      <w:r w:rsidRPr="00D63894">
        <w:t xml:space="preserve">Individuali prieiga prie neviešų duomenų suteikiama </w:t>
      </w:r>
      <w:r w:rsidR="0003384D" w:rsidRPr="00D63894">
        <w:t>nustatant</w:t>
      </w:r>
      <w:r w:rsidRPr="00D63894">
        <w:t xml:space="preserve"> konkretų terminą, </w:t>
      </w:r>
      <w:r w:rsidR="00234F6C" w:rsidRPr="00D63894">
        <w:t>atsižvelgiant</w:t>
      </w:r>
      <w:r w:rsidRPr="00D63894">
        <w:t xml:space="preserve"> į prašyme nurodytą informaciją.</w:t>
      </w:r>
      <w:r w:rsidR="005F2FDD" w:rsidRPr="00D63894">
        <w:t xml:space="preserve"> Neviešų duomenų apimtis ir terminas, kuriam suteikiama individuali prieiga LITEKO prie neviešų duomenų, negali būti didesni nei būtina atlikti prašyme suteikti individualią prieigą nurodytus veiksmus. </w:t>
      </w:r>
    </w:p>
    <w:p w14:paraId="5A6DE9DC" w14:textId="77777777" w:rsidR="0017179D" w:rsidRPr="00D63894" w:rsidRDefault="005A12D3" w:rsidP="003B03D3">
      <w:pPr>
        <w:pStyle w:val="ListParagraph"/>
        <w:numPr>
          <w:ilvl w:val="0"/>
          <w:numId w:val="3"/>
        </w:numPr>
        <w:tabs>
          <w:tab w:val="left" w:pos="851"/>
          <w:tab w:val="left" w:pos="993"/>
          <w:tab w:val="left" w:pos="1134"/>
        </w:tabs>
        <w:ind w:left="0" w:firstLine="567"/>
        <w:jc w:val="both"/>
        <w:rPr>
          <w:b/>
        </w:rPr>
      </w:pPr>
      <w:r w:rsidRPr="00D63894">
        <w:t>LITEKO naudotojas, pateikęs prašymą suteikti individualią prieigą prie neviešų duomenų, apie prie</w:t>
      </w:r>
      <w:r w:rsidR="006F1CA8" w:rsidRPr="00D63894">
        <w:t>i</w:t>
      </w:r>
      <w:r w:rsidRPr="00D63894">
        <w:t>gos suteikimą arba atsisakymą suteikti prieigą informuojam</w:t>
      </w:r>
      <w:r w:rsidR="003348E8" w:rsidRPr="00D63894">
        <w:t>as sisteminiu LITEKO pranešimu.</w:t>
      </w:r>
    </w:p>
    <w:p w14:paraId="45B18B4B" w14:textId="77777777" w:rsidR="0017179D" w:rsidRPr="00D63894" w:rsidRDefault="0017179D" w:rsidP="00234F6C">
      <w:pPr>
        <w:widowControl w:val="0"/>
        <w:tabs>
          <w:tab w:val="num" w:pos="0"/>
          <w:tab w:val="num" w:pos="78"/>
          <w:tab w:val="left" w:pos="851"/>
          <w:tab w:val="left" w:pos="1134"/>
        </w:tabs>
        <w:spacing w:line="276" w:lineRule="auto"/>
        <w:ind w:firstLine="567"/>
        <w:jc w:val="center"/>
        <w:rPr>
          <w:b/>
        </w:rPr>
      </w:pPr>
      <w:r w:rsidRPr="00D63894">
        <w:rPr>
          <w:rFonts w:ascii="Calibri" w:eastAsia="Calibri" w:hAnsi="Calibri"/>
          <w:sz w:val="22"/>
          <w:szCs w:val="22"/>
        </w:rPr>
        <w:t>_________________</w:t>
      </w:r>
    </w:p>
    <w:sectPr w:rsidR="0017179D" w:rsidRPr="00D63894" w:rsidSect="00B54DA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969ED"/>
    <w:multiLevelType w:val="hybridMultilevel"/>
    <w:tmpl w:val="F8D220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EF1A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C30E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CA5B22"/>
    <w:multiLevelType w:val="hybridMultilevel"/>
    <w:tmpl w:val="EFF42E46"/>
    <w:lvl w:ilvl="0" w:tplc="B25E413C">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FAD64C4"/>
    <w:multiLevelType w:val="multilevel"/>
    <w:tmpl w:val="DD7C5912"/>
    <w:lvl w:ilvl="0">
      <w:start w:val="1"/>
      <w:numFmt w:val="decimal"/>
      <w:lvlText w:val="%1."/>
      <w:lvlJc w:val="left"/>
      <w:pPr>
        <w:ind w:left="1070" w:hanging="360"/>
      </w:pPr>
      <w:rPr>
        <w:b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8F31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7CF3DB4"/>
    <w:multiLevelType w:val="hybridMultilevel"/>
    <w:tmpl w:val="D7C07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C16F7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4935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6F43E0"/>
    <w:multiLevelType w:val="hybridMultilevel"/>
    <w:tmpl w:val="3EE0AC8C"/>
    <w:lvl w:ilvl="0" w:tplc="1108E552">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3"/>
  </w:num>
  <w:num w:numId="6">
    <w:abstractNumId w:val="5"/>
  </w:num>
  <w:num w:numId="7">
    <w:abstractNumId w:val="9"/>
  </w:num>
  <w:num w:numId="8">
    <w:abstractNumId w:val="2"/>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9D"/>
    <w:rsid w:val="000019A0"/>
    <w:rsid w:val="00005EDE"/>
    <w:rsid w:val="000222E1"/>
    <w:rsid w:val="00022EAA"/>
    <w:rsid w:val="00032C1F"/>
    <w:rsid w:val="0003384D"/>
    <w:rsid w:val="000632AD"/>
    <w:rsid w:val="00070FB7"/>
    <w:rsid w:val="0007571E"/>
    <w:rsid w:val="000774D0"/>
    <w:rsid w:val="00081869"/>
    <w:rsid w:val="00081E47"/>
    <w:rsid w:val="000A292B"/>
    <w:rsid w:val="000A4BD7"/>
    <w:rsid w:val="000E70F1"/>
    <w:rsid w:val="00106904"/>
    <w:rsid w:val="0010719C"/>
    <w:rsid w:val="001076B3"/>
    <w:rsid w:val="001128CF"/>
    <w:rsid w:val="00115B09"/>
    <w:rsid w:val="00142348"/>
    <w:rsid w:val="00160076"/>
    <w:rsid w:val="00161358"/>
    <w:rsid w:val="0017179D"/>
    <w:rsid w:val="001D0B28"/>
    <w:rsid w:val="001E21C2"/>
    <w:rsid w:val="001F21BC"/>
    <w:rsid w:val="00217E40"/>
    <w:rsid w:val="00234F6C"/>
    <w:rsid w:val="0023505C"/>
    <w:rsid w:val="0023719F"/>
    <w:rsid w:val="00281E80"/>
    <w:rsid w:val="002A78D2"/>
    <w:rsid w:val="002D4318"/>
    <w:rsid w:val="002E17F1"/>
    <w:rsid w:val="002E2E04"/>
    <w:rsid w:val="003161A1"/>
    <w:rsid w:val="003213E2"/>
    <w:rsid w:val="00322DA0"/>
    <w:rsid w:val="003348E8"/>
    <w:rsid w:val="0035342D"/>
    <w:rsid w:val="003575FC"/>
    <w:rsid w:val="00365C1A"/>
    <w:rsid w:val="0037682F"/>
    <w:rsid w:val="00384AE6"/>
    <w:rsid w:val="00385DFD"/>
    <w:rsid w:val="003A0F36"/>
    <w:rsid w:val="003A1AC4"/>
    <w:rsid w:val="003B03D3"/>
    <w:rsid w:val="003B4407"/>
    <w:rsid w:val="003B50BC"/>
    <w:rsid w:val="003E6F66"/>
    <w:rsid w:val="003F2690"/>
    <w:rsid w:val="003F4687"/>
    <w:rsid w:val="00410418"/>
    <w:rsid w:val="0043233A"/>
    <w:rsid w:val="00456248"/>
    <w:rsid w:val="00470BA0"/>
    <w:rsid w:val="00477AEE"/>
    <w:rsid w:val="004A5B29"/>
    <w:rsid w:val="004F2D72"/>
    <w:rsid w:val="005329D0"/>
    <w:rsid w:val="00582514"/>
    <w:rsid w:val="005A12D3"/>
    <w:rsid w:val="005B197E"/>
    <w:rsid w:val="005B5ED2"/>
    <w:rsid w:val="005F2FDD"/>
    <w:rsid w:val="00652A9A"/>
    <w:rsid w:val="00655633"/>
    <w:rsid w:val="00693500"/>
    <w:rsid w:val="006A7D0F"/>
    <w:rsid w:val="006E1CE4"/>
    <w:rsid w:val="006F0CDF"/>
    <w:rsid w:val="006F1CA8"/>
    <w:rsid w:val="007061F6"/>
    <w:rsid w:val="00710204"/>
    <w:rsid w:val="007523C8"/>
    <w:rsid w:val="00783306"/>
    <w:rsid w:val="00805131"/>
    <w:rsid w:val="00810536"/>
    <w:rsid w:val="008136CB"/>
    <w:rsid w:val="00860D7D"/>
    <w:rsid w:val="008937D6"/>
    <w:rsid w:val="008B2C20"/>
    <w:rsid w:val="008C4313"/>
    <w:rsid w:val="008D5617"/>
    <w:rsid w:val="008D5C53"/>
    <w:rsid w:val="008E71B8"/>
    <w:rsid w:val="008F7EA4"/>
    <w:rsid w:val="009152A2"/>
    <w:rsid w:val="00916D31"/>
    <w:rsid w:val="009248C3"/>
    <w:rsid w:val="00936FAD"/>
    <w:rsid w:val="00957764"/>
    <w:rsid w:val="0097513B"/>
    <w:rsid w:val="00977A97"/>
    <w:rsid w:val="009826DF"/>
    <w:rsid w:val="00987C26"/>
    <w:rsid w:val="0099376E"/>
    <w:rsid w:val="009979CA"/>
    <w:rsid w:val="009A0714"/>
    <w:rsid w:val="009A7DF6"/>
    <w:rsid w:val="009B1A9E"/>
    <w:rsid w:val="009B5E01"/>
    <w:rsid w:val="009C7722"/>
    <w:rsid w:val="009E13C1"/>
    <w:rsid w:val="009E68E6"/>
    <w:rsid w:val="00A119CE"/>
    <w:rsid w:val="00A27FDD"/>
    <w:rsid w:val="00A304A3"/>
    <w:rsid w:val="00A320BC"/>
    <w:rsid w:val="00A47029"/>
    <w:rsid w:val="00A516F1"/>
    <w:rsid w:val="00A631AC"/>
    <w:rsid w:val="00A8045B"/>
    <w:rsid w:val="00A816A3"/>
    <w:rsid w:val="00A850EF"/>
    <w:rsid w:val="00AB1B0E"/>
    <w:rsid w:val="00AB29DB"/>
    <w:rsid w:val="00AC438A"/>
    <w:rsid w:val="00AE0DA9"/>
    <w:rsid w:val="00AE1391"/>
    <w:rsid w:val="00AE42A8"/>
    <w:rsid w:val="00AE6BDE"/>
    <w:rsid w:val="00AF5600"/>
    <w:rsid w:val="00B12095"/>
    <w:rsid w:val="00B25EE1"/>
    <w:rsid w:val="00B54DAE"/>
    <w:rsid w:val="00B928A2"/>
    <w:rsid w:val="00B9558C"/>
    <w:rsid w:val="00B9587B"/>
    <w:rsid w:val="00BB7FB1"/>
    <w:rsid w:val="00BD53CD"/>
    <w:rsid w:val="00BE0B1F"/>
    <w:rsid w:val="00BE1915"/>
    <w:rsid w:val="00C02D7A"/>
    <w:rsid w:val="00C3314C"/>
    <w:rsid w:val="00C56786"/>
    <w:rsid w:val="00C56A8A"/>
    <w:rsid w:val="00C62892"/>
    <w:rsid w:val="00C71480"/>
    <w:rsid w:val="00C8631F"/>
    <w:rsid w:val="00CB6B2C"/>
    <w:rsid w:val="00CC03B9"/>
    <w:rsid w:val="00CC1408"/>
    <w:rsid w:val="00CC1F5F"/>
    <w:rsid w:val="00CD0E1A"/>
    <w:rsid w:val="00D05530"/>
    <w:rsid w:val="00D24C08"/>
    <w:rsid w:val="00D52D17"/>
    <w:rsid w:val="00D56076"/>
    <w:rsid w:val="00D63894"/>
    <w:rsid w:val="00D71438"/>
    <w:rsid w:val="00DA5B6B"/>
    <w:rsid w:val="00DB38D4"/>
    <w:rsid w:val="00DF6728"/>
    <w:rsid w:val="00DF6C7D"/>
    <w:rsid w:val="00E04C79"/>
    <w:rsid w:val="00E11886"/>
    <w:rsid w:val="00E33F45"/>
    <w:rsid w:val="00E82C0D"/>
    <w:rsid w:val="00E8736B"/>
    <w:rsid w:val="00E90E51"/>
    <w:rsid w:val="00EA7F27"/>
    <w:rsid w:val="00EF3D8E"/>
    <w:rsid w:val="00F0605D"/>
    <w:rsid w:val="00F267C3"/>
    <w:rsid w:val="00F431CA"/>
    <w:rsid w:val="00F60C91"/>
    <w:rsid w:val="00F658B5"/>
    <w:rsid w:val="00F971CE"/>
    <w:rsid w:val="00FB0DCC"/>
    <w:rsid w:val="00FB75AE"/>
    <w:rsid w:val="00FC1341"/>
    <w:rsid w:val="00FE3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AB970"/>
  <w15:chartTrackingRefBased/>
  <w15:docId w15:val="{F5BDD93B-FD68-4EFB-853B-04EE7453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79D"/>
    <w:rPr>
      <w:rFonts w:ascii="Times New Roman" w:eastAsia="Times New Roman" w:hAnsi="Times New Roman"/>
      <w:sz w:val="24"/>
      <w:lang w:val="lt-LT" w:eastAsia="en-US"/>
    </w:rPr>
  </w:style>
  <w:style w:type="paragraph" w:styleId="Heading7">
    <w:name w:val="heading 7"/>
    <w:basedOn w:val="Normal"/>
    <w:next w:val="Normal"/>
    <w:link w:val="Heading7Char"/>
    <w:uiPriority w:val="99"/>
    <w:qFormat/>
    <w:rsid w:val="00AF5600"/>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EE1"/>
    <w:pPr>
      <w:ind w:left="720"/>
      <w:contextualSpacing/>
    </w:pPr>
  </w:style>
  <w:style w:type="character" w:customStyle="1" w:styleId="apple-converted-space">
    <w:name w:val="apple-converted-space"/>
    <w:basedOn w:val="DefaultParagraphFont"/>
    <w:rsid w:val="00456248"/>
  </w:style>
  <w:style w:type="character" w:styleId="CommentReference">
    <w:name w:val="annotation reference"/>
    <w:uiPriority w:val="99"/>
    <w:semiHidden/>
    <w:unhideWhenUsed/>
    <w:rsid w:val="00D71438"/>
    <w:rPr>
      <w:sz w:val="16"/>
      <w:szCs w:val="16"/>
    </w:rPr>
  </w:style>
  <w:style w:type="paragraph" w:styleId="CommentText">
    <w:name w:val="annotation text"/>
    <w:basedOn w:val="Normal"/>
    <w:link w:val="CommentTextChar"/>
    <w:uiPriority w:val="99"/>
    <w:semiHidden/>
    <w:unhideWhenUsed/>
    <w:rsid w:val="00D71438"/>
    <w:rPr>
      <w:sz w:val="20"/>
    </w:rPr>
  </w:style>
  <w:style w:type="character" w:customStyle="1" w:styleId="CommentTextChar">
    <w:name w:val="Comment Text Char"/>
    <w:link w:val="CommentText"/>
    <w:uiPriority w:val="99"/>
    <w:semiHidden/>
    <w:rsid w:val="00D71438"/>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D71438"/>
    <w:rPr>
      <w:b/>
      <w:bCs/>
    </w:rPr>
  </w:style>
  <w:style w:type="character" w:customStyle="1" w:styleId="CommentSubjectChar">
    <w:name w:val="Comment Subject Char"/>
    <w:link w:val="CommentSubject"/>
    <w:uiPriority w:val="99"/>
    <w:semiHidden/>
    <w:rsid w:val="00D71438"/>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D71438"/>
    <w:rPr>
      <w:rFonts w:ascii="Segoe UI" w:hAnsi="Segoe UI" w:cs="Segoe UI"/>
      <w:sz w:val="18"/>
      <w:szCs w:val="18"/>
    </w:rPr>
  </w:style>
  <w:style w:type="character" w:customStyle="1" w:styleId="BalloonTextChar">
    <w:name w:val="Balloon Text Char"/>
    <w:link w:val="BalloonText"/>
    <w:uiPriority w:val="99"/>
    <w:semiHidden/>
    <w:rsid w:val="00D71438"/>
    <w:rPr>
      <w:rFonts w:ascii="Segoe UI" w:eastAsia="Times New Roman" w:hAnsi="Segoe UI" w:cs="Segoe UI"/>
      <w:sz w:val="18"/>
      <w:szCs w:val="18"/>
      <w:lang w:val="lt-LT"/>
    </w:rPr>
  </w:style>
  <w:style w:type="paragraph" w:styleId="Revision">
    <w:name w:val="Revision"/>
    <w:hidden/>
    <w:uiPriority w:val="99"/>
    <w:semiHidden/>
    <w:rsid w:val="002E2E04"/>
    <w:rPr>
      <w:rFonts w:ascii="Times New Roman" w:eastAsia="Times New Roman" w:hAnsi="Times New Roman"/>
      <w:sz w:val="24"/>
      <w:lang w:val="lt-LT" w:eastAsia="en-US"/>
    </w:rPr>
  </w:style>
  <w:style w:type="character" w:customStyle="1" w:styleId="BodytextBold">
    <w:name w:val="Body text + Bold"/>
    <w:rsid w:val="009B5E01"/>
    <w:rPr>
      <w:b/>
      <w:bCs/>
      <w:color w:val="000000"/>
      <w:spacing w:val="0"/>
      <w:w w:val="100"/>
      <w:position w:val="0"/>
      <w:shd w:val="clear" w:color="auto" w:fill="FFFFFF"/>
      <w:lang w:val="lt-LT"/>
    </w:rPr>
  </w:style>
  <w:style w:type="character" w:customStyle="1" w:styleId="Heading7Char">
    <w:name w:val="Heading 7 Char"/>
    <w:link w:val="Heading7"/>
    <w:uiPriority w:val="99"/>
    <w:rsid w:val="00AF5600"/>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25D7-453E-47E7-AD28-BFC10497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Kasperskis</dc:creator>
  <cp:keywords/>
  <cp:lastModifiedBy>Darius Kasperskis</cp:lastModifiedBy>
  <cp:revision>46</cp:revision>
  <cp:lastPrinted>2017-01-31T13:41:00Z</cp:lastPrinted>
  <dcterms:created xsi:type="dcterms:W3CDTF">2017-02-20T10:42:00Z</dcterms:created>
  <dcterms:modified xsi:type="dcterms:W3CDTF">2017-04-03T12:26:00Z</dcterms:modified>
</cp:coreProperties>
</file>