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5C" w:rsidRDefault="00312912">
      <w:pPr>
        <w:pStyle w:val="Data"/>
        <w:rPr>
          <w:sz w:val="16"/>
        </w:rPr>
      </w:pPr>
      <w:r w:rsidRPr="00312912">
        <w:rPr>
          <w:sz w:val="16"/>
        </w:rPr>
        <w:drawing>
          <wp:inline distT="0" distB="0" distL="0" distR="0">
            <wp:extent cx="727075" cy="76009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7075" cy="760095"/>
                    </a:xfrm>
                    <a:prstGeom prst="rect">
                      <a:avLst/>
                    </a:prstGeom>
                    <a:noFill/>
                    <a:ln w="9525">
                      <a:noFill/>
                      <a:miter lim="800000"/>
                      <a:headEnd/>
                      <a:tailEnd/>
                    </a:ln>
                  </pic:spPr>
                </pic:pic>
              </a:graphicData>
            </a:graphic>
          </wp:inline>
        </w:drawing>
      </w:r>
    </w:p>
    <w:p w:rsidR="00312912" w:rsidRPr="00C240DD" w:rsidRDefault="00312912">
      <w:pPr>
        <w:pStyle w:val="Data"/>
        <w:rPr>
          <w:sz w:val="16"/>
        </w:rPr>
      </w:pPr>
    </w:p>
    <w:p w:rsidR="0015345C" w:rsidRPr="00C240DD" w:rsidRDefault="00756290">
      <w:pPr>
        <w:pStyle w:val="Pavadinimas"/>
        <w:rPr>
          <w:sz w:val="24"/>
        </w:rPr>
      </w:pPr>
      <w:r w:rsidRPr="00C240DD">
        <w:rPr>
          <w:sz w:val="24"/>
        </w:rPr>
        <w:t>TEISĖJŲ TARYBA</w:t>
      </w:r>
    </w:p>
    <w:p w:rsidR="0015345C" w:rsidRPr="00C240DD" w:rsidRDefault="0015345C">
      <w:pPr>
        <w:pStyle w:val="Pavadinimas"/>
        <w:spacing w:line="360" w:lineRule="auto"/>
        <w:rPr>
          <w:sz w:val="24"/>
        </w:rPr>
      </w:pPr>
    </w:p>
    <w:p w:rsidR="0015345C" w:rsidRPr="00C240DD" w:rsidRDefault="00756290">
      <w:pPr>
        <w:pStyle w:val="Pavadinimas"/>
        <w:rPr>
          <w:sz w:val="24"/>
        </w:rPr>
      </w:pPr>
      <w:r w:rsidRPr="00C240DD">
        <w:rPr>
          <w:sz w:val="24"/>
        </w:rPr>
        <w:t>NUTARIMAS</w:t>
      </w:r>
    </w:p>
    <w:p w:rsidR="001117EB" w:rsidRPr="00C240DD" w:rsidRDefault="00756290" w:rsidP="001117EB">
      <w:pPr>
        <w:pStyle w:val="Data"/>
        <w:rPr>
          <w:b/>
        </w:rPr>
      </w:pPr>
      <w:r w:rsidRPr="00C240DD">
        <w:rPr>
          <w:b/>
        </w:rPr>
        <w:t xml:space="preserve">DĖL </w:t>
      </w:r>
      <w:r w:rsidR="001117EB" w:rsidRPr="00C240DD">
        <w:rPr>
          <w:b/>
        </w:rPr>
        <w:t>TEISĖJŲ TARYBOS 2008 M. LAPKRIČIO 13 d. NUTARIMO NR. 13P-202-(7.1.2)</w:t>
      </w:r>
    </w:p>
    <w:p w:rsidR="0015345C" w:rsidRPr="00C240DD" w:rsidRDefault="001117EB">
      <w:pPr>
        <w:pStyle w:val="Pavadinimas"/>
        <w:rPr>
          <w:sz w:val="24"/>
        </w:rPr>
      </w:pPr>
      <w:r w:rsidRPr="00C240DD">
        <w:rPr>
          <w:sz w:val="24"/>
        </w:rPr>
        <w:t xml:space="preserve">„DĖL </w:t>
      </w:r>
      <w:r w:rsidR="00756290" w:rsidRPr="00C240DD">
        <w:rPr>
          <w:sz w:val="24"/>
        </w:rPr>
        <w:t>TEISĖJŲ SPECIALIZACIJOS TAM TIKRŲ KATEGORIJŲ BYLOMS NAGRINĖTI NUSTATYMO TVARKOS APRAŠO PATVIRTINIMO</w:t>
      </w:r>
      <w:r w:rsidRPr="00C240DD">
        <w:rPr>
          <w:sz w:val="24"/>
        </w:rPr>
        <w:t>“ PAKEITIMO</w:t>
      </w:r>
    </w:p>
    <w:p w:rsidR="0015345C" w:rsidRPr="00C240DD" w:rsidRDefault="0015345C">
      <w:pPr>
        <w:pStyle w:val="Pavadinimas"/>
        <w:rPr>
          <w:sz w:val="24"/>
        </w:rPr>
      </w:pPr>
    </w:p>
    <w:p w:rsidR="0015345C" w:rsidRPr="00C240DD" w:rsidRDefault="001117EB">
      <w:pPr>
        <w:pStyle w:val="Data"/>
      </w:pPr>
      <w:r w:rsidRPr="00C240DD">
        <w:t xml:space="preserve">2017 </w:t>
      </w:r>
      <w:r w:rsidR="00756290" w:rsidRPr="00C240DD">
        <w:t xml:space="preserve">m. </w:t>
      </w:r>
      <w:r w:rsidR="00312912">
        <w:t>gegužės 19</w:t>
      </w:r>
      <w:r w:rsidR="00FB7AEA" w:rsidRPr="00C240DD">
        <w:t xml:space="preserve"> </w:t>
      </w:r>
      <w:r w:rsidR="00756290" w:rsidRPr="00C240DD">
        <w:t>d. Nr. 13P-</w:t>
      </w:r>
      <w:r w:rsidR="00312912">
        <w:t>81-(7.1.2)</w:t>
      </w:r>
    </w:p>
    <w:p w:rsidR="0015345C" w:rsidRPr="00C240DD" w:rsidRDefault="00312912">
      <w:pPr>
        <w:pStyle w:val="Data"/>
      </w:pPr>
      <w:r>
        <w:t>Klaipėda</w:t>
      </w:r>
    </w:p>
    <w:p w:rsidR="0015345C" w:rsidRPr="00C240DD" w:rsidRDefault="0015345C">
      <w:pPr>
        <w:pStyle w:val="Antrats"/>
        <w:tabs>
          <w:tab w:val="left" w:pos="1296"/>
        </w:tabs>
        <w:spacing w:line="360" w:lineRule="auto"/>
      </w:pPr>
    </w:p>
    <w:p w:rsidR="0015345C" w:rsidRPr="00C240DD" w:rsidRDefault="00756290">
      <w:pPr>
        <w:spacing w:line="360" w:lineRule="auto"/>
        <w:ind w:firstLine="720"/>
        <w:jc w:val="both"/>
      </w:pPr>
      <w:r w:rsidRPr="00C240DD">
        <w:t>Vadovaudamasi Lietu</w:t>
      </w:r>
      <w:r w:rsidR="00BE2B7C" w:rsidRPr="00C240DD">
        <w:t xml:space="preserve">vos Respublikos teismų įstatymo </w:t>
      </w:r>
      <w:r w:rsidRPr="00C240DD">
        <w:t>120 straipsnio 16 punktu, Teisėjų taryba n u t a r i a:</w:t>
      </w:r>
    </w:p>
    <w:p w:rsidR="00FB7AEA" w:rsidRPr="00C240DD" w:rsidRDefault="00FB7AEA" w:rsidP="00FB7AEA">
      <w:pPr>
        <w:spacing w:line="360" w:lineRule="auto"/>
        <w:ind w:firstLine="720"/>
        <w:jc w:val="both"/>
      </w:pPr>
      <w:r w:rsidRPr="00C240DD">
        <w:t xml:space="preserve">1. </w:t>
      </w:r>
      <w:r w:rsidR="001117EB" w:rsidRPr="00C240DD">
        <w:t>Pakeisti Teisėjų tarybos 2008 m. lapkričio 13 d. nutarimu Nr. 13P-202-(7.1.2) patvirtintą</w:t>
      </w:r>
      <w:r w:rsidRPr="00C240DD">
        <w:t xml:space="preserve"> </w:t>
      </w:r>
      <w:r w:rsidR="00756290" w:rsidRPr="00C240DD">
        <w:t xml:space="preserve">Teisėjų specializacijos tam tikrų kategorijų byloms nagrinėti nustatymo tvarkos aprašą </w:t>
      </w:r>
      <w:r w:rsidR="001117EB" w:rsidRPr="00C240DD">
        <w:t xml:space="preserve">ir išdėstyti jį nauja redakcija </w:t>
      </w:r>
      <w:r w:rsidR="00756290" w:rsidRPr="00C240DD">
        <w:t>(pridedama).</w:t>
      </w:r>
    </w:p>
    <w:p w:rsidR="00FB7AEA" w:rsidRPr="00C240DD" w:rsidRDefault="00FB7AEA" w:rsidP="00FB7AEA">
      <w:pPr>
        <w:spacing w:line="360" w:lineRule="auto"/>
        <w:ind w:firstLine="720"/>
        <w:jc w:val="both"/>
      </w:pPr>
      <w:r w:rsidRPr="00C240DD">
        <w:rPr>
          <w:rFonts w:eastAsia="Calibri"/>
          <w:color w:val="000000"/>
        </w:rPr>
        <w:t>2. Nustatyti, kad šis nutarimas įsigalioja 201</w:t>
      </w:r>
      <w:r w:rsidR="00312912">
        <w:rPr>
          <w:rFonts w:eastAsia="Calibri"/>
          <w:color w:val="000000"/>
        </w:rPr>
        <w:t>7</w:t>
      </w:r>
      <w:r w:rsidRPr="00C240DD">
        <w:rPr>
          <w:rFonts w:eastAsia="Calibri"/>
          <w:color w:val="000000"/>
        </w:rPr>
        <w:t xml:space="preserve"> m. </w:t>
      </w:r>
      <w:r w:rsidR="00312912">
        <w:rPr>
          <w:rFonts w:eastAsia="Calibri"/>
          <w:color w:val="000000"/>
        </w:rPr>
        <w:t>birželio</w:t>
      </w:r>
      <w:r w:rsidRPr="00C240DD">
        <w:rPr>
          <w:rFonts w:eastAsia="Calibri"/>
          <w:color w:val="000000"/>
        </w:rPr>
        <w:t xml:space="preserve"> 1 d.</w:t>
      </w:r>
    </w:p>
    <w:p w:rsidR="00FB7AEA" w:rsidRPr="00C240DD" w:rsidRDefault="00FB7AEA">
      <w:pPr>
        <w:spacing w:line="360" w:lineRule="auto"/>
        <w:ind w:firstLine="720"/>
        <w:jc w:val="both"/>
      </w:pPr>
    </w:p>
    <w:tbl>
      <w:tblPr>
        <w:tblW w:w="9798" w:type="dxa"/>
        <w:tblLayout w:type="fixed"/>
        <w:tblLook w:val="04A0"/>
      </w:tblPr>
      <w:tblGrid>
        <w:gridCol w:w="7308"/>
        <w:gridCol w:w="2490"/>
      </w:tblGrid>
      <w:tr w:rsidR="00312912" w:rsidRPr="00430FE0" w:rsidTr="0050218B">
        <w:trPr>
          <w:trHeight w:val="332"/>
        </w:trPr>
        <w:tc>
          <w:tcPr>
            <w:tcW w:w="7308" w:type="dxa"/>
          </w:tcPr>
          <w:p w:rsidR="00312912" w:rsidRPr="00430FE0" w:rsidRDefault="00312912" w:rsidP="0050218B">
            <w:r w:rsidRPr="00430FE0">
              <w:t>Pirmininkas</w:t>
            </w:r>
          </w:p>
        </w:tc>
        <w:tc>
          <w:tcPr>
            <w:tcW w:w="2490" w:type="dxa"/>
            <w:hideMark/>
          </w:tcPr>
          <w:p w:rsidR="00312912" w:rsidRPr="00430FE0" w:rsidRDefault="00312912" w:rsidP="0050218B">
            <w:r>
              <w:t>Rimvydas Norkus</w:t>
            </w:r>
          </w:p>
        </w:tc>
      </w:tr>
      <w:tr w:rsidR="00312912" w:rsidRPr="00430FE0" w:rsidTr="0050218B">
        <w:tc>
          <w:tcPr>
            <w:tcW w:w="7308" w:type="dxa"/>
          </w:tcPr>
          <w:p w:rsidR="00312912" w:rsidRPr="00430FE0" w:rsidRDefault="00312912" w:rsidP="0050218B"/>
        </w:tc>
        <w:tc>
          <w:tcPr>
            <w:tcW w:w="2490" w:type="dxa"/>
            <w:hideMark/>
          </w:tcPr>
          <w:p w:rsidR="00312912" w:rsidRDefault="00312912" w:rsidP="0050218B"/>
          <w:p w:rsidR="00312912" w:rsidRPr="00430FE0" w:rsidRDefault="00312912" w:rsidP="0050218B"/>
        </w:tc>
      </w:tr>
      <w:tr w:rsidR="00312912" w:rsidRPr="00430FE0" w:rsidTr="0050218B">
        <w:tc>
          <w:tcPr>
            <w:tcW w:w="7308" w:type="dxa"/>
            <w:hideMark/>
          </w:tcPr>
          <w:p w:rsidR="00312912" w:rsidRPr="00430FE0" w:rsidRDefault="00312912" w:rsidP="0050218B">
            <w:r w:rsidRPr="00430FE0">
              <w:t>Sekretorius</w:t>
            </w:r>
          </w:p>
        </w:tc>
        <w:tc>
          <w:tcPr>
            <w:tcW w:w="2490" w:type="dxa"/>
            <w:hideMark/>
          </w:tcPr>
          <w:p w:rsidR="00312912" w:rsidRPr="00430FE0" w:rsidRDefault="00312912" w:rsidP="0050218B">
            <w:r>
              <w:t>Ramūnas Gadliauskas</w:t>
            </w:r>
          </w:p>
        </w:tc>
      </w:tr>
    </w:tbl>
    <w:p w:rsidR="0015345C" w:rsidRPr="00C240DD" w:rsidRDefault="0015345C">
      <w:pPr>
        <w:tabs>
          <w:tab w:val="left" w:pos="1418"/>
          <w:tab w:val="left" w:pos="1560"/>
        </w:tabs>
        <w:jc w:val="both"/>
      </w:pPr>
    </w:p>
    <w:p w:rsidR="0015345C" w:rsidRPr="00C240DD" w:rsidRDefault="0015345C">
      <w:pPr>
        <w:tabs>
          <w:tab w:val="left" w:pos="1418"/>
          <w:tab w:val="left" w:pos="1560"/>
        </w:tabs>
        <w:jc w:val="both"/>
      </w:pPr>
    </w:p>
    <w:p w:rsidR="00FB7AEA" w:rsidRDefault="00FB7AEA">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Default="00312912">
      <w:pPr>
        <w:tabs>
          <w:tab w:val="left" w:pos="1418"/>
          <w:tab w:val="left" w:pos="1560"/>
        </w:tabs>
        <w:jc w:val="both"/>
      </w:pPr>
    </w:p>
    <w:p w:rsidR="00312912" w:rsidRPr="00C240DD" w:rsidRDefault="00312912">
      <w:pPr>
        <w:tabs>
          <w:tab w:val="left" w:pos="1418"/>
          <w:tab w:val="left" w:pos="1560"/>
        </w:tabs>
        <w:jc w:val="both"/>
      </w:pPr>
    </w:p>
    <w:p w:rsidR="00BE2B7C" w:rsidRPr="00C240DD" w:rsidRDefault="00BE2B7C">
      <w:pPr>
        <w:tabs>
          <w:tab w:val="left" w:pos="1418"/>
          <w:tab w:val="left" w:pos="1560"/>
        </w:tabs>
        <w:jc w:val="both"/>
      </w:pPr>
    </w:p>
    <w:p w:rsidR="00FB7AEA" w:rsidRPr="00C240DD" w:rsidRDefault="00FB7AEA">
      <w:pPr>
        <w:tabs>
          <w:tab w:val="left" w:pos="1418"/>
          <w:tab w:val="left" w:pos="1560"/>
        </w:tabs>
        <w:jc w:val="both"/>
      </w:pPr>
    </w:p>
    <w:p w:rsidR="0015345C" w:rsidRPr="00C240DD" w:rsidRDefault="00756290">
      <w:pPr>
        <w:widowControl w:val="0"/>
        <w:ind w:left="6600"/>
        <w:jc w:val="both"/>
      </w:pPr>
      <w:r w:rsidRPr="00C240DD">
        <w:lastRenderedPageBreak/>
        <w:t>PATVIRTINTA</w:t>
      </w:r>
    </w:p>
    <w:p w:rsidR="00BE2B7C" w:rsidRPr="00C240DD" w:rsidRDefault="00BE2B7C" w:rsidP="00BE2B7C">
      <w:pPr>
        <w:widowControl w:val="0"/>
        <w:ind w:left="6600"/>
        <w:jc w:val="both"/>
      </w:pPr>
      <w:r w:rsidRPr="00C240DD">
        <w:t xml:space="preserve">Teisėjų tarybos </w:t>
      </w:r>
    </w:p>
    <w:p w:rsidR="00BE2B7C" w:rsidRPr="00C240DD" w:rsidRDefault="00BE2B7C" w:rsidP="00BE2B7C">
      <w:pPr>
        <w:widowControl w:val="0"/>
        <w:ind w:left="6600"/>
        <w:jc w:val="both"/>
      </w:pPr>
      <w:r w:rsidRPr="00C240DD">
        <w:t>2008 m. lapkričio 13 d.</w:t>
      </w:r>
    </w:p>
    <w:p w:rsidR="00BE2B7C" w:rsidRPr="00C240DD" w:rsidRDefault="00BE2B7C" w:rsidP="00BE2B7C">
      <w:pPr>
        <w:widowControl w:val="0"/>
        <w:ind w:left="6600"/>
        <w:jc w:val="both"/>
      </w:pPr>
      <w:r w:rsidRPr="00C240DD">
        <w:t>nutarimu Nr. 13P-202-(7.1.2)</w:t>
      </w:r>
    </w:p>
    <w:p w:rsidR="0015345C" w:rsidRPr="00C240DD" w:rsidRDefault="00BE2B7C" w:rsidP="00312912">
      <w:pPr>
        <w:widowControl w:val="0"/>
        <w:ind w:left="6600"/>
        <w:jc w:val="both"/>
      </w:pPr>
      <w:r w:rsidRPr="00C240DD">
        <w:t>(</w:t>
      </w:r>
      <w:r w:rsidR="00756290" w:rsidRPr="00C240DD">
        <w:t>Teisėjų tarybos</w:t>
      </w:r>
      <w:r w:rsidR="00454241" w:rsidRPr="00C240DD">
        <w:t xml:space="preserve"> 2017 </w:t>
      </w:r>
      <w:r w:rsidR="00756290" w:rsidRPr="00C240DD">
        <w:t xml:space="preserve">m. </w:t>
      </w:r>
      <w:r w:rsidR="00312912">
        <w:t>gegužės 19</w:t>
      </w:r>
      <w:r w:rsidR="00454241" w:rsidRPr="00C240DD">
        <w:t xml:space="preserve"> </w:t>
      </w:r>
      <w:r w:rsidR="00756290" w:rsidRPr="00C240DD">
        <w:t>d.</w:t>
      </w:r>
      <w:r w:rsidR="00312912">
        <w:t xml:space="preserve"> </w:t>
      </w:r>
      <w:r w:rsidRPr="00C240DD">
        <w:t>nutarimo</w:t>
      </w:r>
      <w:r w:rsidR="00756290" w:rsidRPr="00C240DD">
        <w:t xml:space="preserve"> </w:t>
      </w:r>
      <w:r w:rsidR="00454241" w:rsidRPr="00C240DD">
        <w:t>Nr. 13P-</w:t>
      </w:r>
      <w:r w:rsidR="00312912">
        <w:t>81</w:t>
      </w:r>
      <w:r w:rsidR="00454241" w:rsidRPr="00C240DD">
        <w:t>-(7.1.2)</w:t>
      </w:r>
      <w:r w:rsidRPr="00C240DD">
        <w:t xml:space="preserve"> redakcija)</w:t>
      </w:r>
    </w:p>
    <w:p w:rsidR="0015345C" w:rsidRPr="00C240DD" w:rsidRDefault="0015345C">
      <w:pPr>
        <w:jc w:val="center"/>
        <w:rPr>
          <w:b/>
        </w:rPr>
      </w:pPr>
    </w:p>
    <w:p w:rsidR="0015345C" w:rsidRPr="00C240DD" w:rsidRDefault="0015345C">
      <w:pPr>
        <w:rPr>
          <w:b/>
        </w:rPr>
      </w:pPr>
    </w:p>
    <w:p w:rsidR="0015345C" w:rsidRPr="00C240DD" w:rsidRDefault="00756290">
      <w:pPr>
        <w:jc w:val="center"/>
        <w:rPr>
          <w:b/>
        </w:rPr>
      </w:pPr>
      <w:r w:rsidRPr="00C240DD">
        <w:rPr>
          <w:b/>
        </w:rPr>
        <w:t>TEISĖJŲ SPECIALIZACIJOS TAM TIKRŲ KATEGORIJŲ BYLOMS NAGRINĖTI NUSTATYMO TVARKOS APRAŠAS</w:t>
      </w:r>
    </w:p>
    <w:p w:rsidR="0015345C" w:rsidRPr="00C240DD" w:rsidRDefault="0015345C">
      <w:pPr>
        <w:jc w:val="center"/>
        <w:rPr>
          <w:b/>
        </w:rPr>
      </w:pPr>
    </w:p>
    <w:p w:rsidR="0015345C" w:rsidRPr="00C240DD" w:rsidRDefault="0015345C">
      <w:pPr>
        <w:rPr>
          <w:b/>
        </w:rPr>
      </w:pPr>
    </w:p>
    <w:p w:rsidR="0015345C" w:rsidRPr="00C240DD" w:rsidRDefault="00756290">
      <w:pPr>
        <w:jc w:val="center"/>
        <w:rPr>
          <w:b/>
        </w:rPr>
      </w:pPr>
      <w:r w:rsidRPr="00C240DD">
        <w:rPr>
          <w:b/>
        </w:rPr>
        <w:t>I. BENDROSIOS NUOSTATOS</w:t>
      </w:r>
    </w:p>
    <w:p w:rsidR="0015345C" w:rsidRPr="00C240DD" w:rsidRDefault="0015345C">
      <w:pPr>
        <w:jc w:val="center"/>
      </w:pPr>
    </w:p>
    <w:p w:rsidR="0015345C" w:rsidRPr="00C240DD" w:rsidRDefault="00756290">
      <w:pPr>
        <w:ind w:firstLine="720"/>
        <w:jc w:val="both"/>
      </w:pPr>
      <w:r w:rsidRPr="00C240DD">
        <w:t>1. Teisėjų specializacijos tam tikrų kategorijų byloms nagrinėti</w:t>
      </w:r>
      <w:r w:rsidRPr="00C240DD">
        <w:rPr>
          <w:b/>
        </w:rPr>
        <w:t xml:space="preserve">  </w:t>
      </w:r>
      <w:r w:rsidRPr="00C240DD">
        <w:t>nustatymo tvarkos aprašas</w:t>
      </w:r>
      <w:r w:rsidR="00D23E69" w:rsidRPr="00C240DD">
        <w:t xml:space="preserve"> (toliau – Aprašas)</w:t>
      </w:r>
      <w:r w:rsidRPr="00C240DD">
        <w:t xml:space="preserve"> reglamentuoja teisėjų specializacijos tam tikrų kategorijų byloms nagrinėti</w:t>
      </w:r>
      <w:r w:rsidRPr="00C240DD">
        <w:rPr>
          <w:b/>
        </w:rPr>
        <w:t xml:space="preserve"> </w:t>
      </w:r>
      <w:r w:rsidRPr="00C240DD">
        <w:t xml:space="preserve">(toliau – teisėjų specializacija) nustatymo tvarką ir </w:t>
      </w:r>
      <w:r w:rsidR="002F5162" w:rsidRPr="00C240DD">
        <w:t>principus</w:t>
      </w:r>
      <w:r w:rsidRPr="00C240DD">
        <w:t>.</w:t>
      </w:r>
    </w:p>
    <w:p w:rsidR="0015345C" w:rsidRPr="00C240DD" w:rsidRDefault="00756290">
      <w:pPr>
        <w:ind w:firstLine="720"/>
        <w:jc w:val="both"/>
      </w:pPr>
      <w:r w:rsidRPr="00C240DD">
        <w:t>2. Teisėjų specializacijos nustatymo tikslas – atitinkamos kategorijos bylų nagrinėjimo kokybės gerinimas</w:t>
      </w:r>
      <w:r w:rsidR="002A38F4" w:rsidRPr="00C240DD">
        <w:t>, organizacinių prielaidų tinkamam teismo procesui sudarymas, efektyvus teismo darbo organizavimas</w:t>
      </w:r>
      <w:r w:rsidRPr="00C240DD">
        <w:t>.</w:t>
      </w:r>
    </w:p>
    <w:p w:rsidR="0015345C" w:rsidRPr="00C240DD" w:rsidRDefault="00756290">
      <w:pPr>
        <w:ind w:firstLine="720"/>
        <w:jc w:val="both"/>
      </w:pPr>
      <w:r w:rsidRPr="00C240DD">
        <w:t>3. Teisėjų specializacija neturėtų sudaryti sąlygų atitinkamos kategorijos bylas skirti nagrinėti  tam pačiam iš anksto žinomam teisėjui.</w:t>
      </w:r>
    </w:p>
    <w:p w:rsidR="00F34DE1" w:rsidRPr="00C240DD" w:rsidRDefault="00F34DE1" w:rsidP="00F34DE1">
      <w:pPr>
        <w:ind w:firstLine="720"/>
        <w:jc w:val="both"/>
      </w:pPr>
      <w:r w:rsidRPr="00C240DD">
        <w:t>4. Specializacija  negali būti nustatoma vienam teismo teisėjui (išskyrus ikiteisminio tyrimo teisėją)</w:t>
      </w:r>
      <w:r w:rsidR="00F41AE4" w:rsidRPr="00C240DD">
        <w:t>.</w:t>
      </w:r>
    </w:p>
    <w:p w:rsidR="0015345C" w:rsidRPr="00C240DD" w:rsidRDefault="00F34DE1" w:rsidP="00F34DE1">
      <w:pPr>
        <w:ind w:firstLine="720"/>
        <w:jc w:val="both"/>
      </w:pPr>
      <w:r w:rsidRPr="00C240DD">
        <w:t>5. Bylos atitinkamos specializacijos teisėjams skirstomos vadovaujantis taisyklėmis, reglamentuojančiomis bylų paskirstymą naudojant informacines technologijas.</w:t>
      </w:r>
    </w:p>
    <w:p w:rsidR="00F34DE1" w:rsidRPr="00C240DD" w:rsidRDefault="00F34DE1" w:rsidP="00F34DE1">
      <w:pPr>
        <w:ind w:firstLine="720"/>
        <w:jc w:val="both"/>
        <w:rPr>
          <w:b/>
        </w:rPr>
      </w:pPr>
    </w:p>
    <w:p w:rsidR="00F34DE1" w:rsidRPr="00C240DD" w:rsidRDefault="00F34DE1" w:rsidP="00F34DE1">
      <w:pPr>
        <w:ind w:firstLine="720"/>
        <w:jc w:val="both"/>
        <w:rPr>
          <w:b/>
        </w:rPr>
      </w:pPr>
    </w:p>
    <w:p w:rsidR="0015345C" w:rsidRPr="00C240DD" w:rsidRDefault="00756290">
      <w:pPr>
        <w:ind w:firstLine="720"/>
        <w:jc w:val="center"/>
        <w:rPr>
          <w:b/>
        </w:rPr>
      </w:pPr>
      <w:r w:rsidRPr="00C240DD">
        <w:rPr>
          <w:b/>
        </w:rPr>
        <w:t xml:space="preserve">II. TEISĖJŲ SPECIALIZACIJOS NUSTATYMO </w:t>
      </w:r>
      <w:r w:rsidR="00F34DE1" w:rsidRPr="00C240DD">
        <w:rPr>
          <w:b/>
        </w:rPr>
        <w:t>PRINCIPAI</w:t>
      </w:r>
    </w:p>
    <w:p w:rsidR="0015345C" w:rsidRPr="00C240DD" w:rsidRDefault="0015345C">
      <w:pPr>
        <w:ind w:firstLine="720"/>
        <w:jc w:val="center"/>
        <w:rPr>
          <w:b/>
        </w:rPr>
      </w:pPr>
    </w:p>
    <w:p w:rsidR="0015345C" w:rsidRPr="00C240DD" w:rsidRDefault="00756290">
      <w:pPr>
        <w:ind w:firstLine="720"/>
        <w:jc w:val="both"/>
      </w:pPr>
      <w:r w:rsidRPr="00C240DD">
        <w:t>6. Teisėjų specializacija gali būti nustatoma bet kurių kategorijų byloms, jei teismo pirmininkas, atsižvelgdamas į teisėjų kvalifikaciją ir atskiros srities žinias</w:t>
      </w:r>
      <w:r w:rsidR="004E6C3B" w:rsidRPr="00C240DD">
        <w:t>,</w:t>
      </w:r>
      <w:r w:rsidR="00662246" w:rsidRPr="00C240DD">
        <w:t xml:space="preserve"> </w:t>
      </w:r>
      <w:r w:rsidRPr="00C240DD">
        <w:t>įžvelgia poreikį</w:t>
      </w:r>
      <w:r w:rsidR="006223D4" w:rsidRPr="00C240DD">
        <w:t xml:space="preserve"> </w:t>
      </w:r>
      <w:r w:rsidRPr="00C240DD">
        <w:t xml:space="preserve">tokią specializaciją nustatyti. </w:t>
      </w:r>
    </w:p>
    <w:p w:rsidR="00522880" w:rsidRPr="00C240DD" w:rsidRDefault="00756290" w:rsidP="00522880">
      <w:pPr>
        <w:ind w:firstLine="720"/>
        <w:jc w:val="both"/>
      </w:pPr>
      <w:r w:rsidRPr="00C240DD">
        <w:t>7.</w:t>
      </w:r>
      <w:r w:rsidR="00473E56" w:rsidRPr="00C240DD">
        <w:t xml:space="preserve"> Teisėjų specializacija bendrosios kompetencijos</w:t>
      </w:r>
      <w:r w:rsidR="005D7204" w:rsidRPr="00C240DD">
        <w:t xml:space="preserve"> ir</w:t>
      </w:r>
      <w:r w:rsidR="00473E56" w:rsidRPr="00C240DD">
        <w:t xml:space="preserve"> </w:t>
      </w:r>
      <w:r w:rsidR="005D7204" w:rsidRPr="00C240DD">
        <w:t xml:space="preserve">specializuotuose </w:t>
      </w:r>
      <w:r w:rsidR="00473E56" w:rsidRPr="00C240DD">
        <w:t xml:space="preserve">teismuose nustatoma </w:t>
      </w:r>
      <w:r w:rsidR="00522880" w:rsidRPr="00C240DD">
        <w:t>atsižvelgiant į</w:t>
      </w:r>
      <w:r w:rsidR="005D7204" w:rsidRPr="00C240DD">
        <w:t xml:space="preserve"> šio Aprašo priede </w:t>
      </w:r>
      <w:r w:rsidR="00522880" w:rsidRPr="00C240DD">
        <w:t>nurodytas</w:t>
      </w:r>
      <w:r w:rsidR="005D7204" w:rsidRPr="00C240DD">
        <w:t xml:space="preserve"> </w:t>
      </w:r>
      <w:r w:rsidR="00522880" w:rsidRPr="00C240DD">
        <w:t>apylinkių, apygardų ir apygardų administraciniams teismams rekomenduojamas nustatyti teisėjų specializacijas.</w:t>
      </w:r>
    </w:p>
    <w:p w:rsidR="00732BB1" w:rsidRPr="00C240DD" w:rsidRDefault="00732BB1" w:rsidP="00522880">
      <w:pPr>
        <w:ind w:firstLine="720"/>
        <w:jc w:val="both"/>
      </w:pPr>
    </w:p>
    <w:p w:rsidR="00522880" w:rsidRPr="00C240DD" w:rsidRDefault="00522880" w:rsidP="00522880">
      <w:pPr>
        <w:ind w:firstLine="720"/>
        <w:jc w:val="both"/>
      </w:pPr>
    </w:p>
    <w:p w:rsidR="0015345C" w:rsidRPr="00C240DD" w:rsidRDefault="00756290">
      <w:pPr>
        <w:ind w:firstLine="1296"/>
        <w:jc w:val="center"/>
        <w:rPr>
          <w:b/>
        </w:rPr>
      </w:pPr>
      <w:r w:rsidRPr="00C240DD">
        <w:rPr>
          <w:b/>
        </w:rPr>
        <w:t xml:space="preserve">III. TEISĖJŲ SPECIALIZACIJOS </w:t>
      </w:r>
      <w:r w:rsidR="001117EB" w:rsidRPr="00C240DD">
        <w:rPr>
          <w:b/>
        </w:rPr>
        <w:t>IR JOS TERMINO</w:t>
      </w:r>
      <w:r w:rsidR="008D722B" w:rsidRPr="00C240DD">
        <w:rPr>
          <w:b/>
          <w:color w:val="FF0000"/>
        </w:rPr>
        <w:t xml:space="preserve"> </w:t>
      </w:r>
      <w:r w:rsidRPr="00C240DD">
        <w:rPr>
          <w:b/>
        </w:rPr>
        <w:t>NUSTATYMO TVARKA</w:t>
      </w:r>
    </w:p>
    <w:p w:rsidR="0015345C" w:rsidRPr="00C240DD" w:rsidRDefault="0015345C">
      <w:pPr>
        <w:ind w:firstLine="720"/>
        <w:jc w:val="center"/>
      </w:pPr>
    </w:p>
    <w:p w:rsidR="0015345C" w:rsidRPr="00C240DD" w:rsidRDefault="0095027B">
      <w:pPr>
        <w:ind w:firstLine="720"/>
        <w:jc w:val="both"/>
      </w:pPr>
      <w:r w:rsidRPr="00C240DD">
        <w:t>8</w:t>
      </w:r>
      <w:r w:rsidR="00756290" w:rsidRPr="00C240DD">
        <w:t xml:space="preserve">. </w:t>
      </w:r>
      <w:r w:rsidR="008A6306" w:rsidRPr="00C240DD">
        <w:t xml:space="preserve">Teisėjų specializacija </w:t>
      </w:r>
      <w:r w:rsidR="009607D8" w:rsidRPr="00C240DD">
        <w:t xml:space="preserve">ir jos terminas </w:t>
      </w:r>
      <w:r w:rsidR="008A6306" w:rsidRPr="00C240DD">
        <w:t>nustatom</w:t>
      </w:r>
      <w:r w:rsidR="009607D8" w:rsidRPr="00C240DD">
        <w:t>i</w:t>
      </w:r>
      <w:r w:rsidR="008A6306" w:rsidRPr="00C240DD">
        <w:t xml:space="preserve"> teismo pirmininko įsakymu.</w:t>
      </w:r>
      <w:r w:rsidR="00B87E86" w:rsidRPr="00C240DD">
        <w:t xml:space="preserve"> Dėl teisėjų specializacijos nustatymo, pakeitimo, teisėjų specializacijos termino pratęsimo (sutrumpinimo) teisėjas kreipiasi į teismo pirmininką.</w:t>
      </w:r>
    </w:p>
    <w:p w:rsidR="0015345C" w:rsidRPr="00C240DD" w:rsidRDefault="0095027B">
      <w:pPr>
        <w:ind w:firstLine="720"/>
        <w:jc w:val="both"/>
      </w:pPr>
      <w:r w:rsidRPr="00C240DD">
        <w:t>9</w:t>
      </w:r>
      <w:r w:rsidR="00756290" w:rsidRPr="00C240DD">
        <w:t>. Nustatant konkretaus teisėjo specializaciją atsižvelgiama į teisėjo</w:t>
      </w:r>
      <w:r w:rsidR="008D722B" w:rsidRPr="00C240DD">
        <w:t xml:space="preserve"> </w:t>
      </w:r>
      <w:r w:rsidR="00425219" w:rsidRPr="00C240DD">
        <w:t>nuomonę</w:t>
      </w:r>
      <w:r w:rsidR="00A9580D" w:rsidRPr="00C240DD">
        <w:t xml:space="preserve"> (sutikimą ar nesutikimą) arba į teisėjo prašymą</w:t>
      </w:r>
      <w:r w:rsidR="00756290" w:rsidRPr="00C240DD">
        <w:t>.</w:t>
      </w:r>
      <w:r w:rsidR="00A9580D" w:rsidRPr="00C240DD">
        <w:t xml:space="preserve"> Teisėjui gali būti nustatyta daugiau nei viena specializacija.</w:t>
      </w:r>
    </w:p>
    <w:p w:rsidR="00597E33" w:rsidRPr="00C240DD" w:rsidRDefault="0095027B">
      <w:pPr>
        <w:ind w:firstLine="720"/>
        <w:jc w:val="both"/>
      </w:pPr>
      <w:r w:rsidRPr="00C240DD">
        <w:t>10</w:t>
      </w:r>
      <w:r w:rsidR="00756290" w:rsidRPr="00C240DD">
        <w:t xml:space="preserve">. </w:t>
      </w:r>
      <w:r w:rsidR="00597E33" w:rsidRPr="00C240DD">
        <w:t>Jei sutikimo nagrinėti tam tikros kategorijos bylas nepareiškia reikiamas teisėjų skaičius arba nepavyksta nustatyti teisėjų specializacijos pagal teisėjų prašymus, teisėjų specializaciją nustato teismo pirmininkas</w:t>
      </w:r>
      <w:r w:rsidR="00597E33" w:rsidRPr="00C240DD">
        <w:rPr>
          <w:b/>
        </w:rPr>
        <w:t xml:space="preserve"> </w:t>
      </w:r>
      <w:r w:rsidR="00597E33" w:rsidRPr="00C240DD">
        <w:t>savo nuožiūra.</w:t>
      </w:r>
    </w:p>
    <w:p w:rsidR="0015345C" w:rsidRPr="00C240DD" w:rsidRDefault="0095027B">
      <w:pPr>
        <w:ind w:firstLine="720"/>
        <w:jc w:val="both"/>
      </w:pPr>
      <w:r w:rsidRPr="00C240DD">
        <w:lastRenderedPageBreak/>
        <w:t>11</w:t>
      </w:r>
      <w:r w:rsidR="00756290" w:rsidRPr="00C240DD">
        <w:t xml:space="preserve">. Įstatymų reglamentuotoms ikiteisminio tyrimo </w:t>
      </w:r>
      <w:r w:rsidR="00C60907">
        <w:t xml:space="preserve">teisėjo </w:t>
      </w:r>
      <w:r w:rsidR="00756290" w:rsidRPr="00C240DD">
        <w:t>funkcijoms atlikti teismo pirmininko įsakymu skiriamas (-i) ikiteisminio tyrimo teisėjas (-ai).</w:t>
      </w:r>
    </w:p>
    <w:p w:rsidR="009607D8" w:rsidRPr="00C240DD" w:rsidRDefault="007A5300">
      <w:pPr>
        <w:ind w:firstLine="720"/>
        <w:jc w:val="both"/>
      </w:pPr>
      <w:r w:rsidRPr="00C240DD">
        <w:t>1</w:t>
      </w:r>
      <w:r w:rsidR="0095027B" w:rsidRPr="00C240DD">
        <w:t>2</w:t>
      </w:r>
      <w:r w:rsidRPr="00C240DD">
        <w:t xml:space="preserve">. </w:t>
      </w:r>
      <w:r w:rsidR="00597E33" w:rsidRPr="00C240DD">
        <w:t>Teisėjų specializacijai nustatomas nuo 1 iki 5 metų terminas. Pasibaigus nustatytam specializacijos terminui</w:t>
      </w:r>
      <w:r w:rsidR="00597E33" w:rsidRPr="00C240DD">
        <w:rPr>
          <w:b/>
        </w:rPr>
        <w:t xml:space="preserve">, </w:t>
      </w:r>
      <w:r w:rsidR="00597E33" w:rsidRPr="00C240DD">
        <w:t>gali būti taikomas teisėjų rotacijos principas.</w:t>
      </w:r>
    </w:p>
    <w:p w:rsidR="0015345C" w:rsidRPr="00C240DD" w:rsidRDefault="00475DA1">
      <w:pPr>
        <w:ind w:firstLine="720"/>
        <w:jc w:val="both"/>
      </w:pPr>
      <w:r w:rsidRPr="00C240DD">
        <w:t>1</w:t>
      </w:r>
      <w:r w:rsidR="0095027B" w:rsidRPr="00C240DD">
        <w:t>3</w:t>
      </w:r>
      <w:r w:rsidRPr="00C240DD">
        <w:t xml:space="preserve">. </w:t>
      </w:r>
      <w:r w:rsidR="00650A5C" w:rsidRPr="00C240DD">
        <w:t>Specializacijos</w:t>
      </w:r>
      <w:r w:rsidR="004C21DF" w:rsidRPr="00C240DD">
        <w:t xml:space="preserve"> terminas gali būti pratęstas </w:t>
      </w:r>
      <w:r w:rsidRPr="00C240DD">
        <w:t>(</w:t>
      </w:r>
      <w:r w:rsidR="004C21DF" w:rsidRPr="00C240DD">
        <w:t>sutrumpintas</w:t>
      </w:r>
      <w:r w:rsidRPr="00C240DD">
        <w:t>)</w:t>
      </w:r>
      <w:r w:rsidR="004C21DF" w:rsidRPr="00C240DD">
        <w:t xml:space="preserve"> </w:t>
      </w:r>
      <w:r w:rsidRPr="00C240DD">
        <w:t xml:space="preserve">teisėjui sutikus arba </w:t>
      </w:r>
      <w:r w:rsidR="004C21DF" w:rsidRPr="00C240DD">
        <w:t>esant objektyvioms aplinkybėms motyvuotu teismo pirmininko sprendimu.</w:t>
      </w:r>
    </w:p>
    <w:p w:rsidR="0015345C" w:rsidRPr="00C240DD" w:rsidRDefault="0015345C">
      <w:pPr>
        <w:ind w:firstLine="720"/>
        <w:jc w:val="both"/>
      </w:pPr>
    </w:p>
    <w:p w:rsidR="0015345C" w:rsidRPr="00C240DD" w:rsidRDefault="0015345C">
      <w:pPr>
        <w:ind w:firstLine="720"/>
        <w:jc w:val="both"/>
      </w:pPr>
    </w:p>
    <w:p w:rsidR="0015345C" w:rsidRPr="00C240DD" w:rsidRDefault="00756290">
      <w:pPr>
        <w:ind w:firstLine="720"/>
        <w:jc w:val="center"/>
        <w:rPr>
          <w:b/>
        </w:rPr>
      </w:pPr>
      <w:r w:rsidRPr="00C240DD">
        <w:rPr>
          <w:b/>
        </w:rPr>
        <w:t>IV. TEISĖJŲ PASIRENGIMAS TAM TIKRŲ KATEGORIJŲ BYLOMS NAGRINĖTI</w:t>
      </w:r>
    </w:p>
    <w:p w:rsidR="0015345C" w:rsidRPr="00C240DD" w:rsidRDefault="0015345C">
      <w:pPr>
        <w:ind w:firstLine="720"/>
        <w:jc w:val="center"/>
        <w:rPr>
          <w:b/>
        </w:rPr>
      </w:pPr>
    </w:p>
    <w:p w:rsidR="000961CE" w:rsidRPr="00C240DD" w:rsidRDefault="00756290">
      <w:pPr>
        <w:ind w:firstLine="720"/>
        <w:jc w:val="both"/>
      </w:pPr>
      <w:r w:rsidRPr="00C240DD">
        <w:t>1</w:t>
      </w:r>
      <w:r w:rsidR="0095027B" w:rsidRPr="00C240DD">
        <w:t>4</w:t>
      </w:r>
      <w:r w:rsidRPr="00C240DD">
        <w:t>. Teisėjų mokymas, kvalifikacijos kėlimas turi būti susijęs su teisėjų specializacija ir turėtų būti organizuojamas atitinkamos s</w:t>
      </w:r>
      <w:r w:rsidR="007A5300" w:rsidRPr="00C240DD">
        <w:t xml:space="preserve">pecializacijos teisėjų grupėms. </w:t>
      </w:r>
    </w:p>
    <w:p w:rsidR="000961CE" w:rsidRPr="00C240DD" w:rsidRDefault="000961CE">
      <w:pPr>
        <w:ind w:firstLine="720"/>
        <w:jc w:val="both"/>
      </w:pPr>
      <w:r w:rsidRPr="00C240DD">
        <w:t>1</w:t>
      </w:r>
      <w:r w:rsidR="0095027B" w:rsidRPr="00C240DD">
        <w:t>5</w:t>
      </w:r>
      <w:r w:rsidR="00C83C6E" w:rsidRPr="00C240DD">
        <w:t>.</w:t>
      </w:r>
      <w:r w:rsidRPr="00C240DD">
        <w:t xml:space="preserve"> </w:t>
      </w:r>
      <w:r w:rsidR="00AD4D1F" w:rsidRPr="00C240DD">
        <w:t>Esant galimybei, prieš nustatant specializaciją</w:t>
      </w:r>
      <w:r w:rsidRPr="00C240DD">
        <w:t xml:space="preserve"> </w:t>
      </w:r>
      <w:r w:rsidR="00AD4D1F" w:rsidRPr="00C240DD">
        <w:t xml:space="preserve">teisėjas gali </w:t>
      </w:r>
      <w:r w:rsidR="00BB2E42" w:rsidRPr="00C240DD">
        <w:t xml:space="preserve">pirmenybės teise </w:t>
      </w:r>
      <w:r w:rsidR="00AD4D1F" w:rsidRPr="00C240DD">
        <w:t>dalyvauti</w:t>
      </w:r>
      <w:r w:rsidRPr="00C240DD">
        <w:t xml:space="preserve"> atitinkamos specializacijos teisėjų mokymuose ir kvalifikacijos kėlimo kursuose.</w:t>
      </w:r>
    </w:p>
    <w:p w:rsidR="0015345C" w:rsidRPr="00C240DD" w:rsidRDefault="000961CE">
      <w:pPr>
        <w:ind w:firstLine="720"/>
        <w:jc w:val="both"/>
      </w:pPr>
      <w:r w:rsidRPr="00C240DD">
        <w:t>1</w:t>
      </w:r>
      <w:r w:rsidR="0095027B" w:rsidRPr="00C240DD">
        <w:t>6</w:t>
      </w:r>
      <w:r w:rsidRPr="00C240DD">
        <w:t xml:space="preserve">. </w:t>
      </w:r>
      <w:r w:rsidR="007A5300" w:rsidRPr="00C240DD">
        <w:t>K</w:t>
      </w:r>
      <w:r w:rsidR="00756290" w:rsidRPr="00C240DD">
        <w:t>itos specializacijos ar neturintys specializacijos teisėjai gali dalyvauti kitos specializacijos ar tam tikros specializacijos teisėjų mokymuose ir kvalifikacijos kėlimo kursuose pagal pageidavimą.</w:t>
      </w:r>
    </w:p>
    <w:p w:rsidR="0015345C" w:rsidRPr="00C240DD" w:rsidRDefault="0015345C">
      <w:pPr>
        <w:ind w:firstLine="720"/>
        <w:jc w:val="both"/>
      </w:pPr>
    </w:p>
    <w:p w:rsidR="0015345C" w:rsidRPr="00C240DD" w:rsidRDefault="00756290">
      <w:pPr>
        <w:ind w:firstLine="720"/>
        <w:jc w:val="center"/>
        <w:rPr>
          <w:b/>
        </w:rPr>
      </w:pPr>
      <w:r w:rsidRPr="00C240DD">
        <w:rPr>
          <w:b/>
        </w:rPr>
        <w:t>V. BAIGIAMOSIOS NUOSTATOS</w:t>
      </w:r>
    </w:p>
    <w:p w:rsidR="0015345C" w:rsidRPr="00C240DD" w:rsidRDefault="0015345C">
      <w:pPr>
        <w:ind w:firstLine="720"/>
        <w:jc w:val="center"/>
        <w:rPr>
          <w:b/>
        </w:rPr>
      </w:pPr>
    </w:p>
    <w:p w:rsidR="008B642A" w:rsidRPr="00C240DD" w:rsidRDefault="008B642A" w:rsidP="008B642A">
      <w:pPr>
        <w:ind w:firstLine="720"/>
        <w:jc w:val="both"/>
      </w:pPr>
      <w:r w:rsidRPr="00C240DD">
        <w:t>1</w:t>
      </w:r>
      <w:r w:rsidR="0095027B" w:rsidRPr="00C240DD">
        <w:t>7</w:t>
      </w:r>
      <w:r w:rsidRPr="00C240DD">
        <w:t xml:space="preserve">. Atskirų kategorijų bylos yra skiriamos nagrinėti </w:t>
      </w:r>
      <w:r w:rsidR="0062276C" w:rsidRPr="00C240DD">
        <w:t xml:space="preserve">atitinkamos  specializacijos </w:t>
      </w:r>
      <w:r w:rsidRPr="00C240DD">
        <w:t>teisėjams ir tik jiems pagal įstatymą ar dėl kitų objektyvių priežasčių negalint nagrinėti konkrečių skirstomų bylų, šios bylos gali būti skiriamos nagrinėti kitiems teisėjams, kuriems tokia specializacija nėra nustatyta.</w:t>
      </w:r>
      <w:r w:rsidR="0068734F" w:rsidRPr="00C240DD">
        <w:t xml:space="preserve"> </w:t>
      </w:r>
    </w:p>
    <w:p w:rsidR="00E1476D" w:rsidRPr="00C240DD" w:rsidRDefault="0095027B">
      <w:pPr>
        <w:ind w:firstLine="720"/>
        <w:jc w:val="both"/>
      </w:pPr>
      <w:r w:rsidRPr="00C240DD">
        <w:t>18</w:t>
      </w:r>
      <w:r w:rsidR="00756290" w:rsidRPr="00C240DD">
        <w:t xml:space="preserve">. </w:t>
      </w:r>
      <w:r w:rsidR="00E1476D" w:rsidRPr="00C240DD">
        <w:t>Sudarant teisėjų kolegijas, pranešėjas skiriamas vadovaujantis šio Aprašo 1</w:t>
      </w:r>
      <w:r w:rsidR="00E03BE9">
        <w:t>7</w:t>
      </w:r>
      <w:bookmarkStart w:id="0" w:name="_GoBack"/>
      <w:bookmarkEnd w:id="0"/>
      <w:r w:rsidR="00E1476D" w:rsidRPr="00C240DD">
        <w:t xml:space="preserve"> punktu, tačiau skiriant kitus teisėjų kolegijos narius, ši taisyklė gali būti netaikoma.</w:t>
      </w:r>
    </w:p>
    <w:p w:rsidR="0015345C" w:rsidRPr="00C240DD" w:rsidRDefault="0095027B">
      <w:pPr>
        <w:ind w:firstLine="720"/>
        <w:jc w:val="both"/>
      </w:pPr>
      <w:r w:rsidRPr="00C240DD">
        <w:t>19</w:t>
      </w:r>
      <w:r w:rsidR="00E1476D" w:rsidRPr="00C240DD">
        <w:t xml:space="preserve">. </w:t>
      </w:r>
      <w:r w:rsidR="00756290" w:rsidRPr="00C240DD">
        <w:t>Specializacijos nustatymas negali būti kliūtis teisėjams skirti nagrinėti kitų kategorijų  bylas.</w:t>
      </w:r>
    </w:p>
    <w:p w:rsidR="0015345C" w:rsidRPr="00C240DD" w:rsidRDefault="00E1476D">
      <w:pPr>
        <w:ind w:firstLine="720"/>
        <w:jc w:val="both"/>
      </w:pPr>
      <w:r w:rsidRPr="00C240DD">
        <w:t>2</w:t>
      </w:r>
      <w:r w:rsidR="0095027B" w:rsidRPr="00C240DD">
        <w:t>0</w:t>
      </w:r>
      <w:r w:rsidR="00756290" w:rsidRPr="00C240DD">
        <w:t>. Apie teisėjų specializacijos nustatymą, specializacijos pakeitimą informuojama Nacionalinė teismų administracija, su lydraščiu pateikiant teismo pirmininko įsakymo kopiją.</w:t>
      </w:r>
    </w:p>
    <w:p w:rsidR="0015345C" w:rsidRPr="00C240DD" w:rsidRDefault="00E1476D">
      <w:pPr>
        <w:ind w:firstLine="720"/>
        <w:jc w:val="both"/>
      </w:pPr>
      <w:r w:rsidRPr="00C240DD">
        <w:t>2</w:t>
      </w:r>
      <w:r w:rsidR="0095027B" w:rsidRPr="00C240DD">
        <w:t>1</w:t>
      </w:r>
      <w:r w:rsidR="00756290" w:rsidRPr="00C240DD">
        <w:t>. Nacionalinė teismų administracija sudaro teisėjų, nagrinėjančių atitinkamos kategorijos bylas, sąrašus, kurie skelbiami Nacionalinės teismų administracijos interneto svetainėje.</w:t>
      </w:r>
    </w:p>
    <w:p w:rsidR="0015345C" w:rsidRPr="00C240DD" w:rsidRDefault="0015345C">
      <w:pPr>
        <w:ind w:firstLine="720"/>
        <w:jc w:val="both"/>
      </w:pPr>
    </w:p>
    <w:p w:rsidR="00C240DD" w:rsidRPr="00C240DD" w:rsidRDefault="00756290" w:rsidP="00B901A4">
      <w:pPr>
        <w:ind w:firstLine="720"/>
        <w:jc w:val="both"/>
        <w:rPr>
          <w:b/>
        </w:rPr>
      </w:pPr>
      <w:r w:rsidRPr="00C240DD">
        <w:rPr>
          <w:b/>
        </w:rPr>
        <w:tab/>
      </w:r>
      <w:r w:rsidRPr="00C240DD">
        <w:rPr>
          <w:b/>
        </w:rPr>
        <w:tab/>
        <w:t>_______________________________</w:t>
      </w:r>
    </w:p>
    <w:p w:rsidR="00C240DD" w:rsidRPr="00C240DD" w:rsidRDefault="00C240DD">
      <w:pPr>
        <w:rPr>
          <w:b/>
        </w:rPr>
      </w:pPr>
      <w:r w:rsidRPr="00C240DD">
        <w:rPr>
          <w:b/>
        </w:rPr>
        <w:br w:type="page"/>
      </w:r>
    </w:p>
    <w:p w:rsidR="00C240DD" w:rsidRPr="00C240DD" w:rsidRDefault="00C240DD" w:rsidP="00B901A4">
      <w:pPr>
        <w:ind w:firstLine="720"/>
        <w:jc w:val="both"/>
        <w:rPr>
          <w:b/>
        </w:rPr>
        <w:sectPr w:rsidR="00C240DD" w:rsidRPr="00C240DD" w:rsidSect="0015345C">
          <w:pgSz w:w="11906" w:h="16838"/>
          <w:pgMar w:top="1701" w:right="567" w:bottom="1134" w:left="1701" w:header="567" w:footer="567" w:gutter="0"/>
          <w:cols w:space="1296"/>
          <w:docGrid w:linePitch="360"/>
        </w:sectPr>
      </w:pPr>
    </w:p>
    <w:tbl>
      <w:tblPr>
        <w:tblStyle w:val="Lentelstinklelis"/>
        <w:tblpPr w:leftFromText="180" w:rightFromText="180" w:vertAnchor="page" w:horzAnchor="margin" w:tblpY="3149"/>
        <w:tblW w:w="14985" w:type="dxa"/>
        <w:tblLayout w:type="fixed"/>
        <w:tblLook w:val="04A0"/>
      </w:tblPr>
      <w:tblGrid>
        <w:gridCol w:w="1668"/>
        <w:gridCol w:w="3285"/>
        <w:gridCol w:w="3344"/>
        <w:gridCol w:w="3344"/>
        <w:gridCol w:w="3344"/>
      </w:tblGrid>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tcPr>
          <w:p w:rsidR="00C240DD" w:rsidRPr="00C240DD" w:rsidRDefault="00C240DD" w:rsidP="00D61052">
            <w:pPr>
              <w:rPr>
                <w:sz w:val="23"/>
                <w:szCs w:val="23"/>
                <w:lang w:val="lt-LT"/>
              </w:rPr>
            </w:pP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Apylinkių teismai (nuo 2018 m. sausio 1 d. – ir teismo rūmai), kuriuose dirba ne daugiau kaip 10 teisėjų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Apylinkių teismai (nuo 2018 m. sausio 1 d. – ir teismo rūmai), kuriuose dirba daugiau kaip 10 teisėjų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Apygardų teismai</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 xml:space="preserve">Apygardų administraciniai teismai (nuo 2018 m. sausio 1 d. – ir Regionų apygardos administracinio teismo rūmai) </w:t>
            </w:r>
          </w:p>
        </w:tc>
      </w:tr>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b/>
                <w:sz w:val="23"/>
                <w:szCs w:val="23"/>
                <w:lang w:val="lt-LT"/>
              </w:rPr>
            </w:pPr>
            <w:r w:rsidRPr="00C240DD">
              <w:rPr>
                <w:b/>
                <w:sz w:val="23"/>
                <w:szCs w:val="23"/>
                <w:lang w:val="lt-LT"/>
              </w:rPr>
              <w:t>Paprastai nustatomos specializacijos</w:t>
            </w: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įstatymų nustatytoms ikiteisminio tyrimo teisėjo funkcijoms atlikti;</w:t>
            </w:r>
          </w:p>
          <w:p w:rsidR="00C240DD" w:rsidRPr="00C240DD" w:rsidRDefault="00C240DD" w:rsidP="00D61052">
            <w:pPr>
              <w:rPr>
                <w:sz w:val="23"/>
                <w:szCs w:val="23"/>
                <w:lang w:val="lt-LT"/>
              </w:rPr>
            </w:pPr>
            <w:r w:rsidRPr="00C240DD">
              <w:rPr>
                <w:sz w:val="23"/>
                <w:szCs w:val="23"/>
                <w:lang w:val="lt-LT"/>
              </w:rPr>
              <w:t>2) nepilnamečių baudžiamųjų bylų.</w:t>
            </w:r>
          </w:p>
        </w:tc>
        <w:tc>
          <w:tcPr>
            <w:tcW w:w="3344" w:type="dxa"/>
            <w:tcBorders>
              <w:top w:val="single" w:sz="4" w:space="0" w:color="auto"/>
              <w:left w:val="single" w:sz="4" w:space="0" w:color="auto"/>
              <w:bottom w:val="single" w:sz="4" w:space="0" w:color="auto"/>
              <w:right w:val="single" w:sz="4" w:space="0" w:color="auto"/>
            </w:tcBorders>
          </w:tcPr>
          <w:p w:rsidR="00C240DD" w:rsidRPr="00C240DD" w:rsidRDefault="00C240DD" w:rsidP="00D61052">
            <w:pPr>
              <w:rPr>
                <w:sz w:val="23"/>
                <w:szCs w:val="23"/>
                <w:lang w:val="lt-LT"/>
              </w:rPr>
            </w:pPr>
            <w:r w:rsidRPr="00C240DD">
              <w:rPr>
                <w:sz w:val="23"/>
                <w:szCs w:val="23"/>
                <w:lang w:val="lt-LT"/>
              </w:rPr>
              <w:t>1) įstatymų nustatytoms ikiteisminio tyrimo teisėjo funkcijoms atlikti;</w:t>
            </w:r>
          </w:p>
          <w:p w:rsidR="00C240DD" w:rsidRPr="00C240DD" w:rsidRDefault="00C240DD" w:rsidP="00D61052">
            <w:pPr>
              <w:rPr>
                <w:sz w:val="23"/>
                <w:szCs w:val="23"/>
                <w:lang w:val="lt-LT"/>
              </w:rPr>
            </w:pPr>
            <w:r w:rsidRPr="00C240DD">
              <w:rPr>
                <w:sz w:val="23"/>
                <w:szCs w:val="23"/>
                <w:lang w:val="lt-LT"/>
              </w:rPr>
              <w:t>2) nepilnamečių baudžiamųjų bylų;</w:t>
            </w:r>
          </w:p>
          <w:p w:rsidR="00C240DD" w:rsidRPr="00C240DD" w:rsidRDefault="00C240DD" w:rsidP="00D61052">
            <w:pPr>
              <w:rPr>
                <w:sz w:val="23"/>
                <w:szCs w:val="23"/>
                <w:lang w:val="lt-LT"/>
              </w:rPr>
            </w:pPr>
            <w:r w:rsidRPr="00C240DD">
              <w:rPr>
                <w:sz w:val="23"/>
                <w:szCs w:val="23"/>
                <w:lang w:val="lt-LT"/>
              </w:rPr>
              <w:t>3) baudžiamųjų ir (ar) administracinių nusižengimų bylų;</w:t>
            </w:r>
          </w:p>
          <w:p w:rsidR="00C240DD" w:rsidRPr="00C240DD" w:rsidRDefault="00C240DD" w:rsidP="00D61052">
            <w:pPr>
              <w:rPr>
                <w:sz w:val="23"/>
                <w:szCs w:val="23"/>
                <w:lang w:val="lt-LT"/>
              </w:rPr>
            </w:pPr>
            <w:r w:rsidRPr="00C240DD">
              <w:rPr>
                <w:sz w:val="23"/>
                <w:szCs w:val="23"/>
                <w:lang w:val="lt-LT"/>
              </w:rPr>
              <w:t>4) civilinių bylų;</w:t>
            </w:r>
          </w:p>
          <w:p w:rsidR="00C240DD" w:rsidRPr="00C240DD" w:rsidRDefault="00C240DD" w:rsidP="00D61052">
            <w:pPr>
              <w:rPr>
                <w:sz w:val="23"/>
                <w:szCs w:val="23"/>
                <w:lang w:val="lt-LT"/>
              </w:rPr>
            </w:pPr>
            <w:r w:rsidRPr="00C240DD">
              <w:rPr>
                <w:sz w:val="23"/>
                <w:szCs w:val="23"/>
                <w:lang w:val="lt-LT"/>
              </w:rPr>
              <w:t>5) šeimos santykių bylų;</w:t>
            </w:r>
          </w:p>
          <w:p w:rsidR="00C240DD" w:rsidRPr="00C240DD" w:rsidRDefault="00C240DD" w:rsidP="00D61052">
            <w:pPr>
              <w:rPr>
                <w:sz w:val="23"/>
                <w:szCs w:val="23"/>
                <w:lang w:val="lt-LT"/>
              </w:rPr>
            </w:pPr>
            <w:r w:rsidRPr="00C240DD">
              <w:rPr>
                <w:sz w:val="23"/>
                <w:szCs w:val="23"/>
                <w:lang w:val="lt-LT"/>
              </w:rPr>
              <w:t>6) darbo santykių bylų;</w:t>
            </w:r>
          </w:p>
          <w:p w:rsidR="00C240DD" w:rsidRPr="00C240DD" w:rsidRDefault="00C240DD" w:rsidP="00D61052">
            <w:pPr>
              <w:rPr>
                <w:sz w:val="23"/>
                <w:szCs w:val="23"/>
                <w:lang w:val="lt-LT"/>
              </w:rPr>
            </w:pPr>
            <w:r w:rsidRPr="00C240DD">
              <w:rPr>
                <w:sz w:val="23"/>
                <w:szCs w:val="23"/>
                <w:lang w:val="lt-LT"/>
              </w:rPr>
              <w:t>7) fizinių asmenų bankroto bylų.</w:t>
            </w:r>
          </w:p>
          <w:p w:rsidR="00C240DD" w:rsidRPr="00C240DD" w:rsidRDefault="00C240DD" w:rsidP="00D61052">
            <w:pPr>
              <w:rPr>
                <w:sz w:val="23"/>
                <w:szCs w:val="23"/>
                <w:lang w:val="lt-LT"/>
              </w:rPr>
            </w:pP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nepilnamečių baudžiamųjų bylų;</w:t>
            </w:r>
          </w:p>
          <w:p w:rsidR="00C240DD" w:rsidRPr="00C240DD" w:rsidRDefault="00C240DD" w:rsidP="00D61052">
            <w:pPr>
              <w:rPr>
                <w:sz w:val="23"/>
                <w:szCs w:val="23"/>
                <w:lang w:val="lt-LT"/>
              </w:rPr>
            </w:pPr>
            <w:r w:rsidRPr="00C240DD">
              <w:rPr>
                <w:sz w:val="23"/>
                <w:szCs w:val="23"/>
                <w:lang w:val="lt-LT"/>
              </w:rPr>
              <w:t>2) baudžiamųjų bylų, susijusių su Lietuvos okupacijos ir aneksijos įtvirtinimu ir pasipriešinimu jam, taip pat bylų dėl nusikaltimų žmogiškumui ir karo nusikaltimų, taip pat dėl nusikaltimų Lietuvos valstybės nepriklausomybei, teritorijos vientisumui ir konstitucinei santvarkai;</w:t>
            </w:r>
          </w:p>
          <w:p w:rsidR="00C240DD" w:rsidRPr="00C240DD" w:rsidRDefault="00C240DD" w:rsidP="00D61052">
            <w:pPr>
              <w:rPr>
                <w:sz w:val="23"/>
                <w:szCs w:val="23"/>
                <w:lang w:val="lt-LT"/>
              </w:rPr>
            </w:pPr>
            <w:r w:rsidRPr="00C240DD">
              <w:rPr>
                <w:sz w:val="23"/>
                <w:szCs w:val="23"/>
                <w:lang w:val="lt-LT"/>
              </w:rPr>
              <w:t>3) fizinių ir (ar)  juridinių asmenų bankroto ir (ar) įmonių restruktūrizavimo bylų;</w:t>
            </w:r>
          </w:p>
          <w:p w:rsidR="00C240DD" w:rsidRPr="00C240DD" w:rsidRDefault="00C240DD" w:rsidP="00D61052">
            <w:pPr>
              <w:rPr>
                <w:sz w:val="23"/>
                <w:szCs w:val="23"/>
                <w:lang w:val="lt-LT"/>
              </w:rPr>
            </w:pPr>
            <w:r w:rsidRPr="00C240DD">
              <w:rPr>
                <w:sz w:val="23"/>
                <w:szCs w:val="23"/>
                <w:lang w:val="lt-LT"/>
              </w:rPr>
              <w:t>4) šeimos santykių bylų;</w:t>
            </w:r>
          </w:p>
          <w:p w:rsidR="00C240DD" w:rsidRPr="00C240DD" w:rsidRDefault="00C240DD" w:rsidP="00D61052">
            <w:pPr>
              <w:rPr>
                <w:sz w:val="23"/>
                <w:szCs w:val="23"/>
                <w:lang w:val="lt-LT"/>
              </w:rPr>
            </w:pPr>
            <w:r w:rsidRPr="00C240DD">
              <w:rPr>
                <w:sz w:val="23"/>
                <w:szCs w:val="23"/>
                <w:lang w:val="lt-LT"/>
              </w:rPr>
              <w:t>5) darbo santykių bylų;</w:t>
            </w:r>
          </w:p>
          <w:p w:rsidR="00C240DD" w:rsidRPr="00C240DD" w:rsidRDefault="00C240DD" w:rsidP="00D61052">
            <w:pPr>
              <w:rPr>
                <w:sz w:val="23"/>
                <w:szCs w:val="23"/>
                <w:lang w:val="lt-LT"/>
              </w:rPr>
            </w:pPr>
            <w:r w:rsidRPr="00C240DD">
              <w:rPr>
                <w:sz w:val="23"/>
                <w:szCs w:val="23"/>
                <w:lang w:val="lt-LT"/>
              </w:rPr>
              <w:t>6) viešųjų pirkimų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statybos ir (ar) teritorijų planavimo ir (ar) aplinkos apsaugos bylų;</w:t>
            </w:r>
          </w:p>
          <w:p w:rsidR="00C240DD" w:rsidRPr="00C240DD" w:rsidRDefault="00C240DD" w:rsidP="00D61052">
            <w:pPr>
              <w:rPr>
                <w:sz w:val="23"/>
                <w:szCs w:val="23"/>
                <w:lang w:val="lt-LT"/>
              </w:rPr>
            </w:pPr>
            <w:r w:rsidRPr="00C240DD">
              <w:rPr>
                <w:sz w:val="23"/>
                <w:szCs w:val="23"/>
                <w:lang w:val="lt-LT"/>
              </w:rPr>
              <w:t>2) valstybės tarnybos bylų;</w:t>
            </w:r>
          </w:p>
          <w:p w:rsidR="00C240DD" w:rsidRPr="00C240DD" w:rsidRDefault="00C240DD" w:rsidP="00D61052">
            <w:pPr>
              <w:rPr>
                <w:sz w:val="23"/>
                <w:szCs w:val="23"/>
                <w:lang w:val="lt-LT"/>
              </w:rPr>
            </w:pPr>
            <w:r w:rsidRPr="00C240DD">
              <w:rPr>
                <w:sz w:val="23"/>
                <w:szCs w:val="23"/>
                <w:lang w:val="lt-LT"/>
              </w:rPr>
              <w:t>3) sveikatos ir socialinės apsaugos bylų.</w:t>
            </w:r>
          </w:p>
        </w:tc>
      </w:tr>
      <w:tr w:rsidR="00C240DD" w:rsidRPr="00C240DD" w:rsidTr="00D61052">
        <w:trPr>
          <w:trHeight w:val="964"/>
        </w:trPr>
        <w:tc>
          <w:tcPr>
            <w:tcW w:w="1668"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jc w:val="center"/>
              <w:rPr>
                <w:b/>
                <w:sz w:val="23"/>
                <w:szCs w:val="23"/>
                <w:lang w:val="lt-LT"/>
              </w:rPr>
            </w:pPr>
            <w:r w:rsidRPr="00C240DD">
              <w:rPr>
                <w:b/>
                <w:sz w:val="23"/>
                <w:szCs w:val="23"/>
                <w:lang w:val="lt-LT"/>
              </w:rPr>
              <w:t>Pagal poreikį ir (ar) galimybes nustatomos specializacijos</w:t>
            </w:r>
          </w:p>
        </w:tc>
        <w:tc>
          <w:tcPr>
            <w:tcW w:w="3285"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baudžiamųjų ir (ar) administracinių nusižengimų bylų;</w:t>
            </w:r>
          </w:p>
          <w:p w:rsidR="00C240DD" w:rsidRPr="00C240DD" w:rsidRDefault="00C240DD" w:rsidP="00D61052">
            <w:pPr>
              <w:rPr>
                <w:sz w:val="23"/>
                <w:szCs w:val="23"/>
                <w:lang w:val="lt-LT"/>
              </w:rPr>
            </w:pPr>
            <w:r w:rsidRPr="00C240DD">
              <w:rPr>
                <w:sz w:val="23"/>
                <w:szCs w:val="23"/>
                <w:lang w:val="lt-LT"/>
              </w:rPr>
              <w:t>2) civilinių bylų;</w:t>
            </w:r>
          </w:p>
          <w:p w:rsidR="00C240DD" w:rsidRPr="00C240DD" w:rsidRDefault="00C240DD" w:rsidP="00D61052">
            <w:pPr>
              <w:rPr>
                <w:sz w:val="23"/>
                <w:szCs w:val="23"/>
                <w:lang w:val="lt-LT"/>
              </w:rPr>
            </w:pPr>
            <w:r w:rsidRPr="00C240DD">
              <w:rPr>
                <w:sz w:val="23"/>
                <w:szCs w:val="23"/>
                <w:lang w:val="lt-LT"/>
              </w:rPr>
              <w:t>3) šeimos santykių bylų;</w:t>
            </w:r>
          </w:p>
          <w:p w:rsidR="00C240DD" w:rsidRPr="00C240DD" w:rsidRDefault="00C240DD" w:rsidP="00D61052">
            <w:pPr>
              <w:rPr>
                <w:sz w:val="23"/>
                <w:szCs w:val="23"/>
                <w:lang w:val="lt-LT"/>
              </w:rPr>
            </w:pPr>
            <w:r w:rsidRPr="00C240DD">
              <w:rPr>
                <w:sz w:val="23"/>
                <w:szCs w:val="23"/>
                <w:lang w:val="lt-LT"/>
              </w:rPr>
              <w:t>4) darbo santykių bylų;</w:t>
            </w:r>
          </w:p>
          <w:p w:rsidR="00C240DD" w:rsidRPr="00C240DD" w:rsidRDefault="00C240DD" w:rsidP="00D61052">
            <w:pPr>
              <w:rPr>
                <w:sz w:val="23"/>
                <w:szCs w:val="23"/>
                <w:lang w:val="lt-LT"/>
              </w:rPr>
            </w:pPr>
            <w:r w:rsidRPr="00C240DD">
              <w:rPr>
                <w:sz w:val="23"/>
                <w:szCs w:val="23"/>
                <w:lang w:val="lt-LT"/>
              </w:rPr>
              <w:t>5) fizinių asmenų bankroto bylų;</w:t>
            </w:r>
          </w:p>
          <w:p w:rsidR="00C240DD" w:rsidRPr="00C240DD" w:rsidRDefault="00C240DD" w:rsidP="00D61052">
            <w:pPr>
              <w:rPr>
                <w:sz w:val="23"/>
                <w:szCs w:val="23"/>
                <w:lang w:val="lt-LT"/>
              </w:rPr>
            </w:pPr>
            <w:r w:rsidRPr="00C240DD">
              <w:rPr>
                <w:sz w:val="23"/>
                <w:szCs w:val="23"/>
                <w:lang w:val="lt-LT"/>
              </w:rPr>
              <w:t>6) civilinių bylų su tarptautiniu elementu.</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civilinių bylų su tarptautiniu elementu;</w:t>
            </w:r>
          </w:p>
          <w:p w:rsidR="00C240DD" w:rsidRPr="00C240DD" w:rsidRDefault="00C240DD" w:rsidP="00D61052">
            <w:pPr>
              <w:rPr>
                <w:sz w:val="23"/>
                <w:szCs w:val="23"/>
                <w:lang w:val="lt-LT"/>
              </w:rPr>
            </w:pPr>
            <w:r w:rsidRPr="00C240DD">
              <w:rPr>
                <w:sz w:val="23"/>
                <w:szCs w:val="23"/>
                <w:lang w:val="lt-LT"/>
              </w:rPr>
              <w:t>2) asmeninių neturtinių teisių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civilinių bylų su tarptautiniu elementu;</w:t>
            </w:r>
          </w:p>
          <w:p w:rsidR="00C240DD" w:rsidRPr="00C240DD" w:rsidRDefault="00C240DD" w:rsidP="00D61052">
            <w:pPr>
              <w:rPr>
                <w:sz w:val="23"/>
                <w:szCs w:val="23"/>
                <w:lang w:val="lt-LT"/>
              </w:rPr>
            </w:pPr>
            <w:r w:rsidRPr="00C240DD">
              <w:rPr>
                <w:sz w:val="23"/>
                <w:szCs w:val="23"/>
                <w:lang w:val="lt-LT"/>
              </w:rPr>
              <w:t>2) asmeninių neturtinių teisių ir (arba) intelektinės nuosavybės bylų.</w:t>
            </w:r>
          </w:p>
        </w:tc>
        <w:tc>
          <w:tcPr>
            <w:tcW w:w="3344" w:type="dxa"/>
            <w:tcBorders>
              <w:top w:val="single" w:sz="4" w:space="0" w:color="auto"/>
              <w:left w:val="single" w:sz="4" w:space="0" w:color="auto"/>
              <w:bottom w:val="single" w:sz="4" w:space="0" w:color="auto"/>
              <w:right w:val="single" w:sz="4" w:space="0" w:color="auto"/>
            </w:tcBorders>
            <w:hideMark/>
          </w:tcPr>
          <w:p w:rsidR="00C240DD" w:rsidRPr="00C240DD" w:rsidRDefault="00C240DD" w:rsidP="00D61052">
            <w:pPr>
              <w:rPr>
                <w:sz w:val="23"/>
                <w:szCs w:val="23"/>
                <w:lang w:val="lt-LT"/>
              </w:rPr>
            </w:pPr>
            <w:r w:rsidRPr="00C240DD">
              <w:rPr>
                <w:sz w:val="23"/>
                <w:szCs w:val="23"/>
                <w:lang w:val="lt-LT"/>
              </w:rPr>
              <w:t>1) mokesčių ir (ar) muitinės teisinių santykių bylų;</w:t>
            </w:r>
          </w:p>
          <w:p w:rsidR="00C240DD" w:rsidRDefault="00C240DD" w:rsidP="00D61052">
            <w:pPr>
              <w:rPr>
                <w:sz w:val="23"/>
                <w:szCs w:val="23"/>
                <w:lang w:val="lt-LT"/>
              </w:rPr>
            </w:pPr>
            <w:r w:rsidRPr="00C240DD">
              <w:rPr>
                <w:sz w:val="23"/>
                <w:szCs w:val="23"/>
                <w:lang w:val="lt-LT"/>
              </w:rPr>
              <w:t>2) konkurencijos bylų;</w:t>
            </w:r>
          </w:p>
          <w:p w:rsidR="00FD4A3A" w:rsidRPr="00C240DD" w:rsidRDefault="00FD4A3A" w:rsidP="00D61052">
            <w:pPr>
              <w:rPr>
                <w:sz w:val="23"/>
                <w:szCs w:val="23"/>
                <w:lang w:val="lt-LT"/>
              </w:rPr>
            </w:pPr>
            <w:r>
              <w:rPr>
                <w:sz w:val="23"/>
                <w:szCs w:val="23"/>
                <w:lang w:val="lt-LT"/>
              </w:rPr>
              <w:t>3)</w:t>
            </w:r>
            <w:r w:rsidRPr="00FD4A3A">
              <w:rPr>
                <w:sz w:val="23"/>
                <w:szCs w:val="23"/>
                <w:lang w:val="lt-LT"/>
              </w:rPr>
              <w:t xml:space="preserve"> bausmių vykdymo ir suėmimo sąlygų</w:t>
            </w:r>
            <w:r>
              <w:rPr>
                <w:sz w:val="23"/>
                <w:szCs w:val="23"/>
                <w:lang w:val="lt-LT"/>
              </w:rPr>
              <w:t xml:space="preserve"> bylų;</w:t>
            </w:r>
          </w:p>
          <w:p w:rsidR="00C240DD" w:rsidRPr="00C240DD" w:rsidRDefault="00FD4A3A" w:rsidP="00D61052">
            <w:pPr>
              <w:rPr>
                <w:sz w:val="23"/>
                <w:szCs w:val="23"/>
                <w:lang w:val="lt-LT"/>
              </w:rPr>
            </w:pPr>
            <w:r>
              <w:rPr>
                <w:sz w:val="23"/>
                <w:szCs w:val="23"/>
                <w:lang w:val="lt-LT"/>
              </w:rPr>
              <w:t>4</w:t>
            </w:r>
            <w:r w:rsidR="00C240DD" w:rsidRPr="00C240DD">
              <w:rPr>
                <w:sz w:val="23"/>
                <w:szCs w:val="23"/>
                <w:lang w:val="lt-LT"/>
              </w:rPr>
              <w:t>) užsieniečių teisinės padėties ir prieglobsčio bylų.</w:t>
            </w:r>
          </w:p>
        </w:tc>
      </w:tr>
    </w:tbl>
    <w:p w:rsidR="00C240DD" w:rsidRDefault="00C240DD" w:rsidP="00D61052">
      <w:pPr>
        <w:rPr>
          <w:b/>
        </w:rPr>
      </w:pPr>
    </w:p>
    <w:tbl>
      <w:tblPr>
        <w:tblpPr w:leftFromText="181" w:rightFromText="181" w:vertAnchor="text" w:tblpX="10564" w:tblpY="1"/>
        <w:tblOverlap w:val="never"/>
        <w:tblW w:w="4428" w:type="dxa"/>
        <w:tblLook w:val="0000"/>
      </w:tblPr>
      <w:tblGrid>
        <w:gridCol w:w="4428"/>
      </w:tblGrid>
      <w:tr w:rsidR="00D61052" w:rsidRPr="00D61052" w:rsidTr="00D61052">
        <w:trPr>
          <w:trHeight w:val="846"/>
        </w:trPr>
        <w:tc>
          <w:tcPr>
            <w:tcW w:w="4428" w:type="dxa"/>
          </w:tcPr>
          <w:p w:rsidR="00D61052" w:rsidRPr="00D61052" w:rsidRDefault="00D61052" w:rsidP="00D61052">
            <w:pPr>
              <w:rPr>
                <w:sz w:val="23"/>
                <w:szCs w:val="23"/>
              </w:rPr>
            </w:pPr>
            <w:r w:rsidRPr="00D61052">
              <w:rPr>
                <w:sz w:val="23"/>
                <w:szCs w:val="23"/>
              </w:rPr>
              <w:t>Teisėjų specializacijos tam tikrų kategorijų byloms nagrinėti nustatymo tvarkos aprašo priedas</w:t>
            </w:r>
          </w:p>
        </w:tc>
      </w:tr>
    </w:tbl>
    <w:p w:rsidR="00D61052" w:rsidRDefault="00D61052" w:rsidP="00D61052">
      <w:pPr>
        <w:ind w:firstLine="720"/>
        <w:jc w:val="center"/>
        <w:rPr>
          <w:b/>
        </w:rPr>
      </w:pPr>
    </w:p>
    <w:p w:rsidR="00D61052" w:rsidRDefault="00D61052" w:rsidP="00D61052">
      <w:pPr>
        <w:ind w:firstLine="720"/>
        <w:jc w:val="center"/>
        <w:rPr>
          <w:b/>
        </w:rPr>
      </w:pPr>
    </w:p>
    <w:p w:rsidR="00D61052" w:rsidRDefault="00D61052" w:rsidP="00D61052">
      <w:pPr>
        <w:ind w:firstLine="720"/>
        <w:jc w:val="center"/>
        <w:rPr>
          <w:b/>
        </w:rPr>
      </w:pPr>
    </w:p>
    <w:p w:rsidR="00D61052" w:rsidRDefault="00D61052" w:rsidP="00D61052">
      <w:pPr>
        <w:ind w:firstLine="720"/>
        <w:jc w:val="center"/>
        <w:rPr>
          <w:b/>
        </w:rPr>
      </w:pPr>
    </w:p>
    <w:p w:rsidR="00D61052" w:rsidRPr="00C240DD" w:rsidRDefault="00D61052" w:rsidP="00D61052">
      <w:pPr>
        <w:ind w:firstLine="720"/>
        <w:jc w:val="center"/>
        <w:rPr>
          <w:b/>
        </w:rPr>
      </w:pPr>
      <w:r w:rsidRPr="00C240DD">
        <w:rPr>
          <w:b/>
        </w:rPr>
        <w:t>Apylinkių, apygardų ir apygardų administraciniams teismams rekomenduojamos nustatyti teisėjų specializacijos</w:t>
      </w:r>
    </w:p>
    <w:sectPr w:rsidR="00D61052" w:rsidRPr="00C240DD" w:rsidSect="00D61052">
      <w:pgSz w:w="16838" w:h="11906" w:orient="landscape"/>
      <w:pgMar w:top="993"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da Molienė">
    <w15:presenceInfo w15:providerId="AD" w15:userId="S-1-5-21-2684307482-3008079090-195167589-76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rsids>
    <w:rsidRoot w:val="00C247E8"/>
    <w:rsid w:val="000259E3"/>
    <w:rsid w:val="000449E8"/>
    <w:rsid w:val="000914C8"/>
    <w:rsid w:val="000961CE"/>
    <w:rsid w:val="000A4B36"/>
    <w:rsid w:val="001117EB"/>
    <w:rsid w:val="0012006B"/>
    <w:rsid w:val="0015345C"/>
    <w:rsid w:val="00165E58"/>
    <w:rsid w:val="001F62DF"/>
    <w:rsid w:val="00246952"/>
    <w:rsid w:val="002656F2"/>
    <w:rsid w:val="002A38F4"/>
    <w:rsid w:val="002B38D5"/>
    <w:rsid w:val="002C1EF2"/>
    <w:rsid w:val="002C33AB"/>
    <w:rsid w:val="002D212D"/>
    <w:rsid w:val="002F2967"/>
    <w:rsid w:val="002F5162"/>
    <w:rsid w:val="00312912"/>
    <w:rsid w:val="003A0A5E"/>
    <w:rsid w:val="003A1FF2"/>
    <w:rsid w:val="003A5584"/>
    <w:rsid w:val="003C01AB"/>
    <w:rsid w:val="003C56F7"/>
    <w:rsid w:val="003E5EF3"/>
    <w:rsid w:val="00420C8F"/>
    <w:rsid w:val="00425219"/>
    <w:rsid w:val="00454241"/>
    <w:rsid w:val="00473820"/>
    <w:rsid w:val="00473E56"/>
    <w:rsid w:val="00475DA1"/>
    <w:rsid w:val="00485A4A"/>
    <w:rsid w:val="004A346E"/>
    <w:rsid w:val="004C21DF"/>
    <w:rsid w:val="004E6C3B"/>
    <w:rsid w:val="00522880"/>
    <w:rsid w:val="00573718"/>
    <w:rsid w:val="00597E33"/>
    <w:rsid w:val="005D7204"/>
    <w:rsid w:val="005F034A"/>
    <w:rsid w:val="006223D4"/>
    <w:rsid w:val="0062276C"/>
    <w:rsid w:val="00641F3C"/>
    <w:rsid w:val="00650A5C"/>
    <w:rsid w:val="00662246"/>
    <w:rsid w:val="0068734F"/>
    <w:rsid w:val="006A246D"/>
    <w:rsid w:val="006B0747"/>
    <w:rsid w:val="00732BB1"/>
    <w:rsid w:val="00756290"/>
    <w:rsid w:val="00762F00"/>
    <w:rsid w:val="00763EFF"/>
    <w:rsid w:val="00770283"/>
    <w:rsid w:val="007A5300"/>
    <w:rsid w:val="007B74CD"/>
    <w:rsid w:val="007E47F0"/>
    <w:rsid w:val="00806046"/>
    <w:rsid w:val="00847D02"/>
    <w:rsid w:val="0085044C"/>
    <w:rsid w:val="00855CDA"/>
    <w:rsid w:val="008A6306"/>
    <w:rsid w:val="008A7329"/>
    <w:rsid w:val="008B642A"/>
    <w:rsid w:val="008D722B"/>
    <w:rsid w:val="008F5ADA"/>
    <w:rsid w:val="00901926"/>
    <w:rsid w:val="0095027B"/>
    <w:rsid w:val="009607D8"/>
    <w:rsid w:val="009B76A5"/>
    <w:rsid w:val="009E5478"/>
    <w:rsid w:val="009F2E1E"/>
    <w:rsid w:val="00A319CC"/>
    <w:rsid w:val="00A37921"/>
    <w:rsid w:val="00A817AB"/>
    <w:rsid w:val="00A9580D"/>
    <w:rsid w:val="00AA09DA"/>
    <w:rsid w:val="00AB188C"/>
    <w:rsid w:val="00AD4D1F"/>
    <w:rsid w:val="00B63E48"/>
    <w:rsid w:val="00B87E86"/>
    <w:rsid w:val="00B901A4"/>
    <w:rsid w:val="00BB2E42"/>
    <w:rsid w:val="00BC22C4"/>
    <w:rsid w:val="00BE2B7C"/>
    <w:rsid w:val="00C02E38"/>
    <w:rsid w:val="00C240DD"/>
    <w:rsid w:val="00C247E8"/>
    <w:rsid w:val="00C3056E"/>
    <w:rsid w:val="00C50C63"/>
    <w:rsid w:val="00C60907"/>
    <w:rsid w:val="00C83C6E"/>
    <w:rsid w:val="00C91B33"/>
    <w:rsid w:val="00D127A2"/>
    <w:rsid w:val="00D23E69"/>
    <w:rsid w:val="00D61052"/>
    <w:rsid w:val="00D67601"/>
    <w:rsid w:val="00D850EA"/>
    <w:rsid w:val="00E03BE9"/>
    <w:rsid w:val="00E1476D"/>
    <w:rsid w:val="00E52F16"/>
    <w:rsid w:val="00E75574"/>
    <w:rsid w:val="00ED32DE"/>
    <w:rsid w:val="00ED71A9"/>
    <w:rsid w:val="00EE6A7D"/>
    <w:rsid w:val="00EE7AF6"/>
    <w:rsid w:val="00F031F8"/>
    <w:rsid w:val="00F0445D"/>
    <w:rsid w:val="00F16AAA"/>
    <w:rsid w:val="00F34DE1"/>
    <w:rsid w:val="00F41AE4"/>
    <w:rsid w:val="00F57DF9"/>
    <w:rsid w:val="00F660A6"/>
    <w:rsid w:val="00FA4D85"/>
    <w:rsid w:val="00FB0C5D"/>
    <w:rsid w:val="00FB7AEA"/>
    <w:rsid w:val="00FD1D5C"/>
    <w:rsid w:val="00FD4A3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45C"/>
    <w:rPr>
      <w:sz w:val="24"/>
      <w:szCs w:val="24"/>
      <w:lang w:eastAsia="en-US"/>
    </w:rPr>
  </w:style>
  <w:style w:type="paragraph" w:styleId="Antrat1">
    <w:name w:val="heading 1"/>
    <w:basedOn w:val="prastasis"/>
    <w:next w:val="prastasis"/>
    <w:qFormat/>
    <w:rsid w:val="0015345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15345C"/>
    <w:pPr>
      <w:tabs>
        <w:tab w:val="center" w:pos="4153"/>
        <w:tab w:val="right" w:pos="8306"/>
      </w:tabs>
    </w:pPr>
  </w:style>
  <w:style w:type="paragraph" w:styleId="Pavadinimas">
    <w:name w:val="Title"/>
    <w:basedOn w:val="Antrat1"/>
    <w:link w:val="PavadinimasDiagrama"/>
    <w:uiPriority w:val="99"/>
    <w:qFormat/>
    <w:rsid w:val="0015345C"/>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uiPriority w:val="99"/>
    <w:rsid w:val="0015345C"/>
    <w:pPr>
      <w:tabs>
        <w:tab w:val="clear" w:pos="4153"/>
        <w:tab w:val="clear" w:pos="8306"/>
      </w:tabs>
      <w:jc w:val="center"/>
    </w:pPr>
  </w:style>
  <w:style w:type="paragraph" w:styleId="Pagrindinistekstas">
    <w:name w:val="Body Text"/>
    <w:basedOn w:val="prastasis"/>
    <w:semiHidden/>
    <w:rsid w:val="0015345C"/>
    <w:pPr>
      <w:jc w:val="both"/>
    </w:pPr>
  </w:style>
  <w:style w:type="paragraph" w:styleId="Debesliotekstas">
    <w:name w:val="Balloon Text"/>
    <w:basedOn w:val="prastasis"/>
    <w:link w:val="DebesliotekstasDiagrama"/>
    <w:uiPriority w:val="99"/>
    <w:semiHidden/>
    <w:unhideWhenUsed/>
    <w:rsid w:val="007562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290"/>
    <w:rPr>
      <w:rFonts w:ascii="Tahoma" w:hAnsi="Tahoma" w:cs="Tahoma"/>
      <w:sz w:val="16"/>
      <w:szCs w:val="16"/>
      <w:lang w:eastAsia="en-US"/>
    </w:rPr>
  </w:style>
  <w:style w:type="character" w:customStyle="1" w:styleId="PavadinimasDiagrama">
    <w:name w:val="Pavadinimas Diagrama"/>
    <w:basedOn w:val="Numatytasispastraiposriftas"/>
    <w:link w:val="Pavadinimas"/>
    <w:uiPriority w:val="99"/>
    <w:rsid w:val="00756290"/>
    <w:rPr>
      <w:b/>
      <w:bCs/>
      <w:caps/>
      <w:sz w:val="26"/>
      <w:szCs w:val="24"/>
      <w:lang w:eastAsia="en-US"/>
    </w:rPr>
  </w:style>
  <w:style w:type="character" w:customStyle="1" w:styleId="DataDiagrama">
    <w:name w:val="Data Diagrama"/>
    <w:basedOn w:val="Numatytasispastraiposriftas"/>
    <w:link w:val="Data"/>
    <w:uiPriority w:val="99"/>
    <w:rsid w:val="00756290"/>
    <w:rPr>
      <w:sz w:val="24"/>
      <w:szCs w:val="24"/>
      <w:lang w:eastAsia="en-US"/>
    </w:rPr>
  </w:style>
  <w:style w:type="paragraph" w:styleId="Sraopastraipa">
    <w:name w:val="List Paragraph"/>
    <w:basedOn w:val="prastasis"/>
    <w:uiPriority w:val="99"/>
    <w:qFormat/>
    <w:rsid w:val="00756290"/>
    <w:pPr>
      <w:ind w:left="720"/>
      <w:contextualSpacing/>
    </w:pPr>
  </w:style>
  <w:style w:type="character" w:styleId="Komentaronuoroda">
    <w:name w:val="annotation reference"/>
    <w:basedOn w:val="Numatytasispastraiposriftas"/>
    <w:uiPriority w:val="99"/>
    <w:semiHidden/>
    <w:unhideWhenUsed/>
    <w:rsid w:val="00ED32DE"/>
    <w:rPr>
      <w:sz w:val="16"/>
      <w:szCs w:val="16"/>
    </w:rPr>
  </w:style>
  <w:style w:type="paragraph" w:styleId="Komentarotekstas">
    <w:name w:val="annotation text"/>
    <w:basedOn w:val="prastasis"/>
    <w:link w:val="KomentarotekstasDiagrama"/>
    <w:uiPriority w:val="99"/>
    <w:semiHidden/>
    <w:unhideWhenUsed/>
    <w:rsid w:val="00ED32DE"/>
    <w:rPr>
      <w:sz w:val="20"/>
      <w:szCs w:val="20"/>
    </w:rPr>
  </w:style>
  <w:style w:type="character" w:customStyle="1" w:styleId="KomentarotekstasDiagrama">
    <w:name w:val="Komentaro tekstas Diagrama"/>
    <w:basedOn w:val="Numatytasispastraiposriftas"/>
    <w:link w:val="Komentarotekstas"/>
    <w:uiPriority w:val="99"/>
    <w:semiHidden/>
    <w:rsid w:val="00ED32DE"/>
    <w:rPr>
      <w:lang w:eastAsia="en-US"/>
    </w:rPr>
  </w:style>
  <w:style w:type="paragraph" w:styleId="Komentarotema">
    <w:name w:val="annotation subject"/>
    <w:basedOn w:val="Komentarotekstas"/>
    <w:next w:val="Komentarotekstas"/>
    <w:link w:val="KomentarotemaDiagrama"/>
    <w:uiPriority w:val="99"/>
    <w:semiHidden/>
    <w:unhideWhenUsed/>
    <w:rsid w:val="00ED32DE"/>
    <w:rPr>
      <w:b/>
      <w:bCs/>
    </w:rPr>
  </w:style>
  <w:style w:type="character" w:customStyle="1" w:styleId="KomentarotemaDiagrama">
    <w:name w:val="Komentaro tema Diagrama"/>
    <w:basedOn w:val="KomentarotekstasDiagrama"/>
    <w:link w:val="Komentarotema"/>
    <w:uiPriority w:val="99"/>
    <w:semiHidden/>
    <w:rsid w:val="00ED32DE"/>
    <w:rPr>
      <w:b/>
      <w:bCs/>
      <w:lang w:eastAsia="en-US"/>
    </w:rPr>
  </w:style>
  <w:style w:type="paragraph" w:styleId="Pataisymai">
    <w:name w:val="Revision"/>
    <w:hidden/>
    <w:uiPriority w:val="99"/>
    <w:semiHidden/>
    <w:rsid w:val="00FB7AEA"/>
    <w:rPr>
      <w:sz w:val="24"/>
      <w:szCs w:val="24"/>
      <w:lang w:eastAsia="en-US"/>
    </w:rPr>
  </w:style>
  <w:style w:type="table" w:styleId="Lentelstinklelis">
    <w:name w:val="Table Grid"/>
    <w:basedOn w:val="prastojilentel"/>
    <w:uiPriority w:val="59"/>
    <w:rsid w:val="00C240DD"/>
    <w:rPr>
      <w:rFonts w:eastAsia="Calibri"/>
      <w:sz w:val="24"/>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45C"/>
    <w:rPr>
      <w:sz w:val="24"/>
      <w:szCs w:val="24"/>
      <w:lang w:eastAsia="en-US"/>
    </w:rPr>
  </w:style>
  <w:style w:type="paragraph" w:styleId="Antrat1">
    <w:name w:val="heading 1"/>
    <w:basedOn w:val="prastasis"/>
    <w:next w:val="prastasis"/>
    <w:qFormat/>
    <w:rsid w:val="0015345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15345C"/>
    <w:pPr>
      <w:tabs>
        <w:tab w:val="center" w:pos="4153"/>
        <w:tab w:val="right" w:pos="8306"/>
      </w:tabs>
    </w:pPr>
  </w:style>
  <w:style w:type="paragraph" w:styleId="Pavadinimas">
    <w:name w:val="Title"/>
    <w:basedOn w:val="Antrat1"/>
    <w:link w:val="PavadinimasDiagrama"/>
    <w:uiPriority w:val="99"/>
    <w:qFormat/>
    <w:rsid w:val="0015345C"/>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uiPriority w:val="99"/>
    <w:rsid w:val="0015345C"/>
    <w:pPr>
      <w:tabs>
        <w:tab w:val="clear" w:pos="4153"/>
        <w:tab w:val="clear" w:pos="8306"/>
      </w:tabs>
      <w:jc w:val="center"/>
    </w:pPr>
  </w:style>
  <w:style w:type="paragraph" w:styleId="Pagrindinistekstas">
    <w:name w:val="Body Text"/>
    <w:basedOn w:val="prastasis"/>
    <w:semiHidden/>
    <w:rsid w:val="0015345C"/>
    <w:pPr>
      <w:jc w:val="both"/>
    </w:pPr>
  </w:style>
  <w:style w:type="paragraph" w:styleId="Debesliotekstas">
    <w:name w:val="Balloon Text"/>
    <w:basedOn w:val="prastasis"/>
    <w:link w:val="DebesliotekstasDiagrama"/>
    <w:uiPriority w:val="99"/>
    <w:semiHidden/>
    <w:unhideWhenUsed/>
    <w:rsid w:val="007562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290"/>
    <w:rPr>
      <w:rFonts w:ascii="Tahoma" w:hAnsi="Tahoma" w:cs="Tahoma"/>
      <w:sz w:val="16"/>
      <w:szCs w:val="16"/>
      <w:lang w:eastAsia="en-US"/>
    </w:rPr>
  </w:style>
  <w:style w:type="character" w:customStyle="1" w:styleId="PavadinimasDiagrama">
    <w:name w:val="Pavadinimas Diagrama"/>
    <w:basedOn w:val="Numatytasispastraiposriftas"/>
    <w:link w:val="Pavadinimas"/>
    <w:uiPriority w:val="99"/>
    <w:rsid w:val="00756290"/>
    <w:rPr>
      <w:b/>
      <w:bCs/>
      <w:caps/>
      <w:sz w:val="26"/>
      <w:szCs w:val="24"/>
      <w:lang w:eastAsia="en-US"/>
    </w:rPr>
  </w:style>
  <w:style w:type="character" w:customStyle="1" w:styleId="DataDiagrama">
    <w:name w:val="Data Diagrama"/>
    <w:basedOn w:val="Numatytasispastraiposriftas"/>
    <w:link w:val="Data"/>
    <w:uiPriority w:val="99"/>
    <w:rsid w:val="00756290"/>
    <w:rPr>
      <w:sz w:val="24"/>
      <w:szCs w:val="24"/>
      <w:lang w:eastAsia="en-US"/>
    </w:rPr>
  </w:style>
  <w:style w:type="paragraph" w:styleId="Sraopastraipa">
    <w:name w:val="List Paragraph"/>
    <w:basedOn w:val="prastasis"/>
    <w:uiPriority w:val="99"/>
    <w:qFormat/>
    <w:rsid w:val="00756290"/>
    <w:pPr>
      <w:ind w:left="720"/>
      <w:contextualSpacing/>
    </w:pPr>
  </w:style>
  <w:style w:type="character" w:styleId="Komentaronuoroda">
    <w:name w:val="annotation reference"/>
    <w:basedOn w:val="Numatytasispastraiposriftas"/>
    <w:uiPriority w:val="99"/>
    <w:semiHidden/>
    <w:unhideWhenUsed/>
    <w:rsid w:val="00ED32DE"/>
    <w:rPr>
      <w:sz w:val="16"/>
      <w:szCs w:val="16"/>
    </w:rPr>
  </w:style>
  <w:style w:type="paragraph" w:styleId="Komentarotekstas">
    <w:name w:val="annotation text"/>
    <w:basedOn w:val="prastasis"/>
    <w:link w:val="KomentarotekstasDiagrama"/>
    <w:uiPriority w:val="99"/>
    <w:semiHidden/>
    <w:unhideWhenUsed/>
    <w:rsid w:val="00ED32DE"/>
    <w:rPr>
      <w:sz w:val="20"/>
      <w:szCs w:val="20"/>
    </w:rPr>
  </w:style>
  <w:style w:type="character" w:customStyle="1" w:styleId="KomentarotekstasDiagrama">
    <w:name w:val="Komentaro tekstas Diagrama"/>
    <w:basedOn w:val="Numatytasispastraiposriftas"/>
    <w:link w:val="Komentarotekstas"/>
    <w:uiPriority w:val="99"/>
    <w:semiHidden/>
    <w:rsid w:val="00ED32DE"/>
    <w:rPr>
      <w:lang w:eastAsia="en-US"/>
    </w:rPr>
  </w:style>
  <w:style w:type="paragraph" w:styleId="Komentarotema">
    <w:name w:val="annotation subject"/>
    <w:basedOn w:val="Komentarotekstas"/>
    <w:next w:val="Komentarotekstas"/>
    <w:link w:val="KomentarotemaDiagrama"/>
    <w:uiPriority w:val="99"/>
    <w:semiHidden/>
    <w:unhideWhenUsed/>
    <w:rsid w:val="00ED32DE"/>
    <w:rPr>
      <w:b/>
      <w:bCs/>
    </w:rPr>
  </w:style>
  <w:style w:type="character" w:customStyle="1" w:styleId="KomentarotemaDiagrama">
    <w:name w:val="Komentaro tema Diagrama"/>
    <w:basedOn w:val="KomentarotekstasDiagrama"/>
    <w:link w:val="Komentarotema"/>
    <w:uiPriority w:val="99"/>
    <w:semiHidden/>
    <w:rsid w:val="00ED32DE"/>
    <w:rPr>
      <w:b/>
      <w:bCs/>
      <w:lang w:eastAsia="en-US"/>
    </w:rPr>
  </w:style>
  <w:style w:type="paragraph" w:styleId="Pataisymai">
    <w:name w:val="Revision"/>
    <w:hidden/>
    <w:uiPriority w:val="99"/>
    <w:semiHidden/>
    <w:rsid w:val="00FB7AEA"/>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34172046">
      <w:bodyDiv w:val="1"/>
      <w:marLeft w:val="0"/>
      <w:marRight w:val="0"/>
      <w:marTop w:val="0"/>
      <w:marBottom w:val="0"/>
      <w:divBdr>
        <w:top w:val="none" w:sz="0" w:space="0" w:color="auto"/>
        <w:left w:val="none" w:sz="0" w:space="0" w:color="auto"/>
        <w:bottom w:val="none" w:sz="0" w:space="0" w:color="auto"/>
        <w:right w:val="none" w:sz="0" w:space="0" w:color="auto"/>
      </w:divBdr>
    </w:div>
    <w:div w:id="272790602">
      <w:bodyDiv w:val="1"/>
      <w:marLeft w:val="0"/>
      <w:marRight w:val="0"/>
      <w:marTop w:val="0"/>
      <w:marBottom w:val="0"/>
      <w:divBdr>
        <w:top w:val="none" w:sz="0" w:space="0" w:color="auto"/>
        <w:left w:val="none" w:sz="0" w:space="0" w:color="auto"/>
        <w:bottom w:val="none" w:sz="0" w:space="0" w:color="auto"/>
        <w:right w:val="none" w:sz="0" w:space="0" w:color="auto"/>
      </w:divBdr>
    </w:div>
    <w:div w:id="279721954">
      <w:bodyDiv w:val="1"/>
      <w:marLeft w:val="0"/>
      <w:marRight w:val="0"/>
      <w:marTop w:val="0"/>
      <w:marBottom w:val="0"/>
      <w:divBdr>
        <w:top w:val="none" w:sz="0" w:space="0" w:color="auto"/>
        <w:left w:val="none" w:sz="0" w:space="0" w:color="auto"/>
        <w:bottom w:val="none" w:sz="0" w:space="0" w:color="auto"/>
        <w:right w:val="none" w:sz="0" w:space="0" w:color="auto"/>
      </w:divBdr>
    </w:div>
    <w:div w:id="310401463">
      <w:bodyDiv w:val="1"/>
      <w:marLeft w:val="0"/>
      <w:marRight w:val="0"/>
      <w:marTop w:val="0"/>
      <w:marBottom w:val="0"/>
      <w:divBdr>
        <w:top w:val="none" w:sz="0" w:space="0" w:color="auto"/>
        <w:left w:val="none" w:sz="0" w:space="0" w:color="auto"/>
        <w:bottom w:val="none" w:sz="0" w:space="0" w:color="auto"/>
        <w:right w:val="none" w:sz="0" w:space="0" w:color="auto"/>
      </w:divBdr>
    </w:div>
    <w:div w:id="320502271">
      <w:bodyDiv w:val="1"/>
      <w:marLeft w:val="0"/>
      <w:marRight w:val="0"/>
      <w:marTop w:val="0"/>
      <w:marBottom w:val="0"/>
      <w:divBdr>
        <w:top w:val="none" w:sz="0" w:space="0" w:color="auto"/>
        <w:left w:val="none" w:sz="0" w:space="0" w:color="auto"/>
        <w:bottom w:val="none" w:sz="0" w:space="0" w:color="auto"/>
        <w:right w:val="none" w:sz="0" w:space="0" w:color="auto"/>
      </w:divBdr>
    </w:div>
    <w:div w:id="468979455">
      <w:bodyDiv w:val="1"/>
      <w:marLeft w:val="0"/>
      <w:marRight w:val="0"/>
      <w:marTop w:val="0"/>
      <w:marBottom w:val="0"/>
      <w:divBdr>
        <w:top w:val="none" w:sz="0" w:space="0" w:color="auto"/>
        <w:left w:val="none" w:sz="0" w:space="0" w:color="auto"/>
        <w:bottom w:val="none" w:sz="0" w:space="0" w:color="auto"/>
        <w:right w:val="none" w:sz="0" w:space="0" w:color="auto"/>
      </w:divBdr>
    </w:div>
    <w:div w:id="757167888">
      <w:bodyDiv w:val="1"/>
      <w:marLeft w:val="0"/>
      <w:marRight w:val="0"/>
      <w:marTop w:val="0"/>
      <w:marBottom w:val="0"/>
      <w:divBdr>
        <w:top w:val="none" w:sz="0" w:space="0" w:color="auto"/>
        <w:left w:val="none" w:sz="0" w:space="0" w:color="auto"/>
        <w:bottom w:val="none" w:sz="0" w:space="0" w:color="auto"/>
        <w:right w:val="none" w:sz="0" w:space="0" w:color="auto"/>
      </w:divBdr>
    </w:div>
    <w:div w:id="813372288">
      <w:bodyDiv w:val="1"/>
      <w:marLeft w:val="0"/>
      <w:marRight w:val="0"/>
      <w:marTop w:val="0"/>
      <w:marBottom w:val="0"/>
      <w:divBdr>
        <w:top w:val="none" w:sz="0" w:space="0" w:color="auto"/>
        <w:left w:val="none" w:sz="0" w:space="0" w:color="auto"/>
        <w:bottom w:val="none" w:sz="0" w:space="0" w:color="auto"/>
        <w:right w:val="none" w:sz="0" w:space="0" w:color="auto"/>
      </w:divBdr>
    </w:div>
    <w:div w:id="928271994">
      <w:bodyDiv w:val="1"/>
      <w:marLeft w:val="0"/>
      <w:marRight w:val="0"/>
      <w:marTop w:val="0"/>
      <w:marBottom w:val="0"/>
      <w:divBdr>
        <w:top w:val="none" w:sz="0" w:space="0" w:color="auto"/>
        <w:left w:val="none" w:sz="0" w:space="0" w:color="auto"/>
        <w:bottom w:val="none" w:sz="0" w:space="0" w:color="auto"/>
        <w:right w:val="none" w:sz="0" w:space="0" w:color="auto"/>
      </w:divBdr>
    </w:div>
    <w:div w:id="1111049805">
      <w:bodyDiv w:val="1"/>
      <w:marLeft w:val="0"/>
      <w:marRight w:val="0"/>
      <w:marTop w:val="0"/>
      <w:marBottom w:val="0"/>
      <w:divBdr>
        <w:top w:val="none" w:sz="0" w:space="0" w:color="auto"/>
        <w:left w:val="none" w:sz="0" w:space="0" w:color="auto"/>
        <w:bottom w:val="none" w:sz="0" w:space="0" w:color="auto"/>
        <w:right w:val="none" w:sz="0" w:space="0" w:color="auto"/>
      </w:divBdr>
    </w:div>
    <w:div w:id="1377389000">
      <w:bodyDiv w:val="1"/>
      <w:marLeft w:val="0"/>
      <w:marRight w:val="0"/>
      <w:marTop w:val="0"/>
      <w:marBottom w:val="0"/>
      <w:divBdr>
        <w:top w:val="none" w:sz="0" w:space="0" w:color="auto"/>
        <w:left w:val="none" w:sz="0" w:space="0" w:color="auto"/>
        <w:bottom w:val="none" w:sz="0" w:space="0" w:color="auto"/>
        <w:right w:val="none" w:sz="0" w:space="0" w:color="auto"/>
      </w:divBdr>
    </w:div>
    <w:div w:id="1828479087">
      <w:bodyDiv w:val="1"/>
      <w:marLeft w:val="0"/>
      <w:marRight w:val="0"/>
      <w:marTop w:val="0"/>
      <w:marBottom w:val="0"/>
      <w:divBdr>
        <w:top w:val="none" w:sz="0" w:space="0" w:color="auto"/>
        <w:left w:val="none" w:sz="0" w:space="0" w:color="auto"/>
        <w:bottom w:val="none" w:sz="0" w:space="0" w:color="auto"/>
        <w:right w:val="none" w:sz="0" w:space="0" w:color="auto"/>
      </w:divBdr>
    </w:div>
    <w:div w:id="20816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F7E2-8B29-4633-A792-06B962B2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4714</Words>
  <Characters>2688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Nacionalinė teismų administracija</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M.Pauzuolis</dc:creator>
  <cp:lastModifiedBy>a.dokutoviciene</cp:lastModifiedBy>
  <cp:revision>2</cp:revision>
  <dcterms:created xsi:type="dcterms:W3CDTF">2017-05-22T12:48:00Z</dcterms:created>
  <dcterms:modified xsi:type="dcterms:W3CDTF">2017-05-22T12:48:00Z</dcterms:modified>
</cp:coreProperties>
</file>