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48" w:rsidRPr="00224BE2" w:rsidRDefault="00363F48" w:rsidP="00363F48">
      <w:pPr>
        <w:jc w:val="center"/>
        <w:rPr>
          <w:b/>
          <w:color w:val="000000"/>
        </w:rPr>
      </w:pPr>
      <w:r w:rsidRPr="00224BE2">
        <w:rPr>
          <w:b/>
          <w:color w:val="000000"/>
        </w:rPr>
        <w:t>CIVILINES BYLAS NAGRINĖJANČIŲ TEISĖJŲ MOKYMO PROGRAMA „</w:t>
      </w:r>
      <w:r w:rsidRPr="00224BE2">
        <w:rPr>
          <w:rFonts w:eastAsia="MS Gothic"/>
          <w:b/>
          <w:caps/>
        </w:rPr>
        <w:t>E</w:t>
      </w:r>
      <w:r w:rsidRPr="00224BE2">
        <w:rPr>
          <w:b/>
          <w:caps/>
        </w:rPr>
        <w:t>uropos proced</w:t>
      </w:r>
      <w:r w:rsidRPr="00224BE2">
        <w:rPr>
          <w:rFonts w:eastAsia="MS Gothic"/>
          <w:b/>
          <w:caps/>
        </w:rPr>
        <w:t>ūros tarpvalstybinio pobūdžio bylose</w:t>
      </w:r>
      <w:r w:rsidRPr="00224BE2">
        <w:rPr>
          <w:b/>
          <w:color w:val="000000"/>
        </w:rPr>
        <w:t>“</w:t>
      </w:r>
    </w:p>
    <w:p w:rsidR="00D132B1" w:rsidRPr="0033192F" w:rsidRDefault="00D132B1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 xml:space="preserve">(seminaro kodas – </w:t>
      </w:r>
      <w:r w:rsidR="009103BA">
        <w:rPr>
          <w:bCs/>
        </w:rPr>
        <w:t>TPT-</w:t>
      </w:r>
      <w:r w:rsidR="00363F48">
        <w:rPr>
          <w:bCs/>
        </w:rPr>
        <w:t>2</w:t>
      </w:r>
      <w:r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Default="00D132B1" w:rsidP="00434C4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434C4E" w:rsidRDefault="00F56D46" w:rsidP="00434C4E">
      <w:pPr>
        <w:jc w:val="center"/>
        <w:rPr>
          <w:b/>
          <w:shadow/>
          <w:color w:val="000000"/>
        </w:rPr>
      </w:pPr>
    </w:p>
    <w:p w:rsidR="00F56D46" w:rsidRPr="009103BA" w:rsidRDefault="00D132B1" w:rsidP="009103BA">
      <w:pPr>
        <w:jc w:val="center"/>
      </w:pPr>
      <w:r>
        <w:t>201</w:t>
      </w:r>
      <w:r w:rsidR="006B1002">
        <w:t>7</w:t>
      </w:r>
      <w:r w:rsidR="009103BA">
        <w:t xml:space="preserve"> m. </w:t>
      </w:r>
      <w:r w:rsidR="00363F48">
        <w:t>rugsėjo</w:t>
      </w:r>
      <w:r w:rsidR="009103BA">
        <w:t xml:space="preserve"> </w:t>
      </w:r>
      <w:r w:rsidR="00363F48">
        <w:t>4-5</w:t>
      </w:r>
      <w:r w:rsidRPr="0033192F">
        <w:t xml:space="preserve"> d.</w:t>
      </w: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132B1" w:rsidRPr="003E5139" w:rsidTr="00E60648">
        <w:tc>
          <w:tcPr>
            <w:tcW w:w="10100" w:type="dxa"/>
          </w:tcPr>
          <w:p w:rsidR="00D132B1" w:rsidRPr="002A3798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A4667">
              <w:rPr>
                <w:i/>
                <w:iCs/>
              </w:rPr>
              <w:t>iai</w:t>
            </w:r>
            <w:r w:rsidRPr="002A3798">
              <w:rPr>
                <w:i/>
                <w:iCs/>
              </w:rPr>
              <w:t>:</w:t>
            </w:r>
          </w:p>
          <w:p w:rsidR="0042758D" w:rsidRDefault="0042758D" w:rsidP="0042758D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Egidija Tamošiūnienė</w:t>
            </w:r>
          </w:p>
          <w:p w:rsidR="0042758D" w:rsidRDefault="0042758D" w:rsidP="0042758D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apeliacinio teismo Civilinių bylų skyriaus pirmininkė</w:t>
            </w:r>
          </w:p>
          <w:p w:rsidR="0042758D" w:rsidRPr="00291D3F" w:rsidRDefault="0042758D" w:rsidP="0042758D">
            <w:pPr>
              <w:pStyle w:val="Heading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profesorė</w:t>
            </w:r>
          </w:p>
          <w:p w:rsidR="002A4667" w:rsidRPr="0058273F" w:rsidRDefault="002A4667" w:rsidP="002A4667">
            <w:pPr>
              <w:rPr>
                <w:b/>
                <w:i/>
                <w:iCs/>
              </w:rPr>
            </w:pPr>
            <w:r w:rsidRPr="0058273F">
              <w:rPr>
                <w:b/>
                <w:i/>
                <w:iCs/>
              </w:rPr>
              <w:t>Prof. dr. Vigintas Višinskis</w:t>
            </w:r>
          </w:p>
          <w:p w:rsidR="002A4667" w:rsidRDefault="002A4667" w:rsidP="002A4667">
            <w:pPr>
              <w:rPr>
                <w:i/>
                <w:iCs/>
              </w:rPr>
            </w:pPr>
            <w:r>
              <w:rPr>
                <w:i/>
                <w:iCs/>
              </w:rPr>
              <w:t>Lietuvos apeliacinio teismo teisėjas</w:t>
            </w:r>
          </w:p>
          <w:p w:rsidR="002A4667" w:rsidRPr="00291D3F" w:rsidRDefault="002A4667" w:rsidP="002A4667">
            <w:pPr>
              <w:pStyle w:val="Heading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</w:t>
            </w:r>
            <w:r>
              <w:rPr>
                <w:b w:val="0"/>
                <w:i/>
              </w:rPr>
              <w:t>ius</w:t>
            </w:r>
          </w:p>
          <w:p w:rsidR="0042758D" w:rsidRPr="0058273F" w:rsidRDefault="0042758D" w:rsidP="0042758D">
            <w:pPr>
              <w:rPr>
                <w:b/>
                <w:i/>
              </w:rPr>
            </w:pPr>
            <w:r w:rsidRPr="0058273F">
              <w:rPr>
                <w:b/>
                <w:i/>
              </w:rPr>
              <w:t>Asistentas Remigijus Jokubauskas</w:t>
            </w:r>
          </w:p>
          <w:p w:rsidR="00F56D46" w:rsidRPr="001B2877" w:rsidRDefault="0042758D" w:rsidP="0042758D">
            <w:pPr>
              <w:rPr>
                <w:i/>
              </w:rPr>
            </w:pPr>
            <w:r>
              <w:rPr>
                <w:i/>
              </w:rPr>
              <w:t>Lietuvos apeliacinio teismo Teismų praktikos skyriaus vyr. specialistas</w:t>
            </w:r>
          </w:p>
        </w:tc>
      </w:tr>
    </w:tbl>
    <w:p w:rsidR="00D132B1" w:rsidRPr="004277D6" w:rsidRDefault="00D132B1" w:rsidP="00665527">
      <w:pPr>
        <w:rPr>
          <w:color w:val="000000"/>
          <w:sz w:val="10"/>
          <w:szCs w:val="10"/>
          <w:u w:val="single"/>
        </w:rPr>
      </w:pPr>
    </w:p>
    <w:p w:rsidR="00D132B1" w:rsidRPr="002A3798" w:rsidRDefault="00D132B1" w:rsidP="009103BA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>rugsėjo 4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363F48" w:rsidP="009277BE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9277BE">
            <w:pPr>
              <w:spacing w:after="120"/>
              <w:jc w:val="both"/>
              <w:rPr>
                <w:b/>
                <w:color w:val="000000"/>
              </w:rPr>
            </w:pPr>
          </w:p>
          <w:p w:rsidR="00D132B1" w:rsidRPr="003E5139" w:rsidRDefault="009103BA" w:rsidP="009277BE">
            <w:pP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363F48">
              <w:rPr>
                <w:b/>
                <w:color w:val="000000"/>
              </w:rPr>
              <w:t>0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9277BE">
            <w:pPr>
              <w:tabs>
                <w:tab w:val="left" w:pos="8552"/>
                <w:tab w:val="left" w:pos="8732"/>
              </w:tabs>
              <w:spacing w:after="120"/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9277BE">
            <w:pPr>
              <w:tabs>
                <w:tab w:val="left" w:pos="145"/>
                <w:tab w:val="left" w:pos="283"/>
              </w:tabs>
              <w:spacing w:after="120"/>
              <w:ind w:left="-35"/>
              <w:jc w:val="both"/>
              <w:rPr>
                <w:b/>
                <w:color w:val="000000"/>
              </w:rPr>
            </w:pPr>
          </w:p>
          <w:p w:rsidR="002A4667" w:rsidRPr="009277BE" w:rsidRDefault="009277BE" w:rsidP="009277BE">
            <w:pPr>
              <w:spacing w:after="120"/>
              <w:jc w:val="both"/>
              <w:rPr>
                <w:color w:val="000000"/>
              </w:rPr>
            </w:pPr>
            <w:r w:rsidRPr="00363F48">
              <w:rPr>
                <w:b/>
                <w:color w:val="000000"/>
              </w:rPr>
              <w:t xml:space="preserve">LAIKINOSIOS APSAUGOS PRIEMONĖS. </w:t>
            </w:r>
            <w:r w:rsidR="002A4667" w:rsidRPr="009277BE">
              <w:rPr>
                <w:color w:val="000000"/>
              </w:rPr>
              <w:t>P</w:t>
            </w:r>
            <w:r w:rsidR="002A4667" w:rsidRPr="009277BE">
              <w:rPr>
                <w:rFonts w:eastAsiaTheme="minorHAnsi"/>
                <w:iCs/>
              </w:rPr>
              <w:t>agrindin</w:t>
            </w:r>
            <w:r w:rsidR="002A4667" w:rsidRPr="009277BE">
              <w:rPr>
                <w:rFonts w:eastAsia="MS Gothic"/>
                <w:iCs/>
              </w:rPr>
              <w:t xml:space="preserve">ės Reglamento (ES) Nr. 1215/2012 dėl jurisdikcijos ir teismo sprendimų civilinėse ir komercinėse bylose pripažinimo ir vykdymo (Briuselis </w:t>
            </w:r>
            <w:proofErr w:type="spellStart"/>
            <w:r w:rsidR="002A4667" w:rsidRPr="009277BE">
              <w:rPr>
                <w:rFonts w:eastAsia="MS Gothic"/>
                <w:iCs/>
              </w:rPr>
              <w:t>Ia</w:t>
            </w:r>
            <w:proofErr w:type="spellEnd"/>
            <w:r w:rsidR="002A4667" w:rsidRPr="009277BE">
              <w:rPr>
                <w:rFonts w:eastAsia="MS Gothic"/>
                <w:iCs/>
              </w:rPr>
              <w:t>) nuostatos.</w:t>
            </w:r>
            <w:r w:rsidR="002A4667" w:rsidRPr="00363F48">
              <w:rPr>
                <w:b/>
                <w:color w:val="000000"/>
              </w:rPr>
              <w:t xml:space="preserve"> </w:t>
            </w:r>
            <w:r w:rsidR="00363F48" w:rsidRPr="009277BE">
              <w:rPr>
                <w:color w:val="000000"/>
              </w:rPr>
              <w:t xml:space="preserve">2014 m. gegužės 15 d. Europos Parlamento ir Tarybos reglamento (ES) Nr. 655/2014, kuriuo nustatoma europinio sąskaitos blokavimo įsakymo procedūra, siekiant palengvinti tarpvalstybinį skolų išieškojimą civilinėse ir komercinėse bylose, taikymas. </w:t>
            </w:r>
          </w:p>
          <w:p w:rsidR="002A4667" w:rsidRPr="00DD1A4E" w:rsidRDefault="002A4667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 bylos pavyzdžio pristatymas. </w:t>
            </w:r>
            <w:r w:rsidR="00363F48" w:rsidRPr="00363F48">
              <w:rPr>
                <w:b/>
                <w:color w:val="000000"/>
              </w:rPr>
              <w:t>Praktiniai užsiėmimai grupėse</w:t>
            </w:r>
            <w:r w:rsidR="009277BE">
              <w:rPr>
                <w:b/>
                <w:color w:val="000000"/>
              </w:rPr>
              <w:t>.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9277BE">
            <w:pPr>
              <w:spacing w:after="120"/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63F48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Default="00D132B1" w:rsidP="009277BE">
            <w:pPr>
              <w:tabs>
                <w:tab w:val="left" w:pos="-100"/>
              </w:tabs>
              <w:spacing w:after="120"/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9277BE">
            <w:pPr>
              <w:spacing w:after="120"/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63F48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9103B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  <w:p w:rsidR="00D132B1" w:rsidRPr="00665527" w:rsidRDefault="00D132B1" w:rsidP="009277BE">
            <w:pPr>
              <w:spacing w:after="120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A4667" w:rsidRPr="002A4667" w:rsidRDefault="002A4667" w:rsidP="009277BE">
            <w:pPr>
              <w:pStyle w:val="Seminarbeschreibungklein"/>
              <w:spacing w:after="120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46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Praktiniai užsiėmimai grupėse. </w:t>
            </w:r>
          </w:p>
          <w:p w:rsidR="002A4667" w:rsidRPr="002A4667" w:rsidRDefault="009277BE" w:rsidP="009277BE">
            <w:pPr>
              <w:pStyle w:val="Seminarbeschreibungklein"/>
              <w:spacing w:after="12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</w:t>
            </w:r>
            <w:r w:rsidR="002A4667" w:rsidRPr="002A46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bylos pavyzdžio sprendimai </w:t>
            </w:r>
            <w:r w:rsidR="002A4667" w:rsidRPr="002A4667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(bendra diskusija)</w:t>
            </w:r>
            <w:r w:rsidR="002A4667" w:rsidRPr="002A46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32B1" w:rsidRPr="00665527" w:rsidRDefault="00D132B1" w:rsidP="009277BE">
            <w:pPr>
              <w:spacing w:after="120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63F48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9103BA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D132B1" w:rsidRPr="003E5139" w:rsidRDefault="00D132B1" w:rsidP="009277BE">
            <w:pPr>
              <w:spacing w:after="120"/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9277BE">
            <w:pPr>
              <w:spacing w:after="120"/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63F48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7F29D6" w:rsidRPr="00DD1A4E" w:rsidRDefault="009277BE" w:rsidP="009277BE">
            <w:pPr>
              <w:spacing w:after="120"/>
              <w:jc w:val="both"/>
              <w:rPr>
                <w:rFonts w:eastAsiaTheme="minorHAnsi"/>
                <w:iCs/>
              </w:rPr>
            </w:pPr>
            <w:r w:rsidRPr="009277BE">
              <w:rPr>
                <w:b/>
                <w:caps/>
              </w:rPr>
              <w:t>Skol</w:t>
            </w:r>
            <w:r w:rsidRPr="009277BE">
              <w:rPr>
                <w:rFonts w:eastAsia="MS Gothic"/>
                <w:b/>
                <w:caps/>
              </w:rPr>
              <w:t>ų išieškojimas kitose valstybėse</w:t>
            </w:r>
            <w:r w:rsidR="009103BA" w:rsidRPr="009277B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9277BE">
              <w:t>P</w:t>
            </w:r>
            <w:r w:rsidRPr="009277BE">
              <w:rPr>
                <w:rFonts w:eastAsiaTheme="minorHAnsi"/>
                <w:iCs/>
              </w:rPr>
              <w:t>agrindin</w:t>
            </w:r>
            <w:r w:rsidRPr="009277BE">
              <w:rPr>
                <w:rFonts w:eastAsia="MS Gothic"/>
                <w:iCs/>
              </w:rPr>
              <w:t>ė</w:t>
            </w:r>
            <w:r w:rsidRPr="009277BE">
              <w:rPr>
                <w:rFonts w:eastAsia="Malgun Gothic"/>
                <w:iCs/>
              </w:rPr>
              <w:t xml:space="preserve">s Reglamento Briuselis </w:t>
            </w:r>
            <w:proofErr w:type="spellStart"/>
            <w:r w:rsidRPr="009277BE">
              <w:rPr>
                <w:rFonts w:eastAsia="Malgun Gothic"/>
                <w:iCs/>
              </w:rPr>
              <w:t>Ia</w:t>
            </w:r>
            <w:proofErr w:type="spellEnd"/>
            <w:r w:rsidRPr="009277BE">
              <w:rPr>
                <w:rFonts w:eastAsia="Malgun Gothic"/>
                <w:iCs/>
              </w:rPr>
              <w:t xml:space="preserve"> </w:t>
            </w:r>
            <w:r w:rsidRPr="009277BE">
              <w:rPr>
                <w:rFonts w:eastAsiaTheme="minorHAnsi"/>
                <w:iCs/>
              </w:rPr>
              <w:t>ir R</w:t>
            </w:r>
            <w:r w:rsidR="0074695A" w:rsidRPr="00DD1A4E">
              <w:rPr>
                <w:rFonts w:eastAsiaTheme="minorHAnsi"/>
                <w:iCs/>
              </w:rPr>
              <w:t>eglament</w:t>
            </w:r>
            <w:r w:rsidRPr="00DD1A4E">
              <w:rPr>
                <w:rFonts w:eastAsiaTheme="minorHAnsi"/>
                <w:iCs/>
              </w:rPr>
              <w:t>o</w:t>
            </w:r>
            <w:r w:rsidR="0074695A" w:rsidRPr="00DD1A4E">
              <w:rPr>
                <w:rFonts w:eastAsiaTheme="minorHAnsi"/>
                <w:iCs/>
              </w:rPr>
              <w:t xml:space="preserve"> (EB) Nr. 805/2004, </w:t>
            </w:r>
            <w:r w:rsidR="0074695A" w:rsidRPr="00DD1A4E">
              <w:rPr>
                <w:rFonts w:eastAsiaTheme="minorHAnsi"/>
                <w:bCs/>
                <w:iCs/>
              </w:rPr>
              <w:t>sukurian</w:t>
            </w:r>
            <w:r w:rsidRPr="00DD1A4E">
              <w:rPr>
                <w:rFonts w:eastAsiaTheme="minorHAnsi"/>
                <w:bCs/>
                <w:iCs/>
              </w:rPr>
              <w:t>čio</w:t>
            </w:r>
            <w:r w:rsidR="0074695A" w:rsidRPr="00DD1A4E">
              <w:rPr>
                <w:rFonts w:eastAsiaTheme="minorHAnsi"/>
                <w:bCs/>
                <w:iCs/>
              </w:rPr>
              <w:t xml:space="preserve"> neginčytinų reikalavimų Europos vykdomąjį raštą</w:t>
            </w:r>
            <w:r w:rsidRPr="00DD1A4E">
              <w:rPr>
                <w:rFonts w:eastAsiaTheme="minorHAnsi"/>
                <w:bCs/>
                <w:iCs/>
              </w:rPr>
              <w:t>, nuostatos.</w:t>
            </w:r>
          </w:p>
          <w:p w:rsidR="009277BE" w:rsidRDefault="009277BE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II bylos pavyzdžio pristatymas. </w:t>
            </w:r>
            <w:r w:rsidRPr="00363F48">
              <w:rPr>
                <w:b/>
                <w:color w:val="000000"/>
              </w:rPr>
              <w:t>Praktiniai užsiėmimai grupėse</w:t>
            </w:r>
          </w:p>
          <w:p w:rsidR="006B1002" w:rsidRPr="006B1002" w:rsidRDefault="006B1002" w:rsidP="009277BE">
            <w:pPr>
              <w:spacing w:after="120"/>
              <w:jc w:val="both"/>
              <w:rPr>
                <w:sz w:val="10"/>
                <w:szCs w:val="10"/>
              </w:rPr>
            </w:pPr>
          </w:p>
        </w:tc>
      </w:tr>
      <w:tr w:rsidR="00363F48" w:rsidRPr="008B6C00" w:rsidTr="00816DBD">
        <w:tc>
          <w:tcPr>
            <w:tcW w:w="827" w:type="dxa"/>
          </w:tcPr>
          <w:p w:rsidR="00363F48" w:rsidRDefault="00363F48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363F48" w:rsidRPr="00363F48" w:rsidRDefault="00363F48" w:rsidP="009277BE">
            <w:pPr>
              <w:spacing w:after="120"/>
              <w:ind w:left="-35"/>
              <w:jc w:val="both"/>
              <w:rPr>
                <w:i/>
              </w:rPr>
            </w:pPr>
            <w:r w:rsidRPr="00363F48">
              <w:rPr>
                <w:i/>
              </w:rPr>
              <w:t>Pertrauka</w:t>
            </w:r>
          </w:p>
        </w:tc>
      </w:tr>
      <w:tr w:rsidR="00363F48" w:rsidRPr="008B6C00" w:rsidTr="00816DBD">
        <w:tc>
          <w:tcPr>
            <w:tcW w:w="827" w:type="dxa"/>
          </w:tcPr>
          <w:p w:rsidR="00363F48" w:rsidRPr="00363F48" w:rsidRDefault="00363F48" w:rsidP="009277BE">
            <w:pPr>
              <w:spacing w:after="120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363F48" w:rsidRPr="00363F48" w:rsidRDefault="00363F48" w:rsidP="009277BE">
            <w:pPr>
              <w:spacing w:after="120"/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63F48" w:rsidRPr="008B6C00" w:rsidTr="00816DBD">
        <w:tc>
          <w:tcPr>
            <w:tcW w:w="827" w:type="dxa"/>
          </w:tcPr>
          <w:p w:rsidR="00363F48" w:rsidRPr="00363F48" w:rsidRDefault="00363F48" w:rsidP="009277BE">
            <w:pP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9277BE" w:rsidRPr="00DD1A4E" w:rsidRDefault="009277BE" w:rsidP="009277BE">
            <w:pPr>
              <w:pStyle w:val="Seminarbeschreibungklein"/>
              <w:spacing w:after="120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DD1A4E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Praktiniai užsiėmimai grupėse. </w:t>
            </w:r>
          </w:p>
          <w:p w:rsidR="00363F48" w:rsidRPr="00363F48" w:rsidRDefault="009277BE" w:rsidP="009277BE">
            <w:pPr>
              <w:spacing w:after="120"/>
              <w:ind w:left="-35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Pr="002A4667">
              <w:rPr>
                <w:b/>
              </w:rPr>
              <w:t xml:space="preserve"> bylos pavyzdžio sprendimai </w:t>
            </w:r>
            <w:r w:rsidRPr="002A4667">
              <w:rPr>
                <w:i/>
              </w:rPr>
              <w:t>(bendra diskusija)</w:t>
            </w:r>
            <w:r w:rsidRPr="002A4667">
              <w:rPr>
                <w:b/>
              </w:rPr>
              <w:t>.</w:t>
            </w:r>
          </w:p>
        </w:tc>
      </w:tr>
      <w:tr w:rsidR="00D132B1" w:rsidRPr="003E5139" w:rsidTr="00816DBD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9277BE">
            <w:pPr>
              <w:spacing w:after="120"/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363F48" w:rsidP="009277BE">
            <w:pPr>
              <w:spacing w:after="1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D132B1" w:rsidRPr="003E5139" w:rsidRDefault="009103BA" w:rsidP="009277BE">
            <w:pPr>
              <w:spacing w:after="120"/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9277BE">
            <w:pPr>
              <w:spacing w:after="120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9277BE">
            <w:pPr>
              <w:spacing w:after="120"/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9277BE" w:rsidRDefault="009277BE" w:rsidP="009277BE">
      <w:pPr>
        <w:spacing w:after="120"/>
        <w:rPr>
          <w:color w:val="000000"/>
          <w:u w:val="single"/>
        </w:rPr>
      </w:pPr>
    </w:p>
    <w:p w:rsidR="00DD1A4E" w:rsidRDefault="00DD1A4E" w:rsidP="009277BE">
      <w:pPr>
        <w:spacing w:after="120"/>
        <w:rPr>
          <w:color w:val="000000"/>
          <w:u w:val="single"/>
        </w:rPr>
      </w:pPr>
    </w:p>
    <w:p w:rsidR="00D132B1" w:rsidRPr="004277D6" w:rsidRDefault="00D132B1" w:rsidP="009277BE">
      <w:pPr>
        <w:spacing w:after="12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lastRenderedPageBreak/>
        <w:t>Antradienis,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363F48">
        <w:rPr>
          <w:u w:val="single"/>
        </w:rPr>
        <w:t>rugsėjo</w:t>
      </w:r>
      <w:r w:rsidR="009103BA">
        <w:rPr>
          <w:u w:val="single"/>
        </w:rPr>
        <w:t xml:space="preserve"> </w:t>
      </w:r>
      <w:r w:rsidR="00363F48">
        <w:rPr>
          <w:u w:val="single"/>
        </w:rPr>
        <w:t>5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3E5139" w:rsidRDefault="00D132B1" w:rsidP="009277BE">
      <w:pPr>
        <w:spacing w:after="120"/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9103BA" w:rsidP="009277BE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D132B1" w:rsidRPr="001B2877">
              <w:rPr>
                <w:b/>
              </w:rPr>
              <w:t>.</w:t>
            </w:r>
            <w:r>
              <w:rPr>
                <w:b/>
              </w:rPr>
              <w:t>3</w:t>
            </w:r>
            <w:r w:rsidR="00D132B1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2A4667" w:rsidRPr="009277BE" w:rsidRDefault="009277BE" w:rsidP="009277BE">
            <w:pPr>
              <w:spacing w:after="120"/>
              <w:jc w:val="both"/>
              <w:rPr>
                <w:color w:val="000000"/>
              </w:rPr>
            </w:pPr>
            <w:r w:rsidRPr="00363F48">
              <w:rPr>
                <w:b/>
                <w:color w:val="000000"/>
              </w:rPr>
              <w:t>SKIRTINGOS EUROPOS PROCEDŪROS – KURĮ REGLAMENTĄ TAIKYTI?</w:t>
            </w:r>
            <w:r>
              <w:rPr>
                <w:b/>
                <w:color w:val="000000"/>
              </w:rPr>
              <w:t xml:space="preserve"> </w:t>
            </w:r>
            <w:r w:rsidR="002A4667" w:rsidRPr="009277BE">
              <w:rPr>
                <w:color w:val="000000"/>
              </w:rPr>
              <w:t>2015 m. gruodžio 16 d. Europos Parlamento ir Tarybos reglamento (ES) 2015/2421, kuriuo iš dalies keičiamas Reglamentas (EB) Nr. 861/2007, nustatantis Europos ieškinių dėl nedidelių sumų nagrinėjimo procedūrą, ir Reglamentas (EB) Nr. 1896/2006, nustatantis Europos mokėjimo įsakymo procedūrą, taikymas.</w:t>
            </w:r>
          </w:p>
          <w:p w:rsidR="00D132B1" w:rsidRPr="009103BA" w:rsidRDefault="002A4667" w:rsidP="009277BE">
            <w:pPr>
              <w:spacing w:after="120"/>
              <w:ind w:left="-35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III bylos pavyzdžio pristatymas. </w:t>
            </w:r>
            <w:r w:rsidRPr="00363F48">
              <w:rPr>
                <w:b/>
                <w:color w:val="000000"/>
              </w:rPr>
              <w:t>Praktiniai užsiėmimai grupėse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9277BE">
            <w:pPr>
              <w:spacing w:after="120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9277BE">
            <w:pPr>
              <w:tabs>
                <w:tab w:val="left" w:pos="145"/>
              </w:tabs>
              <w:spacing w:after="120"/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9277BE">
            <w:pPr>
              <w:spacing w:after="120"/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9103BA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D132B1" w:rsidRPr="001B2877" w:rsidRDefault="00D132B1" w:rsidP="009277BE">
            <w:pPr>
              <w:tabs>
                <w:tab w:val="left" w:pos="145"/>
              </w:tabs>
              <w:spacing w:after="120"/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9277BE">
            <w:pPr>
              <w:spacing w:after="12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9277BE">
            <w:pPr>
              <w:tabs>
                <w:tab w:val="left" w:pos="145"/>
                <w:tab w:val="left" w:pos="283"/>
              </w:tabs>
              <w:spacing w:after="120"/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9277BE">
            <w:pPr>
              <w:spacing w:after="120"/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9103BA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2A4667" w:rsidRPr="002A4667" w:rsidRDefault="002A4667" w:rsidP="009277BE">
            <w:pPr>
              <w:tabs>
                <w:tab w:val="left" w:pos="145"/>
                <w:tab w:val="left" w:pos="283"/>
              </w:tabs>
              <w:spacing w:after="120"/>
              <w:ind w:left="-35"/>
              <w:jc w:val="both"/>
              <w:rPr>
                <w:b/>
                <w:color w:val="000000"/>
              </w:rPr>
            </w:pPr>
            <w:r w:rsidRPr="002A4667">
              <w:rPr>
                <w:b/>
                <w:color w:val="000000"/>
              </w:rPr>
              <w:t>Praktiniai užsiėmimai grupėse.</w:t>
            </w:r>
          </w:p>
          <w:p w:rsidR="00D132B1" w:rsidRPr="00DD1A4E" w:rsidRDefault="002A4667" w:rsidP="00DD1A4E">
            <w:pPr>
              <w:pStyle w:val="Seminarbeschreibungklein"/>
              <w:spacing w:after="12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2A466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III bylos pavyzdžio sprendimai </w:t>
            </w:r>
            <w:r w:rsidRPr="002A4667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(bendra diskusija)</w:t>
            </w:r>
            <w:r w:rsidR="00D132B1" w:rsidRPr="00DD1A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9277BE">
            <w:pPr>
              <w:spacing w:after="120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9277BE">
            <w:pPr>
              <w:tabs>
                <w:tab w:val="left" w:pos="145"/>
                <w:tab w:val="left" w:pos="283"/>
              </w:tabs>
              <w:spacing w:after="120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F56D46" w:rsidP="009277B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9103BA">
              <w:rPr>
                <w:i/>
              </w:rPr>
              <w:t>1</w:t>
            </w:r>
            <w:r>
              <w:rPr>
                <w:i/>
              </w:rPr>
              <w:t>.</w:t>
            </w:r>
            <w:r w:rsidR="009103BA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:rsidR="00D132B1" w:rsidRPr="001B2877" w:rsidRDefault="009103BA" w:rsidP="009277BE">
            <w:pPr>
              <w:tabs>
                <w:tab w:val="left" w:pos="145"/>
                <w:tab w:val="left" w:pos="283"/>
              </w:tabs>
              <w:spacing w:after="120"/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9277BE">
            <w:pPr>
              <w:spacing w:after="120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9277BE">
            <w:pPr>
              <w:tabs>
                <w:tab w:val="left" w:pos="145"/>
                <w:tab w:val="left" w:pos="283"/>
              </w:tabs>
              <w:spacing w:after="120"/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D132B1" w:rsidRPr="009277BE" w:rsidRDefault="00D132B1" w:rsidP="009277BE">
      <w:pPr>
        <w:spacing w:after="120"/>
        <w:ind w:left="-540" w:firstLine="540"/>
        <w:rPr>
          <w:b/>
          <w:color w:val="000000"/>
          <w:sz w:val="20"/>
          <w:szCs w:val="20"/>
        </w:rPr>
      </w:pPr>
      <w:r w:rsidRPr="009277BE">
        <w:rPr>
          <w:b/>
          <w:color w:val="000000"/>
          <w:sz w:val="20"/>
          <w:szCs w:val="20"/>
        </w:rPr>
        <w:t>Anketų pildymas.</w:t>
      </w:r>
    </w:p>
    <w:p w:rsidR="00F56D46" w:rsidRDefault="00D132B1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  <w:r w:rsidRPr="009277BE">
        <w:rPr>
          <w:rStyle w:val="Strong"/>
          <w:bCs/>
          <w:color w:val="000000"/>
          <w:sz w:val="20"/>
          <w:szCs w:val="20"/>
        </w:rPr>
        <w:t>Programa gali keistis.</w:t>
      </w: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D1A4E" w:rsidRPr="009277BE" w:rsidRDefault="00DD1A4E" w:rsidP="009277BE">
      <w:pPr>
        <w:spacing w:after="120"/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132B1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D132B1" w:rsidRPr="004277D6" w:rsidRDefault="00D132B1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132B1" w:rsidRPr="004277D6" w:rsidRDefault="00D132B1" w:rsidP="004277D6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4277D6">
              <w:rPr>
                <w:color w:val="000000"/>
                <w:sz w:val="14"/>
                <w:szCs w:val="14"/>
              </w:rPr>
              <w:t xml:space="preserve">Neringa Sakalauskienė </w:t>
            </w:r>
            <w:r w:rsidRPr="004277D6">
              <w:rPr>
                <w:color w:val="000000"/>
                <w:sz w:val="14"/>
                <w:szCs w:val="14"/>
              </w:rPr>
              <w:t xml:space="preserve"> tel. 8 </w:t>
            </w:r>
            <w:r w:rsidR="004277D6">
              <w:rPr>
                <w:color w:val="000000"/>
                <w:sz w:val="14"/>
                <w:szCs w:val="14"/>
              </w:rPr>
              <w:t>645 52828</w:t>
            </w:r>
            <w:r w:rsidRPr="004277D6">
              <w:rPr>
                <w:color w:val="000000"/>
                <w:sz w:val="14"/>
                <w:szCs w:val="14"/>
              </w:rPr>
              <w:t xml:space="preserve">, el. paštas: </w:t>
            </w:r>
            <w:hyperlink r:id="rId7" w:history="1">
              <w:r w:rsidR="004277D6" w:rsidRPr="004415A0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D132B1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8" w:history="1">
              <w:r w:rsidRPr="004277D6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4277D6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4277D6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9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95A" w:rsidRDefault="0074695A">
      <w:r>
        <w:separator/>
      </w:r>
    </w:p>
  </w:endnote>
  <w:endnote w:type="continuationSeparator" w:id="0">
    <w:p w:rsidR="0074695A" w:rsidRDefault="00746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95A" w:rsidRDefault="0074695A">
      <w:r>
        <w:separator/>
      </w:r>
    </w:p>
  </w:footnote>
  <w:footnote w:type="continuationSeparator" w:id="0">
    <w:p w:rsidR="0074695A" w:rsidRDefault="00746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AF323A"/>
    <w:multiLevelType w:val="hybridMultilevel"/>
    <w:tmpl w:val="0A80365A"/>
    <w:lvl w:ilvl="0" w:tplc="816A5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CE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E9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6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A4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EB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2C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2F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8D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159D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3CA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4667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F48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58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27CE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695A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29D6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A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03B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277BE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1E4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615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99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1A4E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134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Seminarbeschreibungklein">
    <w:name w:val="Seminarbeschreibung klein"/>
    <w:basedOn w:val="Normal"/>
    <w:rsid w:val="002A4667"/>
    <w:pPr>
      <w:ind w:firstLine="170"/>
      <w:jc w:val="both"/>
    </w:pPr>
    <w:rPr>
      <w:rFonts w:ascii="Arial" w:hAnsi="Arial"/>
      <w:sz w:val="18"/>
      <w:szCs w:val="20"/>
      <w:lang w:val="en-GB" w:eastAsia="de-DE"/>
    </w:rPr>
  </w:style>
  <w:style w:type="paragraph" w:styleId="ListParagraph">
    <w:name w:val="List Paragraph"/>
    <w:basedOn w:val="Normal"/>
    <w:uiPriority w:val="34"/>
    <w:qFormat/>
    <w:rsid w:val="009277BE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2621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</cp:revision>
  <cp:lastPrinted>2017-03-23T08:54:00Z</cp:lastPrinted>
  <dcterms:created xsi:type="dcterms:W3CDTF">2017-06-18T10:09:00Z</dcterms:created>
  <dcterms:modified xsi:type="dcterms:W3CDTF">2017-06-19T07:09:00Z</dcterms:modified>
</cp:coreProperties>
</file>