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D99" w:rsidRDefault="00B74A54" w:rsidP="00DF7D99">
      <w:pPr>
        <w:jc w:val="center"/>
      </w:pPr>
      <w:r>
        <w:rPr>
          <w:noProof/>
          <w:lang w:eastAsia="lt-LT"/>
        </w:rPr>
        <w:drawing>
          <wp:inline distT="0" distB="0" distL="0" distR="0" wp14:anchorId="64A46963" wp14:editId="126BE37E">
            <wp:extent cx="733425" cy="762000"/>
            <wp:effectExtent l="0" t="0" r="9525" b="0"/>
            <wp:docPr id="2" name="Paveikslėlis 1"/>
            <wp:cNvGraphicFramePr/>
            <a:graphic xmlns:a="http://schemas.openxmlformats.org/drawingml/2006/main">
              <a:graphicData uri="http://schemas.openxmlformats.org/drawingml/2006/picture">
                <pic:pic xmlns:pic="http://schemas.openxmlformats.org/drawingml/2006/picture">
                  <pic:nvPicPr>
                    <pic:cNvPr id="2" name="Paveikslėlis 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B74A54" w:rsidRPr="003F54AB" w:rsidRDefault="00B74A54" w:rsidP="00DF7D99">
      <w:pPr>
        <w:jc w:val="center"/>
      </w:pPr>
    </w:p>
    <w:p w:rsidR="00DF7D99" w:rsidRPr="003F54AB" w:rsidRDefault="00DF7D99" w:rsidP="00DF7D99">
      <w:pPr>
        <w:keepNext/>
        <w:ind w:left="1134" w:right="1134"/>
        <w:jc w:val="center"/>
        <w:outlineLvl w:val="0"/>
        <w:rPr>
          <w:b/>
          <w:bCs/>
          <w:caps/>
        </w:rPr>
      </w:pPr>
      <w:r w:rsidRPr="003F54AB">
        <w:rPr>
          <w:b/>
          <w:bCs/>
          <w:caps/>
        </w:rPr>
        <w:t>TEISĖJŲ TARYBA</w:t>
      </w:r>
    </w:p>
    <w:p w:rsidR="00DF7D99" w:rsidRPr="003F54AB" w:rsidRDefault="00DF7D99" w:rsidP="00DF7D99">
      <w:pPr>
        <w:keepNext/>
        <w:spacing w:line="360" w:lineRule="auto"/>
        <w:ind w:left="1134" w:right="1134"/>
        <w:jc w:val="center"/>
        <w:outlineLvl w:val="0"/>
        <w:rPr>
          <w:b/>
          <w:bCs/>
          <w:caps/>
        </w:rPr>
      </w:pPr>
    </w:p>
    <w:p w:rsidR="00DF7D99" w:rsidRPr="003F54AB" w:rsidRDefault="00DF7D99" w:rsidP="00DF7D99">
      <w:pPr>
        <w:keepNext/>
        <w:ind w:left="1134" w:right="1134"/>
        <w:jc w:val="center"/>
        <w:outlineLvl w:val="0"/>
        <w:rPr>
          <w:b/>
          <w:bCs/>
          <w:caps/>
        </w:rPr>
      </w:pPr>
      <w:r w:rsidRPr="003F54AB">
        <w:rPr>
          <w:b/>
          <w:bCs/>
          <w:caps/>
        </w:rPr>
        <w:t>NUTARIMAS</w:t>
      </w:r>
    </w:p>
    <w:p w:rsidR="00DF7D99" w:rsidRPr="003F54AB" w:rsidRDefault="00DF7D99" w:rsidP="00DF7D99">
      <w:pPr>
        <w:pStyle w:val="Pagrindinistekstas"/>
      </w:pPr>
      <w:r w:rsidRPr="003F54AB">
        <w:rPr>
          <w:bCs/>
          <w:caps/>
        </w:rPr>
        <w:t xml:space="preserve">dėl </w:t>
      </w:r>
      <w:r>
        <w:rPr>
          <w:bCs/>
          <w:caps/>
        </w:rPr>
        <w:t xml:space="preserve">TEISĖJŲ TARYBOS 2015 M. GRUODŽIO 18 D. NUTARIMO NR. 13P-155-(7.1.2) „dĖL </w:t>
      </w:r>
      <w:r w:rsidRPr="003F54AB">
        <w:t>LIETUVOS RESPUBLIKOS TEISMŲ PROCESINIŲ DOKUMENTŲ TVARKYMO IR APSKAITOS REIKALAVIMŲ APRAŠO PATVIRTINIMO</w:t>
      </w:r>
      <w:r>
        <w:t>“ PAKEITIMO</w:t>
      </w:r>
    </w:p>
    <w:p w:rsidR="00DF7D99" w:rsidRDefault="00DF7D99" w:rsidP="00DF7D99">
      <w:pPr>
        <w:jc w:val="center"/>
      </w:pPr>
    </w:p>
    <w:p w:rsidR="00B74A54" w:rsidRPr="00DE1920" w:rsidRDefault="00B74A54" w:rsidP="00B74A54">
      <w:pPr>
        <w:jc w:val="center"/>
      </w:pPr>
      <w:r w:rsidRPr="00DE1920">
        <w:t>201</w:t>
      </w:r>
      <w:r w:rsidRPr="00DE1920">
        <w:rPr>
          <w:lang w:val="en-US"/>
        </w:rPr>
        <w:t>7</w:t>
      </w:r>
      <w:r w:rsidRPr="00DE1920">
        <w:t xml:space="preserve"> m. birželio 30 d. Nr. 13P-</w:t>
      </w:r>
      <w:r w:rsidR="00CE7DB0">
        <w:t>103</w:t>
      </w:r>
      <w:bookmarkStart w:id="0" w:name="_GoBack"/>
      <w:bookmarkEnd w:id="0"/>
      <w:r w:rsidRPr="00DE1920">
        <w:t>-(7.1.2)</w:t>
      </w:r>
    </w:p>
    <w:p w:rsidR="00DF7D99" w:rsidRDefault="00DF7D99" w:rsidP="00DF7D99">
      <w:pPr>
        <w:jc w:val="center"/>
      </w:pPr>
      <w:r w:rsidRPr="00F733BF">
        <w:t>Vilnius</w:t>
      </w:r>
    </w:p>
    <w:p w:rsidR="00DF7D99" w:rsidRPr="00F733BF" w:rsidRDefault="00DF7D99" w:rsidP="00DF7D99">
      <w:pPr>
        <w:jc w:val="center"/>
      </w:pPr>
    </w:p>
    <w:p w:rsidR="00DF7D99" w:rsidRPr="003F54AB" w:rsidRDefault="00DF7D99" w:rsidP="00B74A54">
      <w:pPr>
        <w:spacing w:line="276" w:lineRule="auto"/>
        <w:ind w:firstLine="567"/>
        <w:jc w:val="both"/>
      </w:pPr>
      <w:r w:rsidRPr="002A2849">
        <w:t xml:space="preserve">Vadovaudamasi Lietuvos Respublikos teismų </w:t>
      </w:r>
      <w:r>
        <w:t xml:space="preserve">reorganizavimo įstatymu, </w:t>
      </w:r>
      <w:r w:rsidRPr="003F54AB">
        <w:t>Teisėjų</w:t>
      </w:r>
      <w:r w:rsidR="00B74A54">
        <w:t xml:space="preserve"> </w:t>
      </w:r>
      <w:r w:rsidRPr="003F54AB">
        <w:t xml:space="preserve">taryba </w:t>
      </w:r>
      <w:r w:rsidRPr="00DF7D99">
        <w:rPr>
          <w:spacing w:val="40"/>
        </w:rPr>
        <w:t>nutari</w:t>
      </w:r>
      <w:r w:rsidRPr="00DF7D99">
        <w:t>a:</w:t>
      </w:r>
    </w:p>
    <w:p w:rsidR="00DF7D99" w:rsidRPr="008249DB" w:rsidRDefault="00DF7D99" w:rsidP="00B74A54">
      <w:pPr>
        <w:spacing w:line="276" w:lineRule="auto"/>
        <w:ind w:firstLine="567"/>
        <w:jc w:val="both"/>
      </w:pPr>
      <w:r w:rsidRPr="008249DB">
        <w:t>1. Pakeisti Teisėjų tarybos 2015 m. gruodžio 18 d. nutarimą Nr. 13P-155-(7.1.2) „Dėl Lietuvos Respublikos teismų procesinių dokumentų tvarkymo ir apskaitos reikalavimų aprašo patvirtinimo“ (toliau – Aprašas) su visais pakeitimais ir papildymais:</w:t>
      </w:r>
    </w:p>
    <w:p w:rsidR="00000B69" w:rsidRPr="008249DB" w:rsidRDefault="00DF7D99" w:rsidP="00B74A54">
      <w:pPr>
        <w:spacing w:line="276" w:lineRule="auto"/>
        <w:ind w:firstLine="567"/>
        <w:jc w:val="both"/>
      </w:pPr>
      <w:r w:rsidRPr="008249DB">
        <w:t>1.1. Pakeisti 6 punktą ir jį išdėstyti taip:</w:t>
      </w:r>
    </w:p>
    <w:p w:rsidR="00000B69" w:rsidRPr="008249DB" w:rsidRDefault="00FA2CF6" w:rsidP="00B74A54">
      <w:pPr>
        <w:spacing w:line="276" w:lineRule="auto"/>
        <w:ind w:firstLine="720"/>
        <w:jc w:val="both"/>
      </w:pPr>
      <w:r w:rsidRPr="008249DB">
        <w:t>„</w:t>
      </w:r>
      <w:r w:rsidR="00000B69" w:rsidRPr="008249DB">
        <w:t>6. Įgyvendindamas Apraše ir kituose norminiuose teisės aktuose nustatytus reikalavimus, teismo pirmininkas arba jo įgaliotas asmuo paskiria teismo, o kai teismas sudarytas iš teismo rūmų, – teismo rūmų darbuotojus, atsakingus už procesinių dokumentų registravimą teismo procesinių dokumentų registruose.</w:t>
      </w:r>
      <w:r w:rsidRPr="008249DB">
        <w:t>“</w:t>
      </w:r>
    </w:p>
    <w:p w:rsidR="00FA2CF6" w:rsidRPr="008249DB" w:rsidRDefault="00FA2CF6" w:rsidP="00B74A54">
      <w:pPr>
        <w:spacing w:line="276" w:lineRule="auto"/>
        <w:ind w:firstLine="720"/>
        <w:jc w:val="both"/>
      </w:pPr>
      <w:r w:rsidRPr="008249DB">
        <w:t>1.2. Pakeisti 7 punktą ir jį išdėstyti taip:</w:t>
      </w:r>
    </w:p>
    <w:p w:rsidR="00000B69" w:rsidRPr="008249DB" w:rsidRDefault="00FA2CF6" w:rsidP="00B74A54">
      <w:pPr>
        <w:spacing w:line="276" w:lineRule="auto"/>
        <w:ind w:firstLine="720"/>
        <w:jc w:val="both"/>
        <w:rPr>
          <w:bCs/>
        </w:rPr>
      </w:pPr>
      <w:r w:rsidRPr="008249DB">
        <w:t>„</w:t>
      </w:r>
      <w:r w:rsidR="00000B69" w:rsidRPr="008249DB">
        <w:t xml:space="preserve">7. Teismo dokumentų valdymui užtikrinti turi būti parengtas metų dokumentacijos planas, jis rengiamas vadovaujantis Dokumentų tvarkymo ir apskaitos taisyklėmis, Bendrųjų dokumentų saugojimo terminų rodykle, </w:t>
      </w:r>
      <w:r w:rsidR="00000B69" w:rsidRPr="008249DB">
        <w:rPr>
          <w:bCs/>
          <w:color w:val="000000"/>
          <w:lang w:eastAsia="lt-LT"/>
        </w:rPr>
        <w:t xml:space="preserve">Su teismo proceso bylomis susijusių elektroninių duomenų teismuose tvarkymo, įtraukimo į apskaitą ir saugojimo naudojant informacines ir elektroninių ryšių technologijas tvarkos aprašo bei šio </w:t>
      </w:r>
      <w:r w:rsidR="00000B69" w:rsidRPr="008249DB">
        <w:rPr>
          <w:color w:val="000000"/>
        </w:rPr>
        <w:t xml:space="preserve">Aprašo nuostatomis. </w:t>
      </w:r>
      <w:r w:rsidR="00000B69" w:rsidRPr="008249DB">
        <w:rPr>
          <w:bCs/>
        </w:rPr>
        <w:t xml:space="preserve">Dokumentacijos plane nurodomi dokumentų saugojimo terminai turi atitikti </w:t>
      </w:r>
      <w:r w:rsidR="00000B69" w:rsidRPr="008249DB">
        <w:rPr>
          <w:bCs/>
          <w:color w:val="000000"/>
        </w:rPr>
        <w:t>Bendrųjų dokumentų saugojimo terminų rodyklėje</w:t>
      </w:r>
      <w:r w:rsidR="00000B69" w:rsidRPr="008249DB">
        <w:rPr>
          <w:bCs/>
        </w:rPr>
        <w:t xml:space="preserve"> bei Teisėjų tarybos patvirtintoje Lietuvos Respublikos teismų procesinių dokumentų saugojimo terminų rodyklėje nustatytus procesinių dokumentų saugojimo terminus. Kai teismas sudarytas iš teismo rūmų, visam teismui rengiamas vienas dokumentacijos planas.</w:t>
      </w:r>
      <w:r w:rsidRPr="008249DB">
        <w:rPr>
          <w:bCs/>
        </w:rPr>
        <w:t>“</w:t>
      </w:r>
    </w:p>
    <w:p w:rsidR="00FA2CF6" w:rsidRPr="008249DB" w:rsidRDefault="00FA2CF6" w:rsidP="00B74A54">
      <w:pPr>
        <w:spacing w:line="276" w:lineRule="auto"/>
        <w:ind w:firstLine="720"/>
        <w:jc w:val="both"/>
        <w:rPr>
          <w:bCs/>
        </w:rPr>
      </w:pPr>
      <w:r w:rsidRPr="008249DB">
        <w:rPr>
          <w:bCs/>
        </w:rPr>
        <w:t>1.3. pakeisti 8 punktą ir jį išdėstyti taip:</w:t>
      </w:r>
    </w:p>
    <w:p w:rsidR="00000B69" w:rsidRPr="008249DB" w:rsidRDefault="00FA2CF6" w:rsidP="00B74A54">
      <w:pPr>
        <w:spacing w:line="276" w:lineRule="auto"/>
        <w:ind w:firstLine="720"/>
        <w:jc w:val="both"/>
        <w:rPr>
          <w:bCs/>
          <w:color w:val="000000"/>
        </w:rPr>
      </w:pPr>
      <w:r w:rsidRPr="008249DB">
        <w:rPr>
          <w:color w:val="000000"/>
        </w:rPr>
        <w:t>„</w:t>
      </w:r>
      <w:r w:rsidR="00000B69" w:rsidRPr="008249DB">
        <w:rPr>
          <w:color w:val="000000"/>
        </w:rPr>
        <w:t xml:space="preserve">8. Teisme, o kai teismas sudarytas iš teismo rūmų, – teismo rūmuose parengti ir gauti procesiniai dokumentai </w:t>
      </w:r>
      <w:r w:rsidR="00000B69" w:rsidRPr="008249DB">
        <w:t>tvarkomi ir registruojami</w:t>
      </w:r>
      <w:r w:rsidR="00000B69" w:rsidRPr="008249DB">
        <w:rPr>
          <w:color w:val="000000"/>
        </w:rPr>
        <w:t xml:space="preserve"> vadovaujantis Dokumentų tvarkymo ir apskaitos taisyklėse, Elektroninių dokumentų valdymo taisyklėse, </w:t>
      </w:r>
      <w:r w:rsidR="00000B69" w:rsidRPr="008249DB">
        <w:rPr>
          <w:bCs/>
          <w:color w:val="000000"/>
        </w:rPr>
        <w:t>Su teismo proceso bylomis susijusių elektroninių duomenų teismuose tvarkymo, įtraukimo į apskaitą ir saugojimo naudojant informacines ir elektroninių ryšių technologijas tvarkos apraše, Apraše bei kituose teisės aktuose įtvirtintais reikalavimais, susijusiais su procesinių dokumentų tvarkymu.</w:t>
      </w:r>
      <w:r w:rsidRPr="008249DB">
        <w:rPr>
          <w:bCs/>
          <w:color w:val="000000"/>
        </w:rPr>
        <w:t>“</w:t>
      </w:r>
    </w:p>
    <w:p w:rsidR="00FA2CF6" w:rsidRPr="008249DB" w:rsidRDefault="00FA2CF6" w:rsidP="00B74A54">
      <w:pPr>
        <w:spacing w:line="276" w:lineRule="auto"/>
        <w:ind w:firstLine="720"/>
        <w:jc w:val="both"/>
      </w:pPr>
      <w:r w:rsidRPr="008249DB">
        <w:rPr>
          <w:bCs/>
          <w:color w:val="000000"/>
        </w:rPr>
        <w:t>1.4. Pakeisti 10 punktą ir jį išdėstyti taip:</w:t>
      </w:r>
    </w:p>
    <w:p w:rsidR="00000B69" w:rsidRPr="008249DB" w:rsidRDefault="00FA2CF6" w:rsidP="00B74A54">
      <w:pPr>
        <w:spacing w:line="276" w:lineRule="auto"/>
        <w:ind w:firstLine="709"/>
        <w:jc w:val="both"/>
      </w:pPr>
      <w:r w:rsidRPr="008249DB">
        <w:t>„</w:t>
      </w:r>
      <w:r w:rsidR="00000B69" w:rsidRPr="008249DB">
        <w:t xml:space="preserve">10. Teisme, o kai teismas sudarytas iš teismo rūmų, – teismo rūmuose gauti procesiniai dokumentai registruojami viename teismo procesinių dokumentų registre. Procesiniai dokumentai rengiami, registruojami ir tvarkomi vadovaujantis Lietuvos Respublikos įstatymais, Dokumentų rengimo taisyklėmis, Dokumentų tvarkymo ir apskaitos taisyklėmis, šiuo Aprašu bei teismo </w:t>
      </w:r>
      <w:r w:rsidR="00000B69" w:rsidRPr="008249DB">
        <w:lastRenderedPageBreak/>
        <w:t>pirmininko įsakymu nustatyta tvarka. Teisme, o kai teismas sudarytas iš teismo rūmų, – teismo rūmuose gali būti atskiri registrai neprocesiniams dokumentams registruoti.</w:t>
      </w:r>
      <w:r w:rsidRPr="008249DB">
        <w:t>“</w:t>
      </w:r>
    </w:p>
    <w:p w:rsidR="00FA2CF6" w:rsidRPr="008249DB" w:rsidRDefault="00FA2CF6" w:rsidP="00B74A54">
      <w:pPr>
        <w:spacing w:line="276" w:lineRule="auto"/>
        <w:ind w:firstLine="709"/>
        <w:jc w:val="both"/>
      </w:pPr>
      <w:r w:rsidRPr="008249DB">
        <w:t>1.5. Pakeisti 11 punktą ir jį išdėstyti taip:</w:t>
      </w:r>
    </w:p>
    <w:p w:rsidR="00000B69" w:rsidRPr="008249DB" w:rsidRDefault="00FA2CF6" w:rsidP="00B74A54">
      <w:pPr>
        <w:spacing w:line="276" w:lineRule="auto"/>
        <w:ind w:firstLine="709"/>
        <w:jc w:val="both"/>
      </w:pPr>
      <w:r w:rsidRPr="008249DB">
        <w:t>„</w:t>
      </w:r>
      <w:r w:rsidR="00000B69" w:rsidRPr="008249DB">
        <w:t>11. Už dokumentų registravimą atsakingas teismo darbuotojas peržiūri teisme, o kai teismas sudarytas iš teismo rūmų, – teismo rūmuose gautus dokumentus. Jeigu nustatoma, kad trūksta gautame dokumente nurodytų pridedamų dokumentų ar priedų, surašomas aktas ir teismo pirmininko nustatyta tvarka informuojamas siuntėjas.</w:t>
      </w:r>
      <w:r w:rsidRPr="008249DB">
        <w:t>:</w:t>
      </w:r>
    </w:p>
    <w:p w:rsidR="00FA2CF6" w:rsidRPr="008249DB" w:rsidRDefault="00FA2CF6" w:rsidP="00B74A54">
      <w:pPr>
        <w:spacing w:line="276" w:lineRule="auto"/>
        <w:ind w:firstLine="709"/>
        <w:jc w:val="both"/>
      </w:pPr>
      <w:r w:rsidRPr="008249DB">
        <w:t>1.6. Pakeisti 20 punktą ir jį išdėstyti taip:</w:t>
      </w:r>
    </w:p>
    <w:p w:rsidR="00000B69" w:rsidRPr="008249DB" w:rsidRDefault="00FA2CF6" w:rsidP="00B74A54">
      <w:pPr>
        <w:pStyle w:val="Komentarotekstas"/>
        <w:spacing w:line="276" w:lineRule="auto"/>
        <w:ind w:firstLine="709"/>
        <w:jc w:val="both"/>
        <w:rPr>
          <w:sz w:val="24"/>
          <w:szCs w:val="24"/>
        </w:rPr>
      </w:pPr>
      <w:r w:rsidRPr="008249DB">
        <w:rPr>
          <w:sz w:val="24"/>
          <w:szCs w:val="24"/>
        </w:rPr>
        <w:t>„</w:t>
      </w:r>
      <w:r w:rsidR="00000B69" w:rsidRPr="008249DB">
        <w:rPr>
          <w:sz w:val="24"/>
          <w:szCs w:val="24"/>
        </w:rPr>
        <w:t>20. Dokumentai, gauti ne pagal kompetenciją ar ne tuo adresu, persiunčiami adresatui arba grąžinami siuntėjui. Gavus procesinį dokumentą (išskyrus bylos iškėlimą inicijuojantį dokumentą) ne tame teisme ar ne tuose teismo rūmuose, kuriuose nagrinėjama byla, toks procesinis dokumentas, prieš persiunčiant ji adresatui, yra užregistruojamas teismo, o kai teismas sudarytas iš teismo rūmų, – teismo rūmų neprocesinių dokumentų registre, o gavus jį tinkamame teisme ar teismo rūmuose – užregistruojamas procesinių dokumentų registre. Jei procesinis dokumentas pateiktas per LITEKO VEP posistemį, jis automatiškai nukreipiamas tinkamam teismui, o kai teismas sudarytas iš teismo rūmų, – teismo rūmams. Jei dokumentas gautas paštu, kartu persiunčiamas ir vokas.</w:t>
      </w:r>
      <w:r w:rsidRPr="008249DB">
        <w:rPr>
          <w:sz w:val="24"/>
          <w:szCs w:val="24"/>
        </w:rPr>
        <w:t>“</w:t>
      </w:r>
    </w:p>
    <w:p w:rsidR="00FA2CF6" w:rsidRPr="008249DB" w:rsidRDefault="00FA2CF6" w:rsidP="00B74A54">
      <w:pPr>
        <w:pStyle w:val="Komentarotekstas"/>
        <w:spacing w:line="276" w:lineRule="auto"/>
        <w:ind w:firstLine="709"/>
        <w:jc w:val="both"/>
        <w:rPr>
          <w:sz w:val="24"/>
          <w:szCs w:val="24"/>
        </w:rPr>
      </w:pPr>
      <w:r w:rsidRPr="008249DB">
        <w:rPr>
          <w:sz w:val="24"/>
          <w:szCs w:val="24"/>
        </w:rPr>
        <w:t>1.7. Pakeisti 21 punktą ir jį išdėstyti taip:</w:t>
      </w:r>
    </w:p>
    <w:p w:rsidR="00000B69" w:rsidRPr="008249DB" w:rsidRDefault="00FA2CF6" w:rsidP="00B74A54">
      <w:pPr>
        <w:spacing w:line="276" w:lineRule="auto"/>
        <w:ind w:firstLine="720"/>
        <w:jc w:val="both"/>
      </w:pPr>
      <w:r w:rsidRPr="008249DB">
        <w:t>„</w:t>
      </w:r>
      <w:r w:rsidR="00000B69" w:rsidRPr="008249DB">
        <w:t xml:space="preserve">21. </w:t>
      </w:r>
      <w:r w:rsidR="00000B69" w:rsidRPr="008249DB">
        <w:rPr>
          <w:color w:val="000000"/>
        </w:rPr>
        <w:t xml:space="preserve">Teismo proceso bylas </w:t>
      </w:r>
      <w:r w:rsidR="00000B69" w:rsidRPr="008249DB">
        <w:t xml:space="preserve">LITEKO </w:t>
      </w:r>
      <w:r w:rsidR="00000B69" w:rsidRPr="008249DB">
        <w:rPr>
          <w:color w:val="000000"/>
        </w:rPr>
        <w:t xml:space="preserve">elektroninėse bylų kortelėse registruoja teismo pirmininko įgaliotas teismo, o kai teismas sudarytas iš teismo rūmų, – teismo rūmų darbuotojas, </w:t>
      </w:r>
      <w:r w:rsidR="00000B69" w:rsidRPr="008249DB">
        <w:t xml:space="preserve">laikydamasis bylos (procesinio dokumento) gavimo teisme, o kai teismas sudarytas iš teismo rūmų, – teismo rūmuose eiliškumo, tą pačią dieną, bet ne vėliau kaip kitą darbo dieną nuo </w:t>
      </w:r>
      <w:r w:rsidR="00000B69" w:rsidRPr="008249DB">
        <w:rPr>
          <w:color w:val="000000"/>
        </w:rPr>
        <w:t xml:space="preserve">bylos iškėlimą teisme inicijuojančio dokumento </w:t>
      </w:r>
      <w:r w:rsidR="00000B69" w:rsidRPr="008249DB">
        <w:t>gavimo ar bylos gavimo apeliacinėje instancijoje dienos. Kiekvienai teismo proceso bylai užvedama atskira elektroninė bylos kortelė.</w:t>
      </w:r>
      <w:r w:rsidRPr="008249DB">
        <w:t>“</w:t>
      </w:r>
    </w:p>
    <w:p w:rsidR="00FA2CF6" w:rsidRPr="008249DB" w:rsidRDefault="00FA2CF6" w:rsidP="00B74A54">
      <w:pPr>
        <w:spacing w:line="276" w:lineRule="auto"/>
        <w:ind w:firstLine="720"/>
        <w:jc w:val="both"/>
      </w:pPr>
      <w:r w:rsidRPr="008249DB">
        <w:t>1.8. Pakeisti 33 punktą ir jį išdėstyti taip:</w:t>
      </w:r>
    </w:p>
    <w:p w:rsidR="00000B69" w:rsidRPr="008249DB" w:rsidRDefault="00FA2CF6" w:rsidP="00B74A54">
      <w:pPr>
        <w:spacing w:line="276" w:lineRule="auto"/>
        <w:ind w:firstLine="720"/>
        <w:jc w:val="both"/>
      </w:pPr>
      <w:r w:rsidRPr="008249DB">
        <w:t>„</w:t>
      </w:r>
      <w:r w:rsidR="00000B69" w:rsidRPr="008249DB">
        <w:t>33. Teismo pirmininkas paskiria už bylų sutvarkymą teismo struktūriniuose padaliniuose</w:t>
      </w:r>
      <w:r w:rsidR="00000B69" w:rsidRPr="008249DB">
        <w:rPr>
          <w:i/>
        </w:rPr>
        <w:t xml:space="preserve"> </w:t>
      </w:r>
      <w:r w:rsidR="00000B69" w:rsidRPr="008249DB">
        <w:t>atsakingus darbuotojus. Sutvarkytų bylų perdavimas iš jas sudariusių struktūrinių padalinių ar, kai teismas sudarytas iš teismo rūmų, – teismo rūmų į teismo archyvą įforminamas LITEKO priemonėmis sudaromu bylų (dokumentų) perdavimo aktu, kur surašomos perimamos bylos.</w:t>
      </w:r>
      <w:r w:rsidRPr="008249DB">
        <w:t>“</w:t>
      </w:r>
    </w:p>
    <w:p w:rsidR="00FA2CF6" w:rsidRPr="008249DB" w:rsidRDefault="00FA2CF6" w:rsidP="00B74A54">
      <w:pPr>
        <w:spacing w:line="276" w:lineRule="auto"/>
        <w:ind w:firstLine="720"/>
        <w:jc w:val="both"/>
      </w:pPr>
      <w:r w:rsidRPr="008249DB">
        <w:t>1.9. Pakeisti 44 punktą ir jį išdėstyti taip:</w:t>
      </w:r>
    </w:p>
    <w:p w:rsidR="00000B69" w:rsidRPr="008249DB" w:rsidRDefault="00FA2CF6" w:rsidP="00B74A54">
      <w:pPr>
        <w:spacing w:line="276" w:lineRule="auto"/>
        <w:ind w:firstLine="720"/>
        <w:jc w:val="both"/>
      </w:pPr>
      <w:r w:rsidRPr="008249DB">
        <w:t>„</w:t>
      </w:r>
      <w:r w:rsidR="00000B69" w:rsidRPr="008249DB">
        <w:t>44. Ilgai ir nuolat saugomų bylų antraštiniame lape nurodomi teismo proceso bylos aprašymo duomenys: teismo, o kai teismas sudarytas iš teismo rūmų, – teismo rūmų pavadinimas, bylos numeris, antraštė, baudžiamojo kodekso straipsnis, bylos tomas, chronologinės ribos. Chronologinės ribos nurodomos metais. Jei tokią bylą sudaro keli tomai, jų chronologinės ribos bus vienodos – nurodomos bylos tomuose esančio registruoto anksčiausio ir vėliausio dokumento datos (metais). Teismo, o kai teismas sudarytas iš teismo rūmų, – teismo rūmų pavadinimas turi atitikti teisės norminiais aktais nustatytą pavadinimą. Jei bylos sudarymo metu teismo pavadinimas keitėsi, bylos antraštiniame lape rašomas paskutinis teismo pavadinimas.</w:t>
      </w:r>
      <w:r w:rsidRPr="008249DB">
        <w:t>“</w:t>
      </w:r>
    </w:p>
    <w:p w:rsidR="00FA2CF6" w:rsidRPr="008249DB" w:rsidRDefault="00FA2CF6" w:rsidP="00B74A54">
      <w:pPr>
        <w:spacing w:line="276" w:lineRule="auto"/>
        <w:ind w:firstLine="720"/>
        <w:jc w:val="both"/>
      </w:pPr>
      <w:r w:rsidRPr="008249DB">
        <w:t>1.10. Pakeisti 49.1. papunktį ir jį išdėstyti taip:</w:t>
      </w:r>
    </w:p>
    <w:p w:rsidR="00000B69" w:rsidRPr="008249DB" w:rsidRDefault="00FA2CF6" w:rsidP="00B74A54">
      <w:pPr>
        <w:spacing w:line="276" w:lineRule="auto"/>
        <w:ind w:firstLine="720"/>
        <w:jc w:val="both"/>
      </w:pPr>
      <w:r w:rsidRPr="008249DB">
        <w:t>„</w:t>
      </w:r>
      <w:r w:rsidR="00000B69" w:rsidRPr="008249DB">
        <w:t>49.1. priima teismo struktūriniuose padaliniuose ar teismo rūmuose sudarytas teismo proceso bylas ir tvarko jų apskaitą;</w:t>
      </w:r>
      <w:r w:rsidRPr="008249DB">
        <w:t>“</w:t>
      </w:r>
    </w:p>
    <w:p w:rsidR="00FA2CF6" w:rsidRPr="008249DB" w:rsidRDefault="00FA2CF6" w:rsidP="00B74A54">
      <w:pPr>
        <w:spacing w:line="276" w:lineRule="auto"/>
        <w:ind w:firstLine="720"/>
        <w:jc w:val="both"/>
      </w:pPr>
      <w:r w:rsidRPr="008249DB">
        <w:t>1.11. Pakeisti 49.2. papunktį ir jį išdėstyti taip:</w:t>
      </w:r>
    </w:p>
    <w:p w:rsidR="00000B69" w:rsidRPr="008249DB" w:rsidRDefault="00FA2CF6" w:rsidP="00B74A54">
      <w:pPr>
        <w:spacing w:line="276" w:lineRule="auto"/>
        <w:ind w:firstLine="709"/>
        <w:jc w:val="both"/>
      </w:pPr>
      <w:r w:rsidRPr="008249DB">
        <w:t>„</w:t>
      </w:r>
      <w:r w:rsidR="00000B69" w:rsidRPr="008249DB">
        <w:t xml:space="preserve">49.2. patikrina, kaip iš teismo struktūrinių padalinių ar teismo rūmų perduotos bylos sutvarkytos ir įformintos, ar perduotos visos konkrečių metų tvarkomos teismo proceso bylos, nurodytos pagal dokumentacijos planą, bylų perdavimo aktus, dokumentų registrus ir kitus apskaitos dokumentus. Jei nustatoma, kad bylos sutvarkytos ir įformintos nesilaikant Aprašo ir </w:t>
      </w:r>
      <w:r w:rsidR="00000B69" w:rsidRPr="008249DB">
        <w:lastRenderedPageBreak/>
        <w:t>kituose teisės aktuose nustatytų reikalavimų, bylos grąžinamos pataisyti jas tvarkiusiems darbuotojams;</w:t>
      </w:r>
      <w:r w:rsidRPr="008249DB">
        <w:t>“</w:t>
      </w:r>
    </w:p>
    <w:p w:rsidR="00DF7D99" w:rsidRPr="008249DB" w:rsidRDefault="00DF7D99" w:rsidP="00B74A54">
      <w:pPr>
        <w:tabs>
          <w:tab w:val="left" w:pos="567"/>
        </w:tabs>
        <w:spacing w:line="276" w:lineRule="auto"/>
        <w:jc w:val="both"/>
      </w:pPr>
      <w:r w:rsidRPr="008249DB">
        <w:tab/>
        <w:t>2. Nustatyti, kad šis nutarimas įsigalioja 2018 m. sausio 1 d.</w:t>
      </w:r>
    </w:p>
    <w:p w:rsidR="00DF7D99" w:rsidRDefault="00DF7D99" w:rsidP="00DF7D99">
      <w:pPr>
        <w:pStyle w:val="Pagrindiniotekstotrauka2"/>
        <w:ind w:firstLine="567"/>
        <w:rPr>
          <w:b/>
        </w:rPr>
      </w:pPr>
    </w:p>
    <w:p w:rsidR="00B74A54" w:rsidRDefault="00B74A54" w:rsidP="00DF7D99">
      <w:pPr>
        <w:pStyle w:val="Pagrindiniotekstotrauka2"/>
        <w:ind w:firstLine="567"/>
        <w:rPr>
          <w:b/>
        </w:rPr>
      </w:pPr>
    </w:p>
    <w:tbl>
      <w:tblPr>
        <w:tblW w:w="9873" w:type="dxa"/>
        <w:tblLayout w:type="fixed"/>
        <w:tblLook w:val="0000" w:firstRow="0" w:lastRow="0" w:firstColumn="0" w:lastColumn="0" w:noHBand="0" w:noVBand="0"/>
      </w:tblPr>
      <w:tblGrid>
        <w:gridCol w:w="7251"/>
        <w:gridCol w:w="2622"/>
      </w:tblGrid>
      <w:tr w:rsidR="00DF7D99" w:rsidRPr="00430FE0" w:rsidTr="00FA2CF6">
        <w:trPr>
          <w:trHeight w:val="223"/>
        </w:trPr>
        <w:tc>
          <w:tcPr>
            <w:tcW w:w="7251" w:type="dxa"/>
          </w:tcPr>
          <w:p w:rsidR="00DF7D99" w:rsidRPr="00F9016F" w:rsidRDefault="00DF7D99" w:rsidP="0000305E">
            <w:r w:rsidRPr="00F9016F">
              <w:t>Pirmininkas</w:t>
            </w:r>
          </w:p>
        </w:tc>
        <w:tc>
          <w:tcPr>
            <w:tcW w:w="2622" w:type="dxa"/>
          </w:tcPr>
          <w:p w:rsidR="00DF7D99" w:rsidRPr="00F9016F" w:rsidRDefault="00B74A54" w:rsidP="0000305E">
            <w:r>
              <w:t>Rimvydas Norkus</w:t>
            </w:r>
          </w:p>
        </w:tc>
      </w:tr>
      <w:tr w:rsidR="00DF7D99" w:rsidRPr="00430FE0" w:rsidTr="00FA2CF6">
        <w:trPr>
          <w:trHeight w:val="433"/>
        </w:trPr>
        <w:tc>
          <w:tcPr>
            <w:tcW w:w="7251" w:type="dxa"/>
          </w:tcPr>
          <w:p w:rsidR="00DF7D99" w:rsidRDefault="00DF7D99" w:rsidP="0000305E"/>
          <w:p w:rsidR="00DF7D99" w:rsidRPr="00F9016F" w:rsidRDefault="00DF7D99" w:rsidP="0000305E"/>
        </w:tc>
        <w:tc>
          <w:tcPr>
            <w:tcW w:w="2622" w:type="dxa"/>
          </w:tcPr>
          <w:p w:rsidR="00DF7D99" w:rsidRPr="00F9016F" w:rsidRDefault="00DF7D99" w:rsidP="0000305E">
            <w:pPr>
              <w:rPr>
                <w:rFonts w:eastAsiaTheme="minorHAnsi"/>
              </w:rPr>
            </w:pPr>
          </w:p>
        </w:tc>
      </w:tr>
      <w:tr w:rsidR="00DF7D99" w:rsidRPr="00F9016F" w:rsidTr="00FA2CF6">
        <w:trPr>
          <w:trHeight w:val="62"/>
        </w:trPr>
        <w:tc>
          <w:tcPr>
            <w:tcW w:w="7251" w:type="dxa"/>
          </w:tcPr>
          <w:p w:rsidR="00DF7D99" w:rsidRDefault="00B74A54" w:rsidP="0000305E">
            <w:r>
              <w:t>Teisėjų tarybos narys,</w:t>
            </w:r>
          </w:p>
          <w:p w:rsidR="00B74A54" w:rsidRPr="00F9016F" w:rsidRDefault="00B74A54" w:rsidP="0000305E">
            <w:r>
              <w:t>atliekantis sekretoriaus funkcijas</w:t>
            </w:r>
          </w:p>
        </w:tc>
        <w:tc>
          <w:tcPr>
            <w:tcW w:w="2622" w:type="dxa"/>
          </w:tcPr>
          <w:p w:rsidR="00DF7D99" w:rsidRPr="005C45AC" w:rsidRDefault="00B74A54" w:rsidP="0000305E">
            <w:pPr>
              <w:rPr>
                <w:rFonts w:eastAsiaTheme="minorHAnsi"/>
              </w:rPr>
            </w:pPr>
            <w:r>
              <w:rPr>
                <w:rFonts w:eastAsiaTheme="minorHAnsi"/>
              </w:rPr>
              <w:t>Egidijus Laužikas</w:t>
            </w:r>
          </w:p>
        </w:tc>
      </w:tr>
    </w:tbl>
    <w:p w:rsidR="00D97F3D" w:rsidRDefault="00D97F3D" w:rsidP="00FA2CF6"/>
    <w:sectPr w:rsidR="00D97F3D" w:rsidSect="00FA2CF6">
      <w:headerReference w:type="first" r:id="rId8"/>
      <w:pgSz w:w="11907" w:h="16840" w:code="9"/>
      <w:pgMar w:top="1134" w:right="708" w:bottom="1134" w:left="1701" w:header="811" w:footer="39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63C" w:rsidRDefault="00D2363C" w:rsidP="00FA2CF6">
      <w:r>
        <w:separator/>
      </w:r>
    </w:p>
  </w:endnote>
  <w:endnote w:type="continuationSeparator" w:id="0">
    <w:p w:rsidR="00D2363C" w:rsidRDefault="00D2363C" w:rsidP="00FA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63C" w:rsidRDefault="00D2363C" w:rsidP="00FA2CF6">
      <w:r>
        <w:separator/>
      </w:r>
    </w:p>
  </w:footnote>
  <w:footnote w:type="continuationSeparator" w:id="0">
    <w:p w:rsidR="00D2363C" w:rsidRDefault="00D2363C" w:rsidP="00FA2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C55" w:rsidRPr="00097C55" w:rsidRDefault="00D2363C" w:rsidP="00097C55">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D7F"/>
    <w:rsid w:val="00000B69"/>
    <w:rsid w:val="00006E43"/>
    <w:rsid w:val="00117750"/>
    <w:rsid w:val="00295D7F"/>
    <w:rsid w:val="003168BA"/>
    <w:rsid w:val="00544026"/>
    <w:rsid w:val="006A33BD"/>
    <w:rsid w:val="008249DB"/>
    <w:rsid w:val="00AA5DF1"/>
    <w:rsid w:val="00B45D28"/>
    <w:rsid w:val="00B74A54"/>
    <w:rsid w:val="00BD05BB"/>
    <w:rsid w:val="00CE7DB0"/>
    <w:rsid w:val="00D2363C"/>
    <w:rsid w:val="00D97F3D"/>
    <w:rsid w:val="00DF7D99"/>
    <w:rsid w:val="00EA3167"/>
    <w:rsid w:val="00FA2C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7D9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1"/>
    <w:uiPriority w:val="99"/>
    <w:rsid w:val="00DF7D99"/>
    <w:pPr>
      <w:tabs>
        <w:tab w:val="center" w:pos="4153"/>
        <w:tab w:val="right" w:pos="8306"/>
      </w:tabs>
    </w:pPr>
  </w:style>
  <w:style w:type="character" w:customStyle="1" w:styleId="AntratsDiagrama">
    <w:name w:val="Antraštės Diagrama"/>
    <w:basedOn w:val="Numatytasispastraiposriftas"/>
    <w:uiPriority w:val="99"/>
    <w:semiHidden/>
    <w:rsid w:val="00DF7D99"/>
    <w:rPr>
      <w:rFonts w:ascii="Times New Roman" w:eastAsia="Times New Roman" w:hAnsi="Times New Roman" w:cs="Times New Roman"/>
      <w:sz w:val="24"/>
      <w:szCs w:val="24"/>
    </w:rPr>
  </w:style>
  <w:style w:type="character" w:customStyle="1" w:styleId="AntratsDiagrama1">
    <w:name w:val="Antraštės Diagrama1"/>
    <w:basedOn w:val="Numatytasispastraiposriftas"/>
    <w:link w:val="Antrats"/>
    <w:uiPriority w:val="99"/>
    <w:locked/>
    <w:rsid w:val="00DF7D99"/>
    <w:rPr>
      <w:rFonts w:ascii="Times New Roman" w:eastAsia="Times New Roman" w:hAnsi="Times New Roman" w:cs="Times New Roman"/>
      <w:sz w:val="24"/>
      <w:szCs w:val="24"/>
    </w:rPr>
  </w:style>
  <w:style w:type="paragraph" w:styleId="Porat">
    <w:name w:val="footer"/>
    <w:basedOn w:val="prastasis"/>
    <w:link w:val="PoratDiagrama1"/>
    <w:uiPriority w:val="99"/>
    <w:rsid w:val="00DF7D99"/>
    <w:pPr>
      <w:tabs>
        <w:tab w:val="center" w:pos="4153"/>
        <w:tab w:val="right" w:pos="8306"/>
      </w:tabs>
    </w:pPr>
  </w:style>
  <w:style w:type="character" w:customStyle="1" w:styleId="PoratDiagrama">
    <w:name w:val="Poraštė Diagrama"/>
    <w:basedOn w:val="Numatytasispastraiposriftas"/>
    <w:uiPriority w:val="99"/>
    <w:semiHidden/>
    <w:rsid w:val="00DF7D99"/>
    <w:rPr>
      <w:rFonts w:ascii="Times New Roman" w:eastAsia="Times New Roman" w:hAnsi="Times New Roman" w:cs="Times New Roman"/>
      <w:sz w:val="24"/>
      <w:szCs w:val="24"/>
    </w:rPr>
  </w:style>
  <w:style w:type="character" w:customStyle="1" w:styleId="PoratDiagrama1">
    <w:name w:val="Poraštė Diagrama1"/>
    <w:basedOn w:val="Numatytasispastraiposriftas"/>
    <w:link w:val="Porat"/>
    <w:uiPriority w:val="99"/>
    <w:locked/>
    <w:rsid w:val="00DF7D99"/>
    <w:rPr>
      <w:rFonts w:ascii="Times New Roman" w:eastAsia="Times New Roman" w:hAnsi="Times New Roman" w:cs="Times New Roman"/>
      <w:sz w:val="24"/>
      <w:szCs w:val="24"/>
    </w:rPr>
  </w:style>
  <w:style w:type="paragraph" w:styleId="Pagrindinistekstas">
    <w:name w:val="Body Text"/>
    <w:basedOn w:val="prastasis"/>
    <w:link w:val="PagrindinistekstasDiagrama1"/>
    <w:uiPriority w:val="99"/>
    <w:rsid w:val="00DF7D99"/>
    <w:pPr>
      <w:jc w:val="center"/>
    </w:pPr>
    <w:rPr>
      <w:b/>
    </w:rPr>
  </w:style>
  <w:style w:type="character" w:customStyle="1" w:styleId="PagrindinistekstasDiagrama">
    <w:name w:val="Pagrindinis tekstas Diagrama"/>
    <w:basedOn w:val="Numatytasispastraiposriftas"/>
    <w:uiPriority w:val="99"/>
    <w:semiHidden/>
    <w:rsid w:val="00DF7D99"/>
    <w:rPr>
      <w:rFonts w:ascii="Times New Roman" w:eastAsia="Times New Roman" w:hAnsi="Times New Roman" w:cs="Times New Roman"/>
      <w:sz w:val="24"/>
      <w:szCs w:val="24"/>
    </w:rPr>
  </w:style>
  <w:style w:type="character" w:customStyle="1" w:styleId="PagrindinistekstasDiagrama1">
    <w:name w:val="Pagrindinis tekstas Diagrama1"/>
    <w:basedOn w:val="Numatytasispastraiposriftas"/>
    <w:link w:val="Pagrindinistekstas"/>
    <w:uiPriority w:val="99"/>
    <w:locked/>
    <w:rsid w:val="00DF7D99"/>
    <w:rPr>
      <w:rFonts w:ascii="Times New Roman" w:eastAsia="Times New Roman" w:hAnsi="Times New Roman" w:cs="Times New Roman"/>
      <w:b/>
      <w:sz w:val="24"/>
      <w:szCs w:val="24"/>
    </w:rPr>
  </w:style>
  <w:style w:type="paragraph" w:styleId="Pagrindiniotekstotrauka2">
    <w:name w:val="Body Text Indent 2"/>
    <w:basedOn w:val="prastasis"/>
    <w:link w:val="Pagrindiniotekstotrauka2Diagrama"/>
    <w:uiPriority w:val="99"/>
    <w:rsid w:val="00DF7D99"/>
    <w:pPr>
      <w:ind w:firstLine="720"/>
      <w:jc w:val="both"/>
    </w:pPr>
    <w:rPr>
      <w:i/>
    </w:rPr>
  </w:style>
  <w:style w:type="character" w:customStyle="1" w:styleId="Pagrindiniotekstotrauka2Diagrama">
    <w:name w:val="Pagrindinio teksto įtrauka 2 Diagrama"/>
    <w:basedOn w:val="Numatytasispastraiposriftas"/>
    <w:link w:val="Pagrindiniotekstotrauka2"/>
    <w:uiPriority w:val="99"/>
    <w:rsid w:val="00DF7D99"/>
    <w:rPr>
      <w:rFonts w:ascii="Times New Roman" w:eastAsia="Times New Roman" w:hAnsi="Times New Roman" w:cs="Times New Roman"/>
      <w:i/>
      <w:sz w:val="24"/>
      <w:szCs w:val="24"/>
    </w:rPr>
  </w:style>
  <w:style w:type="character" w:styleId="Komentaronuoroda">
    <w:name w:val="annotation reference"/>
    <w:basedOn w:val="Numatytasispastraiposriftas"/>
    <w:rsid w:val="00DF7D99"/>
    <w:rPr>
      <w:rFonts w:cs="Times New Roman"/>
      <w:sz w:val="16"/>
    </w:rPr>
  </w:style>
  <w:style w:type="paragraph" w:styleId="Komentarotekstas">
    <w:name w:val="annotation text"/>
    <w:basedOn w:val="prastasis"/>
    <w:link w:val="KomentarotekstasDiagrama"/>
    <w:rsid w:val="00DF7D99"/>
    <w:rPr>
      <w:sz w:val="20"/>
      <w:szCs w:val="20"/>
    </w:rPr>
  </w:style>
  <w:style w:type="character" w:customStyle="1" w:styleId="KomentarotekstasDiagrama">
    <w:name w:val="Komentaro tekstas Diagrama"/>
    <w:basedOn w:val="Numatytasispastraiposriftas"/>
    <w:link w:val="Komentarotekstas"/>
    <w:rsid w:val="00DF7D99"/>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DF7D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7D99"/>
    <w:rPr>
      <w:rFonts w:ascii="Tahoma" w:eastAsia="Times New Roman" w:hAnsi="Tahoma" w:cs="Tahoma"/>
      <w:sz w:val="16"/>
      <w:szCs w:val="16"/>
    </w:rPr>
  </w:style>
  <w:style w:type="paragraph" w:styleId="Sraopastraipa">
    <w:name w:val="List Paragraph"/>
    <w:basedOn w:val="prastasis"/>
    <w:uiPriority w:val="34"/>
    <w:qFormat/>
    <w:rsid w:val="00DF7D99"/>
    <w:pPr>
      <w:ind w:left="720"/>
      <w:contextualSpacing/>
    </w:pPr>
  </w:style>
  <w:style w:type="paragraph" w:styleId="Komentarotema">
    <w:name w:val="annotation subject"/>
    <w:basedOn w:val="Komentarotekstas"/>
    <w:next w:val="Komentarotekstas"/>
    <w:link w:val="KomentarotemaDiagrama"/>
    <w:uiPriority w:val="99"/>
    <w:semiHidden/>
    <w:unhideWhenUsed/>
    <w:rsid w:val="00AA5DF1"/>
    <w:rPr>
      <w:b/>
      <w:bCs/>
    </w:rPr>
  </w:style>
  <w:style w:type="character" w:customStyle="1" w:styleId="KomentarotemaDiagrama">
    <w:name w:val="Komentaro tema Diagrama"/>
    <w:basedOn w:val="KomentarotekstasDiagrama"/>
    <w:link w:val="Komentarotema"/>
    <w:uiPriority w:val="99"/>
    <w:semiHidden/>
    <w:rsid w:val="00AA5DF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7D9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1"/>
    <w:uiPriority w:val="99"/>
    <w:rsid w:val="00DF7D99"/>
    <w:pPr>
      <w:tabs>
        <w:tab w:val="center" w:pos="4153"/>
        <w:tab w:val="right" w:pos="8306"/>
      </w:tabs>
    </w:pPr>
  </w:style>
  <w:style w:type="character" w:customStyle="1" w:styleId="AntratsDiagrama">
    <w:name w:val="Antraštės Diagrama"/>
    <w:basedOn w:val="Numatytasispastraiposriftas"/>
    <w:uiPriority w:val="99"/>
    <w:semiHidden/>
    <w:rsid w:val="00DF7D99"/>
    <w:rPr>
      <w:rFonts w:ascii="Times New Roman" w:eastAsia="Times New Roman" w:hAnsi="Times New Roman" w:cs="Times New Roman"/>
      <w:sz w:val="24"/>
      <w:szCs w:val="24"/>
    </w:rPr>
  </w:style>
  <w:style w:type="character" w:customStyle="1" w:styleId="AntratsDiagrama1">
    <w:name w:val="Antraštės Diagrama1"/>
    <w:basedOn w:val="Numatytasispastraiposriftas"/>
    <w:link w:val="Antrats"/>
    <w:uiPriority w:val="99"/>
    <w:locked/>
    <w:rsid w:val="00DF7D99"/>
    <w:rPr>
      <w:rFonts w:ascii="Times New Roman" w:eastAsia="Times New Roman" w:hAnsi="Times New Roman" w:cs="Times New Roman"/>
      <w:sz w:val="24"/>
      <w:szCs w:val="24"/>
    </w:rPr>
  </w:style>
  <w:style w:type="paragraph" w:styleId="Porat">
    <w:name w:val="footer"/>
    <w:basedOn w:val="prastasis"/>
    <w:link w:val="PoratDiagrama1"/>
    <w:uiPriority w:val="99"/>
    <w:rsid w:val="00DF7D99"/>
    <w:pPr>
      <w:tabs>
        <w:tab w:val="center" w:pos="4153"/>
        <w:tab w:val="right" w:pos="8306"/>
      </w:tabs>
    </w:pPr>
  </w:style>
  <w:style w:type="character" w:customStyle="1" w:styleId="PoratDiagrama">
    <w:name w:val="Poraštė Diagrama"/>
    <w:basedOn w:val="Numatytasispastraiposriftas"/>
    <w:uiPriority w:val="99"/>
    <w:semiHidden/>
    <w:rsid w:val="00DF7D99"/>
    <w:rPr>
      <w:rFonts w:ascii="Times New Roman" w:eastAsia="Times New Roman" w:hAnsi="Times New Roman" w:cs="Times New Roman"/>
      <w:sz w:val="24"/>
      <w:szCs w:val="24"/>
    </w:rPr>
  </w:style>
  <w:style w:type="character" w:customStyle="1" w:styleId="PoratDiagrama1">
    <w:name w:val="Poraštė Diagrama1"/>
    <w:basedOn w:val="Numatytasispastraiposriftas"/>
    <w:link w:val="Porat"/>
    <w:uiPriority w:val="99"/>
    <w:locked/>
    <w:rsid w:val="00DF7D99"/>
    <w:rPr>
      <w:rFonts w:ascii="Times New Roman" w:eastAsia="Times New Roman" w:hAnsi="Times New Roman" w:cs="Times New Roman"/>
      <w:sz w:val="24"/>
      <w:szCs w:val="24"/>
    </w:rPr>
  </w:style>
  <w:style w:type="paragraph" w:styleId="Pagrindinistekstas">
    <w:name w:val="Body Text"/>
    <w:basedOn w:val="prastasis"/>
    <w:link w:val="PagrindinistekstasDiagrama1"/>
    <w:uiPriority w:val="99"/>
    <w:rsid w:val="00DF7D99"/>
    <w:pPr>
      <w:jc w:val="center"/>
    </w:pPr>
    <w:rPr>
      <w:b/>
    </w:rPr>
  </w:style>
  <w:style w:type="character" w:customStyle="1" w:styleId="PagrindinistekstasDiagrama">
    <w:name w:val="Pagrindinis tekstas Diagrama"/>
    <w:basedOn w:val="Numatytasispastraiposriftas"/>
    <w:uiPriority w:val="99"/>
    <w:semiHidden/>
    <w:rsid w:val="00DF7D99"/>
    <w:rPr>
      <w:rFonts w:ascii="Times New Roman" w:eastAsia="Times New Roman" w:hAnsi="Times New Roman" w:cs="Times New Roman"/>
      <w:sz w:val="24"/>
      <w:szCs w:val="24"/>
    </w:rPr>
  </w:style>
  <w:style w:type="character" w:customStyle="1" w:styleId="PagrindinistekstasDiagrama1">
    <w:name w:val="Pagrindinis tekstas Diagrama1"/>
    <w:basedOn w:val="Numatytasispastraiposriftas"/>
    <w:link w:val="Pagrindinistekstas"/>
    <w:uiPriority w:val="99"/>
    <w:locked/>
    <w:rsid w:val="00DF7D99"/>
    <w:rPr>
      <w:rFonts w:ascii="Times New Roman" w:eastAsia="Times New Roman" w:hAnsi="Times New Roman" w:cs="Times New Roman"/>
      <w:b/>
      <w:sz w:val="24"/>
      <w:szCs w:val="24"/>
    </w:rPr>
  </w:style>
  <w:style w:type="paragraph" w:styleId="Pagrindiniotekstotrauka2">
    <w:name w:val="Body Text Indent 2"/>
    <w:basedOn w:val="prastasis"/>
    <w:link w:val="Pagrindiniotekstotrauka2Diagrama"/>
    <w:uiPriority w:val="99"/>
    <w:rsid w:val="00DF7D99"/>
    <w:pPr>
      <w:ind w:firstLine="720"/>
      <w:jc w:val="both"/>
    </w:pPr>
    <w:rPr>
      <w:i/>
    </w:rPr>
  </w:style>
  <w:style w:type="character" w:customStyle="1" w:styleId="Pagrindiniotekstotrauka2Diagrama">
    <w:name w:val="Pagrindinio teksto įtrauka 2 Diagrama"/>
    <w:basedOn w:val="Numatytasispastraiposriftas"/>
    <w:link w:val="Pagrindiniotekstotrauka2"/>
    <w:uiPriority w:val="99"/>
    <w:rsid w:val="00DF7D99"/>
    <w:rPr>
      <w:rFonts w:ascii="Times New Roman" w:eastAsia="Times New Roman" w:hAnsi="Times New Roman" w:cs="Times New Roman"/>
      <w:i/>
      <w:sz w:val="24"/>
      <w:szCs w:val="24"/>
    </w:rPr>
  </w:style>
  <w:style w:type="character" w:styleId="Komentaronuoroda">
    <w:name w:val="annotation reference"/>
    <w:basedOn w:val="Numatytasispastraiposriftas"/>
    <w:rsid w:val="00DF7D99"/>
    <w:rPr>
      <w:rFonts w:cs="Times New Roman"/>
      <w:sz w:val="16"/>
    </w:rPr>
  </w:style>
  <w:style w:type="paragraph" w:styleId="Komentarotekstas">
    <w:name w:val="annotation text"/>
    <w:basedOn w:val="prastasis"/>
    <w:link w:val="KomentarotekstasDiagrama"/>
    <w:rsid w:val="00DF7D99"/>
    <w:rPr>
      <w:sz w:val="20"/>
      <w:szCs w:val="20"/>
    </w:rPr>
  </w:style>
  <w:style w:type="character" w:customStyle="1" w:styleId="KomentarotekstasDiagrama">
    <w:name w:val="Komentaro tekstas Diagrama"/>
    <w:basedOn w:val="Numatytasispastraiposriftas"/>
    <w:link w:val="Komentarotekstas"/>
    <w:rsid w:val="00DF7D99"/>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DF7D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7D99"/>
    <w:rPr>
      <w:rFonts w:ascii="Tahoma" w:eastAsia="Times New Roman" w:hAnsi="Tahoma" w:cs="Tahoma"/>
      <w:sz w:val="16"/>
      <w:szCs w:val="16"/>
    </w:rPr>
  </w:style>
  <w:style w:type="paragraph" w:styleId="Sraopastraipa">
    <w:name w:val="List Paragraph"/>
    <w:basedOn w:val="prastasis"/>
    <w:uiPriority w:val="34"/>
    <w:qFormat/>
    <w:rsid w:val="00DF7D99"/>
    <w:pPr>
      <w:ind w:left="720"/>
      <w:contextualSpacing/>
    </w:pPr>
  </w:style>
  <w:style w:type="paragraph" w:styleId="Komentarotema">
    <w:name w:val="annotation subject"/>
    <w:basedOn w:val="Komentarotekstas"/>
    <w:next w:val="Komentarotekstas"/>
    <w:link w:val="KomentarotemaDiagrama"/>
    <w:uiPriority w:val="99"/>
    <w:semiHidden/>
    <w:unhideWhenUsed/>
    <w:rsid w:val="00AA5DF1"/>
    <w:rPr>
      <w:b/>
      <w:bCs/>
    </w:rPr>
  </w:style>
  <w:style w:type="character" w:customStyle="1" w:styleId="KomentarotemaDiagrama">
    <w:name w:val="Komentaro tema Diagrama"/>
    <w:basedOn w:val="KomentarotekstasDiagrama"/>
    <w:link w:val="Komentarotema"/>
    <w:uiPriority w:val="99"/>
    <w:semiHidden/>
    <w:rsid w:val="00AA5DF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4308</Words>
  <Characters>2457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Kondratavičiūtė</dc:creator>
  <cp:lastModifiedBy>Ligita Cibulskienė</cp:lastModifiedBy>
  <cp:revision>4</cp:revision>
  <dcterms:created xsi:type="dcterms:W3CDTF">2017-06-29T12:30:00Z</dcterms:created>
  <dcterms:modified xsi:type="dcterms:W3CDTF">2017-07-03T04:49:00Z</dcterms:modified>
</cp:coreProperties>
</file>