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A0" w:rsidRDefault="00F40EA0" w:rsidP="006F6F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7B12933" wp14:editId="42867D11">
            <wp:extent cx="728980" cy="757555"/>
            <wp:effectExtent l="0" t="0" r="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A0" w:rsidRPr="006F6F54" w:rsidRDefault="00F40EA0" w:rsidP="006F6F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F6F54" w:rsidRPr="006F6F54" w:rsidRDefault="006F6F54" w:rsidP="006F6F54">
      <w:pPr>
        <w:keepNext/>
        <w:spacing w:after="0" w:line="240" w:lineRule="auto"/>
        <w:ind w:left="1134" w:right="1134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>TEISĖJŲ TARYBA</w:t>
      </w:r>
    </w:p>
    <w:p w:rsidR="006F6F54" w:rsidRPr="006F6F54" w:rsidRDefault="006F6F54" w:rsidP="006F6F54">
      <w:pPr>
        <w:keepNext/>
        <w:spacing w:after="0" w:line="360" w:lineRule="auto"/>
        <w:ind w:left="1134" w:right="1134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F6F54" w:rsidRPr="006F6F54" w:rsidRDefault="006F6F54" w:rsidP="006F6F54">
      <w:pPr>
        <w:keepNext/>
        <w:spacing w:after="0" w:line="240" w:lineRule="auto"/>
        <w:ind w:left="1134" w:right="1134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>NUTARIMAS</w:t>
      </w:r>
    </w:p>
    <w:p w:rsidR="006F6F54" w:rsidRPr="006F6F54" w:rsidRDefault="006F6F54" w:rsidP="006F6F54">
      <w:pPr>
        <w:keepNext/>
        <w:spacing w:after="0" w:line="240" w:lineRule="auto"/>
        <w:ind w:left="1134" w:right="1134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>DĖL teisėjų TARYBOS 20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14</w:t>
      </w: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KOVO</w:t>
      </w: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4</w:t>
      </w: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D. NUTARIMo nR. 13p-4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1</w:t>
      </w:r>
      <w:r w:rsidR="00D64785">
        <w:rPr>
          <w:rFonts w:ascii="Times New Roman" w:eastAsia="Times New Roman" w:hAnsi="Times New Roman"/>
          <w:b/>
          <w:bCs/>
          <w:caps/>
          <w:sz w:val="24"/>
          <w:szCs w:val="24"/>
        </w:rPr>
        <w:t>-(7.1.2) „</w:t>
      </w: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>DĖL TEISĖJŲ karjeros siekiančių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, Į KITĄ TEISMĄ PERKELIAMŲ AR SKIRIAMŲ</w:t>
      </w: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asmen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ų VERTINIMO KRITERIJŲ PATVIRTINIMO</w:t>
      </w:r>
      <w:r w:rsidRPr="006F6F54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“ PAKEITIMO </w:t>
      </w:r>
    </w:p>
    <w:p w:rsidR="006F6F54" w:rsidRPr="006F6F54" w:rsidRDefault="006F6F54" w:rsidP="006F6F54">
      <w:pPr>
        <w:keepNext/>
        <w:spacing w:after="0" w:line="240" w:lineRule="auto"/>
        <w:ind w:left="1134" w:right="1134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F6F54" w:rsidRPr="006F6F54" w:rsidRDefault="006F6F54" w:rsidP="006F6F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F6F54">
        <w:rPr>
          <w:rFonts w:ascii="Times New Roman" w:eastAsia="Times New Roman" w:hAnsi="Times New Roman"/>
          <w:sz w:val="24"/>
          <w:szCs w:val="24"/>
        </w:rPr>
        <w:t xml:space="preserve">2017 m.  </w:t>
      </w:r>
      <w:r w:rsidR="0095248F">
        <w:rPr>
          <w:rFonts w:ascii="Times New Roman" w:eastAsia="Times New Roman" w:hAnsi="Times New Roman"/>
          <w:sz w:val="24"/>
          <w:szCs w:val="24"/>
        </w:rPr>
        <w:t>birželio 30</w:t>
      </w:r>
      <w:r w:rsidRPr="006F6F54">
        <w:rPr>
          <w:rFonts w:ascii="Times New Roman" w:eastAsia="Times New Roman" w:hAnsi="Times New Roman"/>
          <w:sz w:val="24"/>
          <w:szCs w:val="24"/>
        </w:rPr>
        <w:t xml:space="preserve"> d. Nr. 13P-</w:t>
      </w:r>
      <w:r w:rsidR="00992B8A">
        <w:rPr>
          <w:rFonts w:ascii="Times New Roman" w:eastAsia="Times New Roman" w:hAnsi="Times New Roman"/>
          <w:sz w:val="24"/>
          <w:szCs w:val="24"/>
        </w:rPr>
        <w:t>118</w:t>
      </w:r>
      <w:bookmarkStart w:id="0" w:name="_GoBack"/>
      <w:bookmarkEnd w:id="0"/>
      <w:r w:rsidRPr="006F6F54">
        <w:rPr>
          <w:rFonts w:ascii="Times New Roman" w:eastAsia="Times New Roman" w:hAnsi="Times New Roman"/>
          <w:sz w:val="24"/>
          <w:szCs w:val="24"/>
        </w:rPr>
        <w:t>-(7.1.2)</w:t>
      </w:r>
    </w:p>
    <w:p w:rsidR="006F6F54" w:rsidRPr="006F6F54" w:rsidRDefault="006F6F54" w:rsidP="006F6F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F6F54">
        <w:rPr>
          <w:rFonts w:ascii="Times New Roman" w:eastAsia="Times New Roman" w:hAnsi="Times New Roman"/>
          <w:sz w:val="24"/>
          <w:szCs w:val="24"/>
        </w:rPr>
        <w:t>Vilnius</w:t>
      </w:r>
    </w:p>
    <w:p w:rsidR="006F6F54" w:rsidRPr="006F6F54" w:rsidRDefault="006F6F54" w:rsidP="006F6F54">
      <w:pPr>
        <w:tabs>
          <w:tab w:val="left" w:pos="1296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6F54" w:rsidRDefault="006F6F54" w:rsidP="006F6F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6F5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Vadovaudamasi Lietuvos Respublikos teismų įstatymo Nr. I-480 12, 14, 28, 34, 36, 41, 45, 55</w:t>
      </w:r>
      <w:r w:rsidRPr="006F6F5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>1</w:t>
      </w:r>
      <w:r w:rsidRPr="006F6F5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56, 63, 70, 80, 101, 107, 114, 120 straipsnių</w:t>
      </w:r>
      <w:r w:rsidR="00BA518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Pr="006F6F5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trečiojo skirsnio pavadinimo pakeitimo ir įstatymo papildymo 114</w:t>
      </w:r>
      <w:r w:rsidRPr="006F6F5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>1</w:t>
      </w:r>
      <w:r w:rsidRPr="006F6F5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straipsniu įstatymo 20 straipsniu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>, Teisėjų taryba n u t a r i a:</w:t>
      </w:r>
    </w:p>
    <w:p w:rsidR="00056869" w:rsidRDefault="007A02D1" w:rsidP="007A02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Pakeisti 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>Teisėjų tarybos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14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kov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>o 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 d. nutarim</w:t>
      </w:r>
      <w:r w:rsidR="00056869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 xml:space="preserve"> Nr. 13P-4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>-(7.1.2) „Dėl Teisėjų karjeros siekiančių asmenų atrankos nuostatų patvirtinimo“:</w:t>
      </w:r>
    </w:p>
    <w:p w:rsidR="00056869" w:rsidRPr="006F6F54" w:rsidRDefault="00056869" w:rsidP="000568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1.1. pakeisti 1.3 papunktį ir jį išdėstyti taip:</w:t>
      </w:r>
      <w:r w:rsidRPr="006F6F5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56869" w:rsidRPr="00BE2754" w:rsidRDefault="00056869" w:rsidP="00056869">
      <w:pPr>
        <w:spacing w:after="0" w:line="240" w:lineRule="auto"/>
        <w:ind w:firstLine="748"/>
        <w:jc w:val="both"/>
        <w:rPr>
          <w:rFonts w:ascii="Times New Roman" w:hAnsi="Times New Roman"/>
          <w:b/>
          <w:sz w:val="24"/>
          <w:szCs w:val="24"/>
        </w:rPr>
      </w:pPr>
      <w:r w:rsidRPr="00BE2754">
        <w:rPr>
          <w:rFonts w:ascii="Times New Roman" w:hAnsi="Times New Roman"/>
          <w:sz w:val="24"/>
          <w:szCs w:val="24"/>
        </w:rPr>
        <w:t xml:space="preserve">„1.3. vykdant teisėjų, pageidaujančių būti perkeltais į kitą tos pačios pakopos </w:t>
      </w:r>
      <w:r w:rsidRPr="00056869">
        <w:rPr>
          <w:rFonts w:ascii="Times New Roman" w:hAnsi="Times New Roman"/>
          <w:sz w:val="24"/>
          <w:szCs w:val="24"/>
        </w:rPr>
        <w:t>teismą arba į kitus to paties teismo, kurio teisėjais jie paskirti, rūmus, arba į</w:t>
      </w:r>
      <w:r w:rsidRPr="00BE2754">
        <w:rPr>
          <w:rFonts w:ascii="Times New Roman" w:hAnsi="Times New Roman"/>
          <w:sz w:val="24"/>
          <w:szCs w:val="24"/>
        </w:rPr>
        <w:t xml:space="preserve"> kitos jurisdikcijos tos pačios pakopos teismą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2754">
        <w:rPr>
          <w:rFonts w:ascii="Times New Roman" w:hAnsi="Times New Roman"/>
          <w:sz w:val="24"/>
          <w:szCs w:val="24"/>
        </w:rPr>
        <w:t>atrankas, taip pat teisėjų, pageidaujančių būti paskirtais į žemesnės pakopos teismą arba į kitos jurisdikcijos žemesnės pakopos teismą</w:t>
      </w:r>
      <w:r w:rsidRPr="009D2B58">
        <w:rPr>
          <w:rFonts w:ascii="Times New Roman" w:hAnsi="Times New Roman"/>
          <w:sz w:val="24"/>
          <w:szCs w:val="24"/>
        </w:rPr>
        <w:t>,</w:t>
      </w:r>
      <w:r w:rsidRPr="00BE2754">
        <w:rPr>
          <w:rFonts w:ascii="Times New Roman" w:hAnsi="Times New Roman"/>
          <w:b/>
          <w:sz w:val="24"/>
          <w:szCs w:val="24"/>
        </w:rPr>
        <w:t xml:space="preserve"> </w:t>
      </w:r>
      <w:r w:rsidRPr="00BD4F31">
        <w:rPr>
          <w:rFonts w:ascii="Times New Roman" w:hAnsi="Times New Roman"/>
          <w:sz w:val="24"/>
          <w:szCs w:val="24"/>
        </w:rPr>
        <w:t>ir (ar)</w:t>
      </w:r>
      <w:r w:rsidRPr="00BE2754">
        <w:rPr>
          <w:rFonts w:ascii="Times New Roman" w:hAnsi="Times New Roman"/>
          <w:sz w:val="24"/>
          <w:szCs w:val="24"/>
        </w:rPr>
        <w:t xml:space="preserve"> teisėjų, </w:t>
      </w:r>
      <w:r w:rsidRPr="00056869">
        <w:rPr>
          <w:rFonts w:ascii="Times New Roman" w:hAnsi="Times New Roman"/>
          <w:sz w:val="24"/>
          <w:szCs w:val="24"/>
        </w:rPr>
        <w:t>kurie atitinka Lietuvos Respublikos teismų įstatymo 61 straipsnyje numatytas sąlygas,</w:t>
      </w:r>
      <w:r w:rsidRPr="00BE2754">
        <w:rPr>
          <w:rFonts w:ascii="Times New Roman" w:hAnsi="Times New Roman"/>
          <w:sz w:val="24"/>
          <w:szCs w:val="24"/>
        </w:rPr>
        <w:t xml:space="preserve"> pageidaujančių būti paskirtais į tos pačios ar bet kurį žemesnės pakopos teismą,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754">
        <w:rPr>
          <w:rFonts w:ascii="Times New Roman" w:hAnsi="Times New Roman"/>
          <w:sz w:val="24"/>
          <w:szCs w:val="24"/>
        </w:rPr>
        <w:t xml:space="preserve">atrankas taikomos Asmenų, pageidaujančių būti perkeltais ar paskirtais į kitą tos pačios </w:t>
      </w:r>
      <w:r w:rsidRPr="00056869">
        <w:rPr>
          <w:rFonts w:ascii="Times New Roman" w:hAnsi="Times New Roman"/>
          <w:sz w:val="24"/>
          <w:szCs w:val="24"/>
        </w:rPr>
        <w:t>pakopos teismą arba į kitus teismo, kurio teisėjais jie paskirti, rūmus, arba į kitos jurisdikcijos tos pačios pakopos teismą,</w:t>
      </w:r>
      <w:r w:rsidR="004979E0">
        <w:rPr>
          <w:rFonts w:ascii="Times New Roman" w:hAnsi="Times New Roman"/>
          <w:b/>
          <w:sz w:val="24"/>
          <w:szCs w:val="24"/>
        </w:rPr>
        <w:t xml:space="preserve"> </w:t>
      </w:r>
      <w:r w:rsidRPr="00BE2754">
        <w:rPr>
          <w:rFonts w:ascii="Times New Roman" w:hAnsi="Times New Roman"/>
          <w:sz w:val="24"/>
          <w:szCs w:val="24"/>
        </w:rPr>
        <w:t>ar žemesnės pakopos teismą, vertinimo kriterijus (3 priedas)</w:t>
      </w:r>
      <w:r>
        <w:rPr>
          <w:rFonts w:ascii="Times New Roman" w:hAnsi="Times New Roman"/>
          <w:sz w:val="24"/>
          <w:szCs w:val="24"/>
        </w:rPr>
        <w:t>.“;</w:t>
      </w:r>
      <w:r w:rsidRPr="00BE2754">
        <w:rPr>
          <w:rFonts w:ascii="Times New Roman" w:hAnsi="Times New Roman"/>
          <w:b/>
          <w:sz w:val="24"/>
          <w:szCs w:val="24"/>
        </w:rPr>
        <w:t xml:space="preserve"> 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 pakeisti 1 priedą „Asmenų, siekiančių tarpti aukštesnės pakopos teismo (išskyrus Lietuvos Aukščiausiąjį Teismą) teisėjais, vertinimo kriterijai“:  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1.2.1. pakeisti 3 punktą ir </w:t>
      </w:r>
      <w:r w:rsidR="007B4F74">
        <w:rPr>
          <w:rFonts w:ascii="Times New Roman" w:eastAsia="Times New Roman" w:hAnsi="Times New Roman"/>
          <w:sz w:val="24"/>
          <w:szCs w:val="24"/>
          <w:lang w:eastAsia="lt-LT"/>
        </w:rPr>
        <w:t xml:space="preserve">jį 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taip:</w:t>
      </w:r>
    </w:p>
    <w:p w:rsidR="00056869" w:rsidRDefault="00056869" w:rsidP="000568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84288F">
        <w:rPr>
          <w:rFonts w:ascii="Times New Roman" w:hAnsi="Times New Roman"/>
          <w:sz w:val="24"/>
          <w:szCs w:val="24"/>
        </w:rPr>
        <w:t>3. Teisinio darbo kokybė. Atsižvelgiant į ne mažiau kaip paskutinių trejų metų į teisinio darbo stažą įskaičiuojamo</w:t>
      </w:r>
      <w:r>
        <w:rPr>
          <w:rFonts w:ascii="Times New Roman" w:hAnsi="Times New Roman"/>
          <w:sz w:val="24"/>
          <w:szCs w:val="24"/>
        </w:rPr>
        <w:t xml:space="preserve"> ir atitinkamo aukštesnės pakopos teismo </w:t>
      </w:r>
      <w:r w:rsidRPr="0084288F">
        <w:rPr>
          <w:rFonts w:ascii="Times New Roman" w:hAnsi="Times New Roman"/>
          <w:sz w:val="24"/>
          <w:szCs w:val="24"/>
        </w:rPr>
        <w:t>teisėjo darbui būtin</w:t>
      </w:r>
      <w:r>
        <w:rPr>
          <w:rFonts w:ascii="Times New Roman" w:hAnsi="Times New Roman"/>
          <w:sz w:val="24"/>
          <w:szCs w:val="24"/>
        </w:rPr>
        <w:t>iems</w:t>
      </w:r>
      <w:r w:rsidRPr="0084288F">
        <w:rPr>
          <w:rFonts w:ascii="Times New Roman" w:hAnsi="Times New Roman"/>
          <w:sz w:val="24"/>
          <w:szCs w:val="24"/>
        </w:rPr>
        <w:t xml:space="preserve"> įgūdži</w:t>
      </w:r>
      <w:r>
        <w:rPr>
          <w:rFonts w:ascii="Times New Roman" w:hAnsi="Times New Roman"/>
          <w:sz w:val="24"/>
          <w:szCs w:val="24"/>
        </w:rPr>
        <w:t>ams formuoti reikšmingo</w:t>
      </w:r>
      <w:r w:rsidRPr="0084288F">
        <w:rPr>
          <w:rFonts w:ascii="Times New Roman" w:hAnsi="Times New Roman"/>
          <w:sz w:val="24"/>
          <w:szCs w:val="24"/>
        </w:rPr>
        <w:t xml:space="preserve"> darbo kokybę atspindinčius rodiklius skiriama iki 40 balų. Vertinant teisėj</w:t>
      </w:r>
      <w:r>
        <w:rPr>
          <w:rFonts w:ascii="Times New Roman" w:hAnsi="Times New Roman"/>
          <w:sz w:val="24"/>
          <w:szCs w:val="24"/>
        </w:rPr>
        <w:t>o</w:t>
      </w:r>
      <w:r w:rsidRPr="0084288F">
        <w:rPr>
          <w:rFonts w:ascii="Times New Roman" w:hAnsi="Times New Roman"/>
          <w:sz w:val="24"/>
          <w:szCs w:val="24"/>
        </w:rPr>
        <w:t xml:space="preserve"> darbo kokybę atsižvelgiama į teisėjo veiklos vertinimo rezultatus, teisėjo išnagrinėtų bylų skaičių ir sudėtingumą, darbo krūvį, bylų nagrinėjimo trukmę, vidutinę bylų nagrinėjimo </w:t>
      </w:r>
      <w:r w:rsidRPr="00B845D2">
        <w:rPr>
          <w:rFonts w:ascii="Times New Roman" w:hAnsi="Times New Roman"/>
          <w:sz w:val="24"/>
          <w:szCs w:val="24"/>
        </w:rPr>
        <w:t xml:space="preserve">trukmę teisme, </w:t>
      </w:r>
      <w:r w:rsidRPr="007B4F74">
        <w:rPr>
          <w:rFonts w:ascii="Times New Roman" w:hAnsi="Times New Roman"/>
          <w:sz w:val="24"/>
          <w:szCs w:val="24"/>
        </w:rPr>
        <w:t>o kai teismas sudarytas iš teismo rūmų –</w:t>
      </w:r>
      <w:r w:rsidR="007B4F74">
        <w:rPr>
          <w:rFonts w:ascii="Times New Roman" w:hAnsi="Times New Roman"/>
          <w:sz w:val="24"/>
          <w:szCs w:val="24"/>
        </w:rPr>
        <w:t xml:space="preserve"> </w:t>
      </w:r>
      <w:r w:rsidRPr="007B4F74">
        <w:rPr>
          <w:rFonts w:ascii="Times New Roman" w:hAnsi="Times New Roman"/>
          <w:sz w:val="24"/>
          <w:szCs w:val="24"/>
        </w:rPr>
        <w:t>ir tų teismo rūmų,</w:t>
      </w:r>
      <w:r w:rsidRPr="00B845D2">
        <w:rPr>
          <w:rFonts w:ascii="Times New Roman" w:hAnsi="Times New Roman"/>
          <w:sz w:val="24"/>
          <w:szCs w:val="24"/>
        </w:rPr>
        <w:t xml:space="preserve"> ir </w:t>
      </w:r>
      <w:r w:rsidRPr="007A02D1">
        <w:rPr>
          <w:rFonts w:ascii="Times New Roman" w:hAnsi="Times New Roman"/>
          <w:sz w:val="24"/>
          <w:szCs w:val="24"/>
        </w:rPr>
        <w:t>Lietuvoje,</w:t>
      </w:r>
      <w:r w:rsidRPr="0084288F">
        <w:rPr>
          <w:rFonts w:ascii="Times New Roman" w:hAnsi="Times New Roman"/>
          <w:sz w:val="24"/>
          <w:szCs w:val="24"/>
        </w:rPr>
        <w:t xml:space="preserve"> priimtų teismo sprendimų </w:t>
      </w:r>
      <w:r>
        <w:rPr>
          <w:rFonts w:ascii="Times New Roman" w:hAnsi="Times New Roman"/>
          <w:sz w:val="24"/>
          <w:szCs w:val="24"/>
        </w:rPr>
        <w:t xml:space="preserve">kokybę, jų </w:t>
      </w:r>
      <w:r w:rsidRPr="0084288F">
        <w:rPr>
          <w:rFonts w:ascii="Times New Roman" w:hAnsi="Times New Roman"/>
          <w:sz w:val="24"/>
          <w:szCs w:val="24"/>
        </w:rPr>
        <w:t xml:space="preserve">pakeitimo ir panaikinimo priežastis, pretendento vykdomą taikinamojo tarpininko (mediatoriaus) veiklą ir pan. </w:t>
      </w:r>
      <w:r>
        <w:rPr>
          <w:rFonts w:ascii="Times New Roman" w:hAnsi="Times New Roman"/>
          <w:sz w:val="24"/>
          <w:szCs w:val="24"/>
        </w:rPr>
        <w:t>Vertinant</w:t>
      </w:r>
      <w:r w:rsidRPr="006D2EC5">
        <w:rPr>
          <w:rFonts w:ascii="Times New Roman" w:hAnsi="Times New Roman"/>
          <w:sz w:val="24"/>
          <w:szCs w:val="24"/>
        </w:rPr>
        <w:t xml:space="preserve"> </w:t>
      </w:r>
      <w:r w:rsidRPr="0084288F">
        <w:rPr>
          <w:rFonts w:ascii="Times New Roman" w:hAnsi="Times New Roman"/>
          <w:sz w:val="24"/>
          <w:szCs w:val="24"/>
        </w:rPr>
        <w:t xml:space="preserve">teisinio </w:t>
      </w:r>
      <w:r>
        <w:rPr>
          <w:rFonts w:ascii="Times New Roman" w:hAnsi="Times New Roman"/>
          <w:sz w:val="24"/>
          <w:szCs w:val="24"/>
        </w:rPr>
        <w:t>mokslinio-</w:t>
      </w:r>
      <w:r w:rsidRPr="0084288F">
        <w:rPr>
          <w:rFonts w:ascii="Times New Roman" w:hAnsi="Times New Roman"/>
          <w:sz w:val="24"/>
          <w:szCs w:val="24"/>
        </w:rPr>
        <w:t>pedagoginio darbo kokybę atsižvelgiama į asmens pareigybę universitete, atestacijų rezultatus, pedagoginio darbo krūvį (paskaitų skaičių, vadovavimą studentų tiriamiesiems ir baigiamiesiems darbams, disertacijų oponavimą, dalyvavimą doktorantūros komitetų darbe</w:t>
      </w:r>
      <w:r>
        <w:rPr>
          <w:rFonts w:ascii="Times New Roman" w:hAnsi="Times New Roman"/>
          <w:sz w:val="24"/>
          <w:szCs w:val="24"/>
        </w:rPr>
        <w:t>,</w:t>
      </w:r>
      <w:r w:rsidRPr="0084288F">
        <w:rPr>
          <w:rFonts w:ascii="Times New Roman" w:hAnsi="Times New Roman"/>
          <w:sz w:val="24"/>
          <w:szCs w:val="24"/>
        </w:rPr>
        <w:t xml:space="preserve"> recenz</w:t>
      </w:r>
      <w:r>
        <w:rPr>
          <w:rFonts w:ascii="Times New Roman" w:hAnsi="Times New Roman"/>
          <w:sz w:val="24"/>
          <w:szCs w:val="24"/>
        </w:rPr>
        <w:t>uojant</w:t>
      </w:r>
      <w:r w:rsidRPr="0084288F">
        <w:rPr>
          <w:rFonts w:ascii="Times New Roman" w:hAnsi="Times New Roman"/>
          <w:sz w:val="24"/>
          <w:szCs w:val="24"/>
        </w:rPr>
        <w:t xml:space="preserve"> baigiam</w:t>
      </w:r>
      <w:r>
        <w:rPr>
          <w:rFonts w:ascii="Times New Roman" w:hAnsi="Times New Roman"/>
          <w:sz w:val="24"/>
          <w:szCs w:val="24"/>
        </w:rPr>
        <w:t>uosius</w:t>
      </w:r>
      <w:r w:rsidRPr="0084288F">
        <w:rPr>
          <w:rFonts w:ascii="Times New Roman" w:hAnsi="Times New Roman"/>
          <w:sz w:val="24"/>
          <w:szCs w:val="24"/>
        </w:rPr>
        <w:t xml:space="preserve"> darb</w:t>
      </w:r>
      <w:r>
        <w:rPr>
          <w:rFonts w:ascii="Times New Roman" w:hAnsi="Times New Roman"/>
          <w:sz w:val="24"/>
          <w:szCs w:val="24"/>
        </w:rPr>
        <w:t>us</w:t>
      </w:r>
      <w:r w:rsidRPr="0084288F">
        <w:rPr>
          <w:rFonts w:ascii="Times New Roman" w:hAnsi="Times New Roman"/>
          <w:sz w:val="24"/>
          <w:szCs w:val="24"/>
        </w:rPr>
        <w:t xml:space="preserve"> ir pan.), dalyvavimą mokslinėje veikloje (parengtų monografijų, mokslinių straipsnių recenzuojamuose mokslo leidiniuose skaičių, dalyvavimą atliekant mokslinius tyrimus ir pan.)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288F">
        <w:rPr>
          <w:rFonts w:ascii="Times New Roman" w:hAnsi="Times New Roman"/>
          <w:sz w:val="24"/>
          <w:szCs w:val="24"/>
        </w:rPr>
        <w:t>pretendento vykdomą taikinamojo tarpininko (mediatoriaus) veiklą ir pan. Vertinant kito į teisinio darbo stažą įskaičiuojamo darbo kokybę atsižvelgiama į</w:t>
      </w:r>
      <w:r>
        <w:rPr>
          <w:rFonts w:ascii="Times New Roman" w:hAnsi="Times New Roman"/>
          <w:sz w:val="24"/>
          <w:szCs w:val="24"/>
        </w:rPr>
        <w:t xml:space="preserve"> šio</w:t>
      </w:r>
      <w:r w:rsidRPr="0084288F">
        <w:rPr>
          <w:rFonts w:ascii="Times New Roman" w:hAnsi="Times New Roman"/>
          <w:sz w:val="24"/>
          <w:szCs w:val="24"/>
        </w:rPr>
        <w:t xml:space="preserve"> darbo specifiką atitinkančius rodiklius, kurie</w:t>
      </w:r>
      <w:r>
        <w:rPr>
          <w:rFonts w:ascii="Times New Roman" w:hAnsi="Times New Roman"/>
          <w:sz w:val="24"/>
          <w:szCs w:val="24"/>
        </w:rPr>
        <w:t>ms</w:t>
      </w:r>
      <w:r w:rsidRPr="008428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88F">
        <w:rPr>
          <w:rFonts w:ascii="Times New Roman" w:hAnsi="Times New Roman"/>
          <w:i/>
          <w:sz w:val="24"/>
          <w:szCs w:val="24"/>
        </w:rPr>
        <w:t>mutatis</w:t>
      </w:r>
      <w:proofErr w:type="spellEnd"/>
      <w:r w:rsidRPr="008428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288F">
        <w:rPr>
          <w:rFonts w:ascii="Times New Roman" w:hAnsi="Times New Roman"/>
          <w:i/>
          <w:sz w:val="24"/>
          <w:szCs w:val="24"/>
        </w:rPr>
        <w:t>mutandis</w:t>
      </w:r>
      <w:proofErr w:type="spellEnd"/>
      <w:r w:rsidRPr="0084288F">
        <w:rPr>
          <w:rFonts w:ascii="Times New Roman" w:hAnsi="Times New Roman"/>
          <w:sz w:val="24"/>
          <w:szCs w:val="24"/>
        </w:rPr>
        <w:t xml:space="preserve"> taikomi</w:t>
      </w:r>
      <w:r>
        <w:rPr>
          <w:rFonts w:ascii="Times New Roman" w:hAnsi="Times New Roman"/>
          <w:sz w:val="24"/>
          <w:szCs w:val="24"/>
        </w:rPr>
        <w:t xml:space="preserve"> reikalavimai nustatyti rodikliams, į kuriuos atsižvelgiant vertinama teisėjo darbo kokybė.“; 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1.2.2. pakeisti 4 punktą ir </w:t>
      </w:r>
      <w:r w:rsidR="007B4F74">
        <w:rPr>
          <w:rFonts w:ascii="Times New Roman" w:eastAsia="Times New Roman" w:hAnsi="Times New Roman"/>
          <w:sz w:val="24"/>
          <w:szCs w:val="24"/>
          <w:lang w:eastAsia="lt-LT"/>
        </w:rPr>
        <w:t xml:space="preserve">jį 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taip:</w:t>
      </w:r>
    </w:p>
    <w:p w:rsidR="00056869" w:rsidRPr="00BE2754" w:rsidRDefault="00056869" w:rsidP="000568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731">
        <w:rPr>
          <w:rFonts w:ascii="Times New Roman" w:hAnsi="Times New Roman"/>
          <w:sz w:val="24"/>
          <w:szCs w:val="24"/>
        </w:rPr>
        <w:t xml:space="preserve">„4. Asmeninės savybės, svarbios atitinkamo aukštesnės pakopos teismo teisėjo pareigoms užimti: bendravimo ir organizaciniai gebėjimai, nustatytų profesinės etikos reikalavimų laikymasis, profesinė kultūra. </w:t>
      </w:r>
      <w:r>
        <w:rPr>
          <w:rFonts w:ascii="Times New Roman" w:hAnsi="Times New Roman"/>
          <w:sz w:val="24"/>
          <w:szCs w:val="24"/>
        </w:rPr>
        <w:t>A</w:t>
      </w:r>
      <w:r w:rsidRPr="00035731">
        <w:rPr>
          <w:rFonts w:ascii="Times New Roman" w:hAnsi="Times New Roman"/>
          <w:sz w:val="24"/>
          <w:szCs w:val="24"/>
        </w:rPr>
        <w:t>tsižvelgiant į iš asmens darboviečių, jo darbo kontrolę ar priežiūrą vykdančių ir kitų asmenų gautose motyvuotose charakteristikose, rekomendacijose, nuomonėse bei kituose dokumentuose pateiktą ar pokalbio su asmeniu metu gautą informaciją, taip pat teismo, į kurį pretenduojama, nuomonę, kurioje turi atsispindėti pokalbio su asmeniu metu gautos informacijos pagrindu suformuota šio teismo teisėjų pozicija</w:t>
      </w:r>
      <w:r>
        <w:rPr>
          <w:rFonts w:ascii="Times New Roman" w:hAnsi="Times New Roman"/>
          <w:sz w:val="24"/>
          <w:szCs w:val="24"/>
        </w:rPr>
        <w:t>,</w:t>
      </w:r>
      <w:r w:rsidRPr="00035731">
        <w:rPr>
          <w:rFonts w:ascii="Times New Roman" w:hAnsi="Times New Roman"/>
          <w:sz w:val="24"/>
          <w:szCs w:val="24"/>
        </w:rPr>
        <w:t xml:space="preserve"> </w:t>
      </w:r>
      <w:r w:rsidRPr="007B4F74">
        <w:rPr>
          <w:rFonts w:ascii="Times New Roman" w:hAnsi="Times New Roman"/>
          <w:sz w:val="24"/>
          <w:szCs w:val="24"/>
        </w:rPr>
        <w:t>o kai teismas sudarytas iš teismo rūmų, atsižvelgiama į bendrą teismo nuomonę, kurią sudaro teismo pirmininko ir tų teismo rūmų, į kuriuos pretenduojama, teisėjų pozicija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2754">
        <w:rPr>
          <w:rFonts w:ascii="Times New Roman" w:hAnsi="Times New Roman"/>
          <w:sz w:val="24"/>
          <w:szCs w:val="24"/>
        </w:rPr>
        <w:t>skiriama iki 15 balų.</w:t>
      </w:r>
      <w:r>
        <w:rPr>
          <w:rFonts w:ascii="Times New Roman" w:hAnsi="Times New Roman"/>
          <w:sz w:val="24"/>
          <w:szCs w:val="24"/>
        </w:rPr>
        <w:t>“;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1.3. pakeisti 2 priedą „Asmenų, siekiančių karjeros tos pačios pakopos teismuose, vertinimo kriterijai“: 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1.3.1. pakeisti 3 punktą ir </w:t>
      </w:r>
      <w:r w:rsidR="00A15F6E">
        <w:rPr>
          <w:rFonts w:ascii="Times New Roman" w:eastAsia="Times New Roman" w:hAnsi="Times New Roman"/>
          <w:sz w:val="24"/>
          <w:szCs w:val="24"/>
          <w:lang w:eastAsia="lt-LT"/>
        </w:rPr>
        <w:t xml:space="preserve">jį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išdėstyti jį taip: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4288F">
        <w:rPr>
          <w:rFonts w:ascii="Times New Roman" w:hAnsi="Times New Roman"/>
          <w:sz w:val="24"/>
          <w:szCs w:val="24"/>
        </w:rPr>
        <w:t>3. Teisinio darbo kokybė</w:t>
      </w:r>
      <w:r>
        <w:rPr>
          <w:rFonts w:ascii="Times New Roman" w:hAnsi="Times New Roman"/>
          <w:sz w:val="24"/>
          <w:szCs w:val="24"/>
        </w:rPr>
        <w:t>.</w:t>
      </w:r>
      <w:r w:rsidRPr="0084288F">
        <w:rPr>
          <w:rFonts w:ascii="Times New Roman" w:hAnsi="Times New Roman"/>
          <w:sz w:val="24"/>
          <w:szCs w:val="24"/>
        </w:rPr>
        <w:t xml:space="preserve"> Atsižvelgiant į ne mažiau kaip paskutinių trejų metų į teisinio darbo stažą įskaičiuojamo </w:t>
      </w:r>
      <w:r>
        <w:rPr>
          <w:rFonts w:ascii="Times New Roman" w:hAnsi="Times New Roman"/>
          <w:sz w:val="24"/>
          <w:szCs w:val="24"/>
        </w:rPr>
        <w:t>ir</w:t>
      </w:r>
      <w:r w:rsidRPr="008428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atitinkamo teismo </w:t>
      </w:r>
      <w:r w:rsidRPr="0084288F">
        <w:rPr>
          <w:rFonts w:ascii="Times New Roman" w:hAnsi="Times New Roman"/>
          <w:sz w:val="24"/>
          <w:szCs w:val="24"/>
        </w:rPr>
        <w:t>teisėjo darbui būtin</w:t>
      </w:r>
      <w:r>
        <w:rPr>
          <w:rFonts w:ascii="Times New Roman" w:hAnsi="Times New Roman"/>
          <w:sz w:val="24"/>
          <w:szCs w:val="24"/>
        </w:rPr>
        <w:t>iems</w:t>
      </w:r>
      <w:r w:rsidRPr="0084288F">
        <w:rPr>
          <w:rFonts w:ascii="Times New Roman" w:hAnsi="Times New Roman"/>
          <w:sz w:val="24"/>
          <w:szCs w:val="24"/>
        </w:rPr>
        <w:t xml:space="preserve"> įgūdži</w:t>
      </w:r>
      <w:r>
        <w:rPr>
          <w:rFonts w:ascii="Times New Roman" w:hAnsi="Times New Roman"/>
          <w:sz w:val="24"/>
          <w:szCs w:val="24"/>
        </w:rPr>
        <w:t>ams formuoti reikšmingo</w:t>
      </w:r>
      <w:r w:rsidRPr="0084288F">
        <w:rPr>
          <w:rFonts w:ascii="Times New Roman" w:hAnsi="Times New Roman"/>
          <w:sz w:val="24"/>
          <w:szCs w:val="24"/>
        </w:rPr>
        <w:t xml:space="preserve"> darbo kokybę atspin</w:t>
      </w:r>
      <w:r>
        <w:rPr>
          <w:rFonts w:ascii="Times New Roman" w:hAnsi="Times New Roman"/>
          <w:sz w:val="24"/>
          <w:szCs w:val="24"/>
        </w:rPr>
        <w:t>dinčius rodiklius skiriama iki 25</w:t>
      </w:r>
      <w:r w:rsidRPr="0084288F">
        <w:rPr>
          <w:rFonts w:ascii="Times New Roman" w:hAnsi="Times New Roman"/>
          <w:sz w:val="24"/>
          <w:szCs w:val="24"/>
        </w:rPr>
        <w:t xml:space="preserve"> balų. Vertinant teisėj</w:t>
      </w:r>
      <w:r>
        <w:rPr>
          <w:rFonts w:ascii="Times New Roman" w:hAnsi="Times New Roman"/>
          <w:sz w:val="24"/>
          <w:szCs w:val="24"/>
        </w:rPr>
        <w:t>o</w:t>
      </w:r>
      <w:r w:rsidRPr="0084288F">
        <w:rPr>
          <w:rFonts w:ascii="Times New Roman" w:hAnsi="Times New Roman"/>
          <w:sz w:val="24"/>
          <w:szCs w:val="24"/>
        </w:rPr>
        <w:t xml:space="preserve"> darbo kokybę atsižvelgiama į teisėjo veiklos vertinimo rezultatus, teisėjo išnagrinėtų bylų skaičių ir sudėtingumą, darbo krūvį, bylų nagrinėjimo trukmę, vidutinę </w:t>
      </w:r>
      <w:r w:rsidRPr="00035731">
        <w:rPr>
          <w:rFonts w:ascii="Times New Roman" w:hAnsi="Times New Roman"/>
          <w:sz w:val="24"/>
          <w:szCs w:val="24"/>
        </w:rPr>
        <w:t xml:space="preserve">bylų nagrinėjimo trukmę teisme, </w:t>
      </w:r>
      <w:r w:rsidRPr="00A15F6E">
        <w:rPr>
          <w:rFonts w:ascii="Times New Roman" w:hAnsi="Times New Roman"/>
          <w:sz w:val="24"/>
          <w:szCs w:val="24"/>
        </w:rPr>
        <w:t>o kai teismas sudarytas iš teismo rūmų – ir tų teismo rūmų,</w:t>
      </w:r>
      <w:r w:rsidRPr="00035731">
        <w:rPr>
          <w:rFonts w:ascii="Times New Roman" w:hAnsi="Times New Roman"/>
          <w:sz w:val="24"/>
          <w:szCs w:val="24"/>
        </w:rPr>
        <w:t xml:space="preserve"> ir Lietuvoj</w:t>
      </w:r>
      <w:r w:rsidRPr="007A02D1">
        <w:rPr>
          <w:rFonts w:ascii="Times New Roman" w:hAnsi="Times New Roman"/>
          <w:sz w:val="24"/>
          <w:szCs w:val="24"/>
        </w:rPr>
        <w:t>e,</w:t>
      </w:r>
      <w:r w:rsidRPr="0084288F">
        <w:rPr>
          <w:rFonts w:ascii="Times New Roman" w:hAnsi="Times New Roman"/>
          <w:sz w:val="24"/>
          <w:szCs w:val="24"/>
        </w:rPr>
        <w:t xml:space="preserve"> priimtų teismo sprendimų </w:t>
      </w:r>
      <w:r>
        <w:rPr>
          <w:rFonts w:ascii="Times New Roman" w:hAnsi="Times New Roman"/>
          <w:sz w:val="24"/>
          <w:szCs w:val="24"/>
        </w:rPr>
        <w:t xml:space="preserve">kokybę, jų </w:t>
      </w:r>
      <w:r w:rsidRPr="0084288F">
        <w:rPr>
          <w:rFonts w:ascii="Times New Roman" w:hAnsi="Times New Roman"/>
          <w:sz w:val="24"/>
          <w:szCs w:val="24"/>
        </w:rPr>
        <w:t xml:space="preserve">pakeitimo ir panaikinimo priežastis, pretendento vykdomą taikinamojo tarpininko (mediatoriaus) veiklą ir pan. </w:t>
      </w:r>
      <w:r>
        <w:rPr>
          <w:rFonts w:ascii="Times New Roman" w:hAnsi="Times New Roman"/>
          <w:sz w:val="24"/>
          <w:szCs w:val="24"/>
        </w:rPr>
        <w:t>Vertinant</w:t>
      </w:r>
      <w:r w:rsidRPr="00396A93">
        <w:rPr>
          <w:rFonts w:ascii="Times New Roman" w:hAnsi="Times New Roman"/>
          <w:sz w:val="24"/>
          <w:szCs w:val="24"/>
        </w:rPr>
        <w:t xml:space="preserve"> </w:t>
      </w:r>
      <w:r w:rsidRPr="0084288F">
        <w:rPr>
          <w:rFonts w:ascii="Times New Roman" w:hAnsi="Times New Roman"/>
          <w:sz w:val="24"/>
          <w:szCs w:val="24"/>
        </w:rPr>
        <w:t xml:space="preserve">teisinio </w:t>
      </w:r>
      <w:r>
        <w:rPr>
          <w:rFonts w:ascii="Times New Roman" w:hAnsi="Times New Roman"/>
          <w:sz w:val="24"/>
          <w:szCs w:val="24"/>
        </w:rPr>
        <w:t>mokslinio-</w:t>
      </w:r>
      <w:r w:rsidRPr="0084288F">
        <w:rPr>
          <w:rFonts w:ascii="Times New Roman" w:hAnsi="Times New Roman"/>
          <w:sz w:val="24"/>
          <w:szCs w:val="24"/>
        </w:rPr>
        <w:t>pedagoginio darbo kokybę atsižvelgiama į asmens pareigybę universitete, atestacijų rezultatus, pedagoginio darbo krūvį (paskaitų skaičių, vadovavimą studentų tiriamiesiems ir baigiamiesiems darbams, disertacijų oponavimą, dalyvavimą doktorantūros komitetų darbe recenz</w:t>
      </w:r>
      <w:r>
        <w:rPr>
          <w:rFonts w:ascii="Times New Roman" w:hAnsi="Times New Roman"/>
          <w:sz w:val="24"/>
          <w:szCs w:val="24"/>
        </w:rPr>
        <w:t>uojant</w:t>
      </w:r>
      <w:r w:rsidRPr="0084288F">
        <w:rPr>
          <w:rFonts w:ascii="Times New Roman" w:hAnsi="Times New Roman"/>
          <w:sz w:val="24"/>
          <w:szCs w:val="24"/>
        </w:rPr>
        <w:t xml:space="preserve"> baigiam</w:t>
      </w:r>
      <w:r>
        <w:rPr>
          <w:rFonts w:ascii="Times New Roman" w:hAnsi="Times New Roman"/>
          <w:sz w:val="24"/>
          <w:szCs w:val="24"/>
        </w:rPr>
        <w:t>uosius</w:t>
      </w:r>
      <w:r w:rsidRPr="0084288F">
        <w:rPr>
          <w:rFonts w:ascii="Times New Roman" w:hAnsi="Times New Roman"/>
          <w:sz w:val="24"/>
          <w:szCs w:val="24"/>
        </w:rPr>
        <w:t xml:space="preserve"> darb</w:t>
      </w:r>
      <w:r>
        <w:rPr>
          <w:rFonts w:ascii="Times New Roman" w:hAnsi="Times New Roman"/>
          <w:sz w:val="24"/>
          <w:szCs w:val="24"/>
        </w:rPr>
        <w:t>us</w:t>
      </w:r>
      <w:r w:rsidRPr="0084288F">
        <w:rPr>
          <w:rFonts w:ascii="Times New Roman" w:hAnsi="Times New Roman"/>
          <w:sz w:val="24"/>
          <w:szCs w:val="24"/>
        </w:rPr>
        <w:t xml:space="preserve"> ir pan.), dalyvavimą mokslinėje veikloje (parengtų monografijų, mokslinių straipsnių recenzuojamuose mokslo leidiniuose skaičių, dalyvavimą atliekant mokslinius tyrimus ir pan.)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288F">
        <w:rPr>
          <w:rFonts w:ascii="Times New Roman" w:hAnsi="Times New Roman"/>
          <w:sz w:val="24"/>
          <w:szCs w:val="24"/>
        </w:rPr>
        <w:t>pretendento vykdomą taikinamojo tarpininko (mediatoriaus) veiklą ir pan. Vertinant kito į teisinio darbo stažą įskaičiuojamo darbo kokybę atsižvelgiama į</w:t>
      </w:r>
      <w:r>
        <w:rPr>
          <w:rFonts w:ascii="Times New Roman" w:hAnsi="Times New Roman"/>
          <w:sz w:val="24"/>
          <w:szCs w:val="24"/>
        </w:rPr>
        <w:t xml:space="preserve"> šio</w:t>
      </w:r>
      <w:r w:rsidRPr="0084288F">
        <w:rPr>
          <w:rFonts w:ascii="Times New Roman" w:hAnsi="Times New Roman"/>
          <w:sz w:val="24"/>
          <w:szCs w:val="24"/>
        </w:rPr>
        <w:t xml:space="preserve"> darbo specifiką atitinkančius rodiklius, kurie</w:t>
      </w:r>
      <w:r>
        <w:rPr>
          <w:rFonts w:ascii="Times New Roman" w:hAnsi="Times New Roman"/>
          <w:sz w:val="24"/>
          <w:szCs w:val="24"/>
        </w:rPr>
        <w:t>ms</w:t>
      </w:r>
      <w:r w:rsidRPr="008428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88F">
        <w:rPr>
          <w:rFonts w:ascii="Times New Roman" w:hAnsi="Times New Roman"/>
          <w:i/>
          <w:sz w:val="24"/>
          <w:szCs w:val="24"/>
        </w:rPr>
        <w:t>mutatis</w:t>
      </w:r>
      <w:proofErr w:type="spellEnd"/>
      <w:r w:rsidRPr="008428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288F">
        <w:rPr>
          <w:rFonts w:ascii="Times New Roman" w:hAnsi="Times New Roman"/>
          <w:i/>
          <w:sz w:val="24"/>
          <w:szCs w:val="24"/>
        </w:rPr>
        <w:t>mutandis</w:t>
      </w:r>
      <w:proofErr w:type="spellEnd"/>
      <w:r w:rsidRPr="0084288F">
        <w:rPr>
          <w:rFonts w:ascii="Times New Roman" w:hAnsi="Times New Roman"/>
          <w:sz w:val="24"/>
          <w:szCs w:val="24"/>
        </w:rPr>
        <w:t xml:space="preserve"> taikomi</w:t>
      </w:r>
      <w:r>
        <w:rPr>
          <w:rFonts w:ascii="Times New Roman" w:hAnsi="Times New Roman"/>
          <w:sz w:val="24"/>
          <w:szCs w:val="24"/>
        </w:rPr>
        <w:t xml:space="preserve"> reikalavimai nustatyti rodikliams, į kuriuos atsižvelgiant vertinama teisėjo darbo kokybė.“;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pakeisti 4 punktą ir išdėstyti jį taip:</w:t>
      </w:r>
    </w:p>
    <w:p w:rsidR="00056869" w:rsidRPr="00B9251F" w:rsidRDefault="00056869" w:rsidP="0005686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84288F">
        <w:rPr>
          <w:rFonts w:ascii="Times New Roman" w:hAnsi="Times New Roman"/>
          <w:sz w:val="24"/>
          <w:szCs w:val="24"/>
        </w:rPr>
        <w:t xml:space="preserve">4. Asmeninės savybės, svarbios teismo pirmininko, teismo pirmininko pavaduotojo ar skyriaus pirmininko </w:t>
      </w:r>
      <w:r>
        <w:rPr>
          <w:rFonts w:ascii="Times New Roman" w:hAnsi="Times New Roman"/>
          <w:sz w:val="24"/>
          <w:szCs w:val="24"/>
        </w:rPr>
        <w:t>pareigoms užimti</w:t>
      </w:r>
      <w:r w:rsidRPr="0084288F">
        <w:rPr>
          <w:rFonts w:ascii="Times New Roman" w:hAnsi="Times New Roman"/>
          <w:sz w:val="24"/>
          <w:szCs w:val="24"/>
        </w:rPr>
        <w:t>: bendravimo ir organizaciniai gebėjimai, Teisėjų etikos kodekso laikymasis, profesinė kultūra.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1817BE">
        <w:rPr>
          <w:rFonts w:ascii="Times New Roman" w:hAnsi="Times New Roman"/>
          <w:sz w:val="24"/>
          <w:szCs w:val="24"/>
        </w:rPr>
        <w:t>tsižvelgiant</w:t>
      </w:r>
      <w:r w:rsidRPr="0084288F">
        <w:rPr>
          <w:rFonts w:ascii="Times New Roman" w:hAnsi="Times New Roman"/>
          <w:sz w:val="24"/>
          <w:szCs w:val="24"/>
        </w:rPr>
        <w:t xml:space="preserve"> į iš asmens darboviečių, jo darbo kontrolę ar priežiūrą vykdančių ir kitų asmenų gautose motyvuotose charakteristikose, rekomendacijose, nuomonėse bei kituose dokumentuose pateiktą </w:t>
      </w:r>
      <w:r>
        <w:rPr>
          <w:rFonts w:ascii="Times New Roman" w:hAnsi="Times New Roman"/>
          <w:sz w:val="24"/>
          <w:szCs w:val="24"/>
        </w:rPr>
        <w:t xml:space="preserve">ar pokalbio su asmeniu metu gautą </w:t>
      </w:r>
      <w:r w:rsidRPr="0084288F">
        <w:rPr>
          <w:rFonts w:ascii="Times New Roman" w:hAnsi="Times New Roman"/>
          <w:sz w:val="24"/>
          <w:szCs w:val="24"/>
        </w:rPr>
        <w:t xml:space="preserve">informaciją, taip </w:t>
      </w:r>
      <w:r w:rsidRPr="00B9251F">
        <w:rPr>
          <w:rFonts w:ascii="Times New Roman" w:hAnsi="Times New Roman"/>
          <w:sz w:val="24"/>
          <w:szCs w:val="24"/>
        </w:rPr>
        <w:t>pat teismo, į kurį pretenduojama, darbuotojų apklausos metu gautą nuomonę,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F6E">
        <w:rPr>
          <w:rFonts w:ascii="Times New Roman" w:hAnsi="Times New Roman"/>
          <w:sz w:val="24"/>
          <w:szCs w:val="24"/>
        </w:rPr>
        <w:t>o kai  teismas sudarytas iš teismo rūmų, atsižvelgiama į bendrą teismo nuomonę, kurią sudaro visų teismo, į kurį pretenduojama, rūmų darbuotojų pozicija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251F">
        <w:rPr>
          <w:rFonts w:ascii="Times New Roman" w:hAnsi="Times New Roman"/>
          <w:sz w:val="24"/>
          <w:szCs w:val="24"/>
        </w:rPr>
        <w:t xml:space="preserve"> </w:t>
      </w:r>
      <w:r w:rsidRPr="001817BE">
        <w:rPr>
          <w:rFonts w:ascii="Times New Roman" w:hAnsi="Times New Roman"/>
          <w:sz w:val="24"/>
          <w:szCs w:val="24"/>
        </w:rPr>
        <w:t>skiriama iki 20 balų.</w:t>
      </w:r>
      <w:r w:rsidR="00A0518A">
        <w:rPr>
          <w:rFonts w:ascii="Times New Roman" w:hAnsi="Times New Roman"/>
          <w:sz w:val="24"/>
          <w:szCs w:val="24"/>
        </w:rPr>
        <w:t>“;</w:t>
      </w:r>
      <w:r w:rsidRPr="00B9251F">
        <w:rPr>
          <w:rFonts w:ascii="Times New Roman" w:hAnsi="Times New Roman"/>
          <w:strike/>
          <w:sz w:val="24"/>
          <w:szCs w:val="24"/>
        </w:rPr>
        <w:t xml:space="preserve"> 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B9251F">
        <w:rPr>
          <w:rFonts w:ascii="Times New Roman" w:eastAsia="Times New Roman" w:hAnsi="Times New Roman"/>
          <w:sz w:val="24"/>
          <w:szCs w:val="24"/>
          <w:lang w:eastAsia="lt-LT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3 priedą „Asmenų, pageidaujančių būti perkeltais ar paskirtais į kitą tos pačios ar žemesnės pakopos teismą, vertinimo kriterijai“: </w:t>
      </w:r>
    </w:p>
    <w:p w:rsidR="00056869" w:rsidRDefault="00056869" w:rsidP="00056869">
      <w:pPr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1.4.1. pakeisti 2 punktą ir </w:t>
      </w:r>
      <w:r w:rsidR="00A0518A">
        <w:rPr>
          <w:rFonts w:ascii="Times New Roman" w:eastAsia="Times New Roman" w:hAnsi="Times New Roman"/>
          <w:sz w:val="24"/>
          <w:szCs w:val="24"/>
          <w:lang w:eastAsia="lt-LT"/>
        </w:rPr>
        <w:t xml:space="preserve">jį </w:t>
      </w:r>
      <w:r w:rsidR="009922FF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taip:</w:t>
      </w:r>
    </w:p>
    <w:p w:rsidR="00056869" w:rsidRDefault="00056869" w:rsidP="000568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4288F">
        <w:rPr>
          <w:rFonts w:ascii="Times New Roman" w:hAnsi="Times New Roman"/>
          <w:sz w:val="24"/>
          <w:szCs w:val="24"/>
        </w:rPr>
        <w:t>2. Darbo teisėju kokybė</w:t>
      </w:r>
      <w:r>
        <w:rPr>
          <w:rFonts w:ascii="Times New Roman" w:hAnsi="Times New Roman"/>
          <w:sz w:val="24"/>
          <w:szCs w:val="24"/>
        </w:rPr>
        <w:t>.</w:t>
      </w:r>
      <w:r w:rsidRPr="0084288F">
        <w:rPr>
          <w:rFonts w:ascii="Times New Roman" w:hAnsi="Times New Roman"/>
          <w:sz w:val="24"/>
          <w:szCs w:val="24"/>
        </w:rPr>
        <w:t xml:space="preserve"> Atsižvelgiant į ne mažiau kaip paskutinių trejų metų veiklos</w:t>
      </w:r>
      <w:r>
        <w:rPr>
          <w:rFonts w:ascii="Times New Roman" w:hAnsi="Times New Roman"/>
          <w:sz w:val="24"/>
          <w:szCs w:val="24"/>
        </w:rPr>
        <w:t xml:space="preserve"> dirbant teisėju</w:t>
      </w:r>
      <w:r w:rsidRPr="0084288F">
        <w:rPr>
          <w:rFonts w:ascii="Times New Roman" w:hAnsi="Times New Roman"/>
          <w:sz w:val="24"/>
          <w:szCs w:val="24"/>
        </w:rPr>
        <w:t xml:space="preserve"> vertinimo rezultatus, </w:t>
      </w:r>
      <w:r>
        <w:rPr>
          <w:rFonts w:ascii="Times New Roman" w:hAnsi="Times New Roman"/>
          <w:sz w:val="24"/>
          <w:szCs w:val="24"/>
        </w:rPr>
        <w:t>tuo metu</w:t>
      </w:r>
      <w:r w:rsidRPr="0084288F">
        <w:rPr>
          <w:rFonts w:ascii="Times New Roman" w:hAnsi="Times New Roman"/>
          <w:sz w:val="24"/>
          <w:szCs w:val="24"/>
        </w:rPr>
        <w:t xml:space="preserve"> išnagrinėtų bylų skaičių ir sudėtingumą, darbo krūvį, bylų nagrinėjimo trukmę, vidutinę bylų nagrinėjimo </w:t>
      </w:r>
      <w:r w:rsidRPr="00DC565E">
        <w:rPr>
          <w:rFonts w:ascii="Times New Roman" w:hAnsi="Times New Roman"/>
          <w:sz w:val="24"/>
          <w:szCs w:val="24"/>
        </w:rPr>
        <w:t xml:space="preserve">trukmę teisme, </w:t>
      </w:r>
      <w:r w:rsidRPr="009F1D79">
        <w:rPr>
          <w:rFonts w:ascii="Times New Roman" w:hAnsi="Times New Roman"/>
          <w:sz w:val="24"/>
          <w:szCs w:val="24"/>
        </w:rPr>
        <w:t>o kai teismas sudarytas iš teismo rūmų – ir tų teismo rūmų,</w:t>
      </w:r>
      <w:r w:rsidRPr="00DC565E">
        <w:rPr>
          <w:rFonts w:ascii="Times New Roman" w:hAnsi="Times New Roman"/>
          <w:sz w:val="24"/>
          <w:szCs w:val="24"/>
        </w:rPr>
        <w:t xml:space="preserve"> ir Lietuvoje,</w:t>
      </w:r>
      <w:r w:rsidRPr="0084288F">
        <w:rPr>
          <w:rFonts w:ascii="Times New Roman" w:hAnsi="Times New Roman"/>
          <w:sz w:val="24"/>
          <w:szCs w:val="24"/>
        </w:rPr>
        <w:t xml:space="preserve"> priimtų teismo sprendimų</w:t>
      </w:r>
      <w:r>
        <w:rPr>
          <w:rFonts w:ascii="Times New Roman" w:hAnsi="Times New Roman"/>
          <w:sz w:val="24"/>
          <w:szCs w:val="24"/>
        </w:rPr>
        <w:t xml:space="preserve"> kokybę, jų </w:t>
      </w:r>
      <w:r w:rsidRPr="0084288F">
        <w:rPr>
          <w:rFonts w:ascii="Times New Roman" w:hAnsi="Times New Roman"/>
          <w:sz w:val="24"/>
          <w:szCs w:val="24"/>
        </w:rPr>
        <w:t>pakeitimo ir panaikinimo priežastis, pretendento vykdomą taikinamojo tarpininko (mediatoriaus) veiklą ir pan.</w:t>
      </w:r>
      <w:r w:rsidR="009F1D79">
        <w:rPr>
          <w:rFonts w:ascii="Times New Roman" w:hAnsi="Times New Roman"/>
          <w:strike/>
          <w:sz w:val="24"/>
          <w:szCs w:val="24"/>
        </w:rPr>
        <w:t xml:space="preserve"> </w:t>
      </w:r>
      <w:r w:rsidRPr="00A16F03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88F">
        <w:rPr>
          <w:rFonts w:ascii="Times New Roman" w:hAnsi="Times New Roman"/>
          <w:sz w:val="24"/>
          <w:szCs w:val="24"/>
        </w:rPr>
        <w:t>skiriama iki 3</w:t>
      </w:r>
      <w:r>
        <w:rPr>
          <w:rFonts w:ascii="Times New Roman" w:hAnsi="Times New Roman"/>
          <w:sz w:val="24"/>
          <w:szCs w:val="24"/>
        </w:rPr>
        <w:t>5</w:t>
      </w:r>
      <w:r w:rsidRPr="0084288F">
        <w:rPr>
          <w:rFonts w:ascii="Times New Roman" w:hAnsi="Times New Roman"/>
          <w:sz w:val="24"/>
          <w:szCs w:val="24"/>
        </w:rPr>
        <w:t xml:space="preserve"> balų</w:t>
      </w:r>
      <w:r>
        <w:rPr>
          <w:rFonts w:ascii="Times New Roman" w:hAnsi="Times New Roman"/>
          <w:sz w:val="24"/>
          <w:szCs w:val="24"/>
        </w:rPr>
        <w:t>.“;</w:t>
      </w:r>
    </w:p>
    <w:p w:rsidR="00056869" w:rsidRDefault="00056869" w:rsidP="000568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1.4.2. pakeisti 3 punktą ir išdėstyti jį taip:</w:t>
      </w:r>
    </w:p>
    <w:p w:rsidR="00056869" w:rsidRPr="00056869" w:rsidRDefault="00056869" w:rsidP="000568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4288F">
        <w:rPr>
          <w:rFonts w:ascii="Times New Roman" w:hAnsi="Times New Roman"/>
          <w:sz w:val="24"/>
          <w:szCs w:val="24"/>
        </w:rPr>
        <w:t>3. Asmeninės savybės</w:t>
      </w:r>
      <w:r>
        <w:rPr>
          <w:rFonts w:ascii="Times New Roman" w:hAnsi="Times New Roman"/>
          <w:sz w:val="24"/>
          <w:szCs w:val="24"/>
        </w:rPr>
        <w:t>,</w:t>
      </w:r>
      <w:r w:rsidRPr="00DE572E">
        <w:rPr>
          <w:rFonts w:ascii="Times New Roman" w:hAnsi="Times New Roman"/>
          <w:sz w:val="24"/>
          <w:szCs w:val="24"/>
        </w:rPr>
        <w:t xml:space="preserve"> </w:t>
      </w:r>
      <w:r w:rsidRPr="0084288F">
        <w:rPr>
          <w:rFonts w:ascii="Times New Roman" w:hAnsi="Times New Roman"/>
          <w:sz w:val="24"/>
          <w:szCs w:val="24"/>
        </w:rPr>
        <w:t xml:space="preserve">svarbios </w:t>
      </w:r>
      <w:r>
        <w:rPr>
          <w:rFonts w:ascii="Times New Roman" w:hAnsi="Times New Roman"/>
          <w:sz w:val="24"/>
          <w:szCs w:val="24"/>
        </w:rPr>
        <w:t xml:space="preserve">atitinkamo </w:t>
      </w:r>
      <w:r w:rsidRPr="0084288F">
        <w:rPr>
          <w:rFonts w:ascii="Times New Roman" w:hAnsi="Times New Roman"/>
          <w:sz w:val="24"/>
          <w:szCs w:val="24"/>
        </w:rPr>
        <w:t xml:space="preserve">teismo teisėjo </w:t>
      </w:r>
      <w:r>
        <w:rPr>
          <w:rFonts w:ascii="Times New Roman" w:hAnsi="Times New Roman"/>
          <w:sz w:val="24"/>
          <w:szCs w:val="24"/>
        </w:rPr>
        <w:t>pareigoms užimti</w:t>
      </w:r>
      <w:r w:rsidRPr="0084288F">
        <w:rPr>
          <w:rFonts w:ascii="Times New Roman" w:hAnsi="Times New Roman"/>
          <w:sz w:val="24"/>
          <w:szCs w:val="24"/>
        </w:rPr>
        <w:t>: bendravimo ir organizaciniai gebėjimai, Teisėjų etikos kodekso laikymasis, profesinė kultūra.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AA8">
        <w:rPr>
          <w:rFonts w:ascii="Times New Roman" w:hAnsi="Times New Roman"/>
          <w:sz w:val="24"/>
          <w:szCs w:val="24"/>
        </w:rPr>
        <w:lastRenderedPageBreak/>
        <w:t>A</w:t>
      </w:r>
      <w:r w:rsidRPr="0084288F">
        <w:rPr>
          <w:rFonts w:ascii="Times New Roman" w:hAnsi="Times New Roman"/>
          <w:sz w:val="24"/>
          <w:szCs w:val="24"/>
        </w:rPr>
        <w:t xml:space="preserve">tsižvelgiant į teismo pirmininko, atliekančio administracinės veiklos priežiūrą, ir teismo, kuriame teisėjas dirba, </w:t>
      </w:r>
      <w:r w:rsidRPr="00DC565E">
        <w:rPr>
          <w:rFonts w:ascii="Times New Roman" w:hAnsi="Times New Roman"/>
          <w:sz w:val="24"/>
          <w:szCs w:val="24"/>
        </w:rPr>
        <w:t>pirmininko motyvuotose nuomonėse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88F">
        <w:rPr>
          <w:rFonts w:ascii="Times New Roman" w:hAnsi="Times New Roman"/>
          <w:sz w:val="24"/>
          <w:szCs w:val="24"/>
        </w:rPr>
        <w:t xml:space="preserve">bei kituose dokumentuose pateiktą </w:t>
      </w:r>
      <w:r>
        <w:rPr>
          <w:rFonts w:ascii="Times New Roman" w:hAnsi="Times New Roman"/>
          <w:sz w:val="24"/>
          <w:szCs w:val="24"/>
        </w:rPr>
        <w:t xml:space="preserve">ar pokalbio su asmeniu metu gautą </w:t>
      </w:r>
      <w:r w:rsidRPr="0084288F">
        <w:rPr>
          <w:rFonts w:ascii="Times New Roman" w:hAnsi="Times New Roman"/>
          <w:sz w:val="24"/>
          <w:szCs w:val="24"/>
        </w:rPr>
        <w:t xml:space="preserve">informaciją, </w:t>
      </w:r>
      <w:r w:rsidRPr="00DC565E">
        <w:rPr>
          <w:rFonts w:ascii="Times New Roman" w:hAnsi="Times New Roman"/>
          <w:sz w:val="24"/>
          <w:szCs w:val="24"/>
        </w:rPr>
        <w:t>taip pat teismo, į kurį pretenduojama,</w:t>
      </w:r>
      <w:r w:rsidRPr="008428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nuomonę, kurioje turi atsispindėti pokalbio su asmeniu metu gautos informacijos pagrindu suformuota šio teismo teisėjų pozicija</w:t>
      </w:r>
      <w:r w:rsidRPr="00507727">
        <w:rPr>
          <w:rFonts w:ascii="Times New Roman" w:hAnsi="Times New Roman"/>
          <w:sz w:val="24"/>
          <w:szCs w:val="24"/>
        </w:rPr>
        <w:t>, o kai teismas sudarytas iš teismo rūmų, atsižvelgiama į bendrą teismo nuomonę, kurią sudaro teismo pirmininko ir tų teismo rūmų, į kuriuos pretenduojama, teisėjų pozicija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3BC6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2AA8">
        <w:rPr>
          <w:rFonts w:ascii="Times New Roman" w:hAnsi="Times New Roman"/>
          <w:sz w:val="24"/>
          <w:szCs w:val="24"/>
        </w:rPr>
        <w:t>skiriama iki 15 balų.“</w:t>
      </w:r>
      <w:r>
        <w:rPr>
          <w:rFonts w:ascii="Times New Roman" w:hAnsi="Times New Roman"/>
          <w:sz w:val="24"/>
          <w:szCs w:val="24"/>
        </w:rPr>
        <w:t>.</w:t>
      </w:r>
    </w:p>
    <w:p w:rsidR="006F6F54" w:rsidRDefault="00907841" w:rsidP="006F6F54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6F6F54" w:rsidRPr="006F6F54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6F6F54" w:rsidRPr="006F6F5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6F6F54" w:rsidRPr="006F6F54">
        <w:rPr>
          <w:rFonts w:ascii="Times New Roman" w:eastAsia="Times New Roman" w:hAnsi="Times New Roman"/>
          <w:sz w:val="24"/>
          <w:szCs w:val="24"/>
          <w:lang w:eastAsia="lt-LT"/>
        </w:rPr>
        <w:t>Šis nutarimas įsigalioja 2018 m. sausio 1 d.</w:t>
      </w:r>
    </w:p>
    <w:p w:rsidR="00682191" w:rsidRDefault="00682191" w:rsidP="006F6F54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82191" w:rsidRPr="006F6F54" w:rsidRDefault="00682191" w:rsidP="006F6F54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6F54" w:rsidRPr="006F6F54" w:rsidRDefault="006F6F54" w:rsidP="006F6F54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6F54" w:rsidRPr="006F6F54" w:rsidRDefault="006F6F54" w:rsidP="006F6F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6F54">
        <w:rPr>
          <w:rFonts w:ascii="Times New Roman" w:eastAsia="Times New Roman" w:hAnsi="Times New Roman"/>
          <w:sz w:val="24"/>
          <w:szCs w:val="24"/>
        </w:rPr>
        <w:t xml:space="preserve">Pirmininkas                                                                                              </w:t>
      </w:r>
      <w:r w:rsidR="009524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6F54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95248F">
        <w:rPr>
          <w:rFonts w:ascii="Times New Roman" w:eastAsia="Times New Roman" w:hAnsi="Times New Roman"/>
          <w:sz w:val="24"/>
          <w:szCs w:val="24"/>
        </w:rPr>
        <w:t xml:space="preserve">Rimvydas Norkus </w:t>
      </w:r>
    </w:p>
    <w:p w:rsidR="006F6F54" w:rsidRPr="006F6F54" w:rsidRDefault="006F6F54" w:rsidP="006F6F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6F54" w:rsidRPr="006F6F54" w:rsidRDefault="006F6F54" w:rsidP="006F6F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F6F54" w:rsidRPr="006F6F54" w:rsidTr="006D3179">
        <w:tc>
          <w:tcPr>
            <w:tcW w:w="7308" w:type="dxa"/>
          </w:tcPr>
          <w:p w:rsidR="0095248F" w:rsidRDefault="0095248F" w:rsidP="006F6F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Teisėjų tarybos narys,</w:t>
            </w:r>
          </w:p>
          <w:p w:rsidR="006F6F54" w:rsidRPr="006F6F54" w:rsidRDefault="0095248F" w:rsidP="0095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atliekantis s</w:t>
            </w:r>
            <w:r w:rsidR="006F6F54" w:rsidRPr="006F6F54">
              <w:rPr>
                <w:rFonts w:ascii="Times New Roman" w:eastAsia="Times New Roman" w:hAnsi="Times New Roman"/>
                <w:sz w:val="24"/>
                <w:szCs w:val="24"/>
              </w:rPr>
              <w:t>ekretori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6F6F54" w:rsidRPr="006F6F54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funkcijas</w:t>
            </w:r>
          </w:p>
        </w:tc>
        <w:tc>
          <w:tcPr>
            <w:tcW w:w="2490" w:type="dxa"/>
          </w:tcPr>
          <w:p w:rsidR="0095248F" w:rsidRDefault="0095248F" w:rsidP="006F6F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6F54" w:rsidRPr="006F6F54" w:rsidRDefault="0095248F" w:rsidP="006F6F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Egidijus Laužikas</w:t>
            </w:r>
          </w:p>
        </w:tc>
      </w:tr>
    </w:tbl>
    <w:p w:rsidR="00F26DFE" w:rsidRDefault="00F26DFE" w:rsidP="000242C7"/>
    <w:sectPr w:rsidR="00F26DFE" w:rsidSect="00551FCC">
      <w:headerReference w:type="default" r:id="rId9"/>
      <w:pgSz w:w="11906" w:h="16838"/>
      <w:pgMar w:top="1134" w:right="101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44" w:rsidRDefault="00784D44" w:rsidP="00551FCC">
      <w:pPr>
        <w:spacing w:after="0" w:line="240" w:lineRule="auto"/>
      </w:pPr>
      <w:r>
        <w:separator/>
      </w:r>
    </w:p>
  </w:endnote>
  <w:endnote w:type="continuationSeparator" w:id="0">
    <w:p w:rsidR="00784D44" w:rsidRDefault="00784D44" w:rsidP="0055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44" w:rsidRDefault="00784D44" w:rsidP="00551FCC">
      <w:pPr>
        <w:spacing w:after="0" w:line="240" w:lineRule="auto"/>
      </w:pPr>
      <w:r>
        <w:separator/>
      </w:r>
    </w:p>
  </w:footnote>
  <w:footnote w:type="continuationSeparator" w:id="0">
    <w:p w:rsidR="00784D44" w:rsidRDefault="00784D44" w:rsidP="0055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33744"/>
      <w:docPartObj>
        <w:docPartGallery w:val="Page Numbers (Top of Page)"/>
        <w:docPartUnique/>
      </w:docPartObj>
    </w:sdtPr>
    <w:sdtEndPr/>
    <w:sdtContent>
      <w:p w:rsidR="00551FCC" w:rsidRDefault="007704E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B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1FCC" w:rsidRDefault="00551F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94"/>
    <w:rsid w:val="00017ABD"/>
    <w:rsid w:val="000242C7"/>
    <w:rsid w:val="00035731"/>
    <w:rsid w:val="00041594"/>
    <w:rsid w:val="00056298"/>
    <w:rsid w:val="00056869"/>
    <w:rsid w:val="00061CDD"/>
    <w:rsid w:val="00074FC2"/>
    <w:rsid w:val="000E12DD"/>
    <w:rsid w:val="00106CCF"/>
    <w:rsid w:val="0011078E"/>
    <w:rsid w:val="0011255B"/>
    <w:rsid w:val="00137C16"/>
    <w:rsid w:val="00171546"/>
    <w:rsid w:val="001741F0"/>
    <w:rsid w:val="001817BE"/>
    <w:rsid w:val="00187C67"/>
    <w:rsid w:val="001C701D"/>
    <w:rsid w:val="001D5C8D"/>
    <w:rsid w:val="001F52C4"/>
    <w:rsid w:val="00205A81"/>
    <w:rsid w:val="002302B9"/>
    <w:rsid w:val="00282CA7"/>
    <w:rsid w:val="002C180E"/>
    <w:rsid w:val="002D2D76"/>
    <w:rsid w:val="002F374E"/>
    <w:rsid w:val="00305DDE"/>
    <w:rsid w:val="0032647B"/>
    <w:rsid w:val="00354762"/>
    <w:rsid w:val="0036193D"/>
    <w:rsid w:val="00365CC7"/>
    <w:rsid w:val="0039504E"/>
    <w:rsid w:val="00396A93"/>
    <w:rsid w:val="003A7968"/>
    <w:rsid w:val="003D31C9"/>
    <w:rsid w:val="003E6C13"/>
    <w:rsid w:val="004270B8"/>
    <w:rsid w:val="004979E0"/>
    <w:rsid w:val="00507727"/>
    <w:rsid w:val="00551FCC"/>
    <w:rsid w:val="005D63A4"/>
    <w:rsid w:val="005D716E"/>
    <w:rsid w:val="005D7961"/>
    <w:rsid w:val="00601C9D"/>
    <w:rsid w:val="00611403"/>
    <w:rsid w:val="00682191"/>
    <w:rsid w:val="006D2EC5"/>
    <w:rsid w:val="006E0246"/>
    <w:rsid w:val="006F0E94"/>
    <w:rsid w:val="006F2E95"/>
    <w:rsid w:val="006F6F54"/>
    <w:rsid w:val="00741A2E"/>
    <w:rsid w:val="007704E8"/>
    <w:rsid w:val="00773DB2"/>
    <w:rsid w:val="00784D44"/>
    <w:rsid w:val="007A02D1"/>
    <w:rsid w:val="007B4F74"/>
    <w:rsid w:val="0084288F"/>
    <w:rsid w:val="008563F0"/>
    <w:rsid w:val="0089775D"/>
    <w:rsid w:val="008B022C"/>
    <w:rsid w:val="008E3477"/>
    <w:rsid w:val="00907841"/>
    <w:rsid w:val="00926E44"/>
    <w:rsid w:val="009278A2"/>
    <w:rsid w:val="009440C5"/>
    <w:rsid w:val="00945454"/>
    <w:rsid w:val="0095248F"/>
    <w:rsid w:val="009535F7"/>
    <w:rsid w:val="00963C11"/>
    <w:rsid w:val="009860A0"/>
    <w:rsid w:val="009922FF"/>
    <w:rsid w:val="00992B8A"/>
    <w:rsid w:val="009A2989"/>
    <w:rsid w:val="009F1D79"/>
    <w:rsid w:val="00A0518A"/>
    <w:rsid w:val="00A14B45"/>
    <w:rsid w:val="00A15F6E"/>
    <w:rsid w:val="00A746BA"/>
    <w:rsid w:val="00AF28BD"/>
    <w:rsid w:val="00AF4CD8"/>
    <w:rsid w:val="00AF6F7E"/>
    <w:rsid w:val="00B80C28"/>
    <w:rsid w:val="00B845D2"/>
    <w:rsid w:val="00B9251F"/>
    <w:rsid w:val="00BA4773"/>
    <w:rsid w:val="00BA518F"/>
    <w:rsid w:val="00BE0991"/>
    <w:rsid w:val="00BE1FCD"/>
    <w:rsid w:val="00BE2754"/>
    <w:rsid w:val="00C17FBD"/>
    <w:rsid w:val="00C25B0E"/>
    <w:rsid w:val="00C27ED1"/>
    <w:rsid w:val="00C52D68"/>
    <w:rsid w:val="00C60FEA"/>
    <w:rsid w:val="00CA024D"/>
    <w:rsid w:val="00CC5764"/>
    <w:rsid w:val="00CD09B4"/>
    <w:rsid w:val="00CF1850"/>
    <w:rsid w:val="00D05010"/>
    <w:rsid w:val="00D116E8"/>
    <w:rsid w:val="00D325E1"/>
    <w:rsid w:val="00D337BF"/>
    <w:rsid w:val="00D36A98"/>
    <w:rsid w:val="00D424F0"/>
    <w:rsid w:val="00D6431F"/>
    <w:rsid w:val="00D64785"/>
    <w:rsid w:val="00DA5382"/>
    <w:rsid w:val="00DC565E"/>
    <w:rsid w:val="00DD76CA"/>
    <w:rsid w:val="00DE2AA8"/>
    <w:rsid w:val="00DE572E"/>
    <w:rsid w:val="00E30F76"/>
    <w:rsid w:val="00E32DC9"/>
    <w:rsid w:val="00E36F86"/>
    <w:rsid w:val="00E40226"/>
    <w:rsid w:val="00E90856"/>
    <w:rsid w:val="00EB0CB2"/>
    <w:rsid w:val="00ED33DD"/>
    <w:rsid w:val="00F05E3F"/>
    <w:rsid w:val="00F26DFE"/>
    <w:rsid w:val="00F40EA0"/>
    <w:rsid w:val="00F65E2A"/>
    <w:rsid w:val="00F92349"/>
    <w:rsid w:val="00F93825"/>
    <w:rsid w:val="00FA2849"/>
    <w:rsid w:val="00FB4440"/>
    <w:rsid w:val="00FB6E31"/>
    <w:rsid w:val="00F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9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rsid w:val="00D116E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11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D116E8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11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116E8"/>
    <w:rPr>
      <w:rFonts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D1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116E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rsid w:val="00CD09B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6F6F5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F6F54"/>
    <w:rPr>
      <w:rFonts w:ascii="Times New Roman" w:eastAsia="Times New Roman" w:hAnsi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51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FC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51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1F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9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rsid w:val="00D116E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11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D116E8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11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116E8"/>
    <w:rPr>
      <w:rFonts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D1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116E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rsid w:val="00CD09B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6F6F5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F6F54"/>
    <w:rPr>
      <w:rFonts w:ascii="Times New Roman" w:eastAsia="Times New Roman" w:hAnsi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51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FC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51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1F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E405-882F-4922-9676-7175517A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5320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(2)</vt:lpstr>
      <vt:lpstr>Projektas (2)</vt:lpstr>
    </vt:vector>
  </TitlesOfParts>
  <Company>Hewlett-Packard Company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(2)</dc:title>
  <dc:creator>Tomas Vaitkevičius</dc:creator>
  <cp:lastModifiedBy>Ligita Cibulskienė</cp:lastModifiedBy>
  <cp:revision>4</cp:revision>
  <cp:lastPrinted>2017-05-26T06:33:00Z</cp:lastPrinted>
  <dcterms:created xsi:type="dcterms:W3CDTF">2017-07-03T06:59:00Z</dcterms:created>
  <dcterms:modified xsi:type="dcterms:W3CDTF">2017-07-03T08:10:00Z</dcterms:modified>
</cp:coreProperties>
</file>