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BF6F5" w14:textId="77777777" w:rsidR="00E8118A" w:rsidRDefault="00E8118A" w:rsidP="00DF7D99">
      <w:pPr>
        <w:keepNext/>
        <w:ind w:left="1134" w:right="1134"/>
        <w:jc w:val="center"/>
        <w:outlineLvl w:val="0"/>
        <w:rPr>
          <w:b/>
          <w:bCs/>
          <w:caps/>
        </w:rPr>
      </w:pPr>
      <w:r>
        <w:rPr>
          <w:rFonts w:ascii="Calibri" w:eastAsia="Calibri" w:hAnsi="Calibri"/>
          <w:noProof/>
          <w:sz w:val="20"/>
          <w:szCs w:val="22"/>
          <w:lang w:eastAsia="lt-LT"/>
        </w:rPr>
        <w:drawing>
          <wp:inline distT="0" distB="0" distL="0" distR="0" wp14:anchorId="28DBA2D6" wp14:editId="0D02A3F1">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23A5CBBD" w14:textId="395810DE" w:rsidR="00DF7D99" w:rsidRPr="003F54AB" w:rsidRDefault="00DF7D99" w:rsidP="00DF7D99">
      <w:pPr>
        <w:keepNext/>
        <w:ind w:left="1134" w:right="1134"/>
        <w:jc w:val="center"/>
        <w:outlineLvl w:val="0"/>
        <w:rPr>
          <w:b/>
          <w:bCs/>
          <w:caps/>
        </w:rPr>
      </w:pPr>
      <w:r w:rsidRPr="003F54AB">
        <w:rPr>
          <w:b/>
          <w:bCs/>
          <w:caps/>
        </w:rPr>
        <w:t>TEISĖJŲ TARYBA</w:t>
      </w:r>
    </w:p>
    <w:p w14:paraId="2A85CF8D" w14:textId="77777777" w:rsidR="00DF7D99" w:rsidRPr="003F54AB" w:rsidRDefault="00DF7D99" w:rsidP="00DF7D99">
      <w:pPr>
        <w:keepNext/>
        <w:spacing w:line="360" w:lineRule="auto"/>
        <w:ind w:left="1134" w:right="1134"/>
        <w:jc w:val="center"/>
        <w:outlineLvl w:val="0"/>
        <w:rPr>
          <w:b/>
          <w:bCs/>
          <w:caps/>
        </w:rPr>
      </w:pPr>
    </w:p>
    <w:p w14:paraId="6A782F68" w14:textId="77777777" w:rsidR="00DF7D99" w:rsidRPr="003F54AB" w:rsidRDefault="00DF7D99" w:rsidP="00DF7D99">
      <w:pPr>
        <w:keepNext/>
        <w:ind w:left="1134" w:right="1134"/>
        <w:jc w:val="center"/>
        <w:outlineLvl w:val="0"/>
        <w:rPr>
          <w:b/>
          <w:bCs/>
          <w:caps/>
        </w:rPr>
      </w:pPr>
      <w:r w:rsidRPr="003F54AB">
        <w:rPr>
          <w:b/>
          <w:bCs/>
          <w:caps/>
        </w:rPr>
        <w:t>NUTARIMAS</w:t>
      </w:r>
    </w:p>
    <w:p w14:paraId="1FBFAB29" w14:textId="77777777" w:rsidR="00DF7D99" w:rsidRPr="003F54AB" w:rsidRDefault="00DF7D99" w:rsidP="00DF7D99">
      <w:pPr>
        <w:pStyle w:val="BodyText"/>
      </w:pPr>
      <w:r w:rsidRPr="003F54AB">
        <w:rPr>
          <w:bCs/>
          <w:caps/>
        </w:rPr>
        <w:t xml:space="preserve">dėl </w:t>
      </w:r>
      <w:r>
        <w:rPr>
          <w:bCs/>
          <w:caps/>
        </w:rPr>
        <w:t xml:space="preserve">TEISĖJŲ TARYBOS 2015 M. </w:t>
      </w:r>
      <w:r w:rsidR="00E87C95">
        <w:rPr>
          <w:bCs/>
          <w:caps/>
        </w:rPr>
        <w:t>RUGSĖJO 25</w:t>
      </w:r>
      <w:r>
        <w:rPr>
          <w:bCs/>
          <w:caps/>
        </w:rPr>
        <w:t xml:space="preserve"> D. NUTARIMO NR. 13P-</w:t>
      </w:r>
      <w:r w:rsidR="00E87C95">
        <w:rPr>
          <w:bCs/>
          <w:caps/>
        </w:rPr>
        <w:t>123</w:t>
      </w:r>
      <w:r>
        <w:rPr>
          <w:bCs/>
          <w:caps/>
        </w:rPr>
        <w:t xml:space="preserve">-(7.1.2) „dĖL </w:t>
      </w:r>
      <w:r w:rsidR="00E87C95">
        <w:t>BYLŲ PASKIRSTYMO TEISĖJAMS IR TEISĖJŲ KOLEGIJŲ SUDARYMO TAISYKLIŲ APRAŠO PATVIRTINIMO</w:t>
      </w:r>
      <w:r>
        <w:t>“ PAKEITIMO</w:t>
      </w:r>
    </w:p>
    <w:p w14:paraId="1715F979" w14:textId="77777777" w:rsidR="00DF7D99" w:rsidRDefault="00DF7D99" w:rsidP="00DF7D99">
      <w:pPr>
        <w:jc w:val="center"/>
      </w:pPr>
    </w:p>
    <w:p w14:paraId="41104590" w14:textId="4A5FB00F" w:rsidR="00DF7D99" w:rsidRPr="00F733BF" w:rsidRDefault="00DF7D99" w:rsidP="00DF7D99">
      <w:pPr>
        <w:jc w:val="center"/>
      </w:pPr>
      <w:r w:rsidRPr="00F733BF">
        <w:t>201</w:t>
      </w:r>
      <w:r>
        <w:rPr>
          <w:lang w:val="en-US"/>
        </w:rPr>
        <w:t>7</w:t>
      </w:r>
      <w:r w:rsidR="002E72F3">
        <w:t xml:space="preserve"> m. lapkričio</w:t>
      </w:r>
      <w:r w:rsidR="00E8118A">
        <w:t xml:space="preserve"> 24</w:t>
      </w:r>
      <w:r w:rsidRPr="00F733BF">
        <w:t xml:space="preserve"> d. Nr. </w:t>
      </w:r>
      <w:r>
        <w:t>13P-</w:t>
      </w:r>
      <w:r w:rsidR="00E8118A">
        <w:t>178</w:t>
      </w:r>
      <w:r>
        <w:t>-(7.1.2)</w:t>
      </w:r>
    </w:p>
    <w:p w14:paraId="28497E67" w14:textId="77777777" w:rsidR="00DF7D99" w:rsidRDefault="00DF7D99" w:rsidP="00DF7D99">
      <w:pPr>
        <w:jc w:val="center"/>
      </w:pPr>
      <w:r w:rsidRPr="00F733BF">
        <w:t>Vilnius</w:t>
      </w:r>
    </w:p>
    <w:p w14:paraId="26830E23" w14:textId="77777777" w:rsidR="00DF7D99" w:rsidRPr="00F733BF" w:rsidRDefault="00DF7D99" w:rsidP="00DF7D99">
      <w:pPr>
        <w:jc w:val="center"/>
      </w:pPr>
    </w:p>
    <w:p w14:paraId="0CC20A97" w14:textId="05B7B977" w:rsidR="00DF7D99" w:rsidRPr="00B34D89" w:rsidRDefault="00DF7D99" w:rsidP="00B34D89">
      <w:pPr>
        <w:ind w:firstLine="567"/>
        <w:jc w:val="both"/>
      </w:pPr>
      <w:r w:rsidRPr="00B34D89">
        <w:t>Vadovaudamasi Lietuvos Respublikos</w:t>
      </w:r>
      <w:r w:rsidR="00942C69">
        <w:t xml:space="preserve"> </w:t>
      </w:r>
      <w:r w:rsidR="00A63B55">
        <w:t>t</w:t>
      </w:r>
      <w:r w:rsidR="00942C69">
        <w:t>eismų įstatymo 120 straipsnio 16 punktu,</w:t>
      </w:r>
      <w:r w:rsidRPr="00B34D89">
        <w:t xml:space="preserve"> </w:t>
      </w:r>
      <w:r w:rsidR="00942C69">
        <w:t xml:space="preserve">Lietuvos Respublikos </w:t>
      </w:r>
      <w:r w:rsidRPr="00B34D89">
        <w:t>teismų reorganizavimo įstatymu</w:t>
      </w:r>
      <w:r w:rsidR="00942C69">
        <w:t>, Teisėjų</w:t>
      </w:r>
      <w:r w:rsidRPr="00B34D89">
        <w:t xml:space="preserve"> taryba </w:t>
      </w:r>
      <w:r w:rsidRPr="00B34D89">
        <w:rPr>
          <w:spacing w:val="40"/>
        </w:rPr>
        <w:t>nutari</w:t>
      </w:r>
      <w:r w:rsidRPr="00B34D89">
        <w:t>a:</w:t>
      </w:r>
    </w:p>
    <w:p w14:paraId="0B1D0D56" w14:textId="77777777" w:rsidR="00DF7D99" w:rsidRPr="00B34D89" w:rsidRDefault="00DF7D99" w:rsidP="00B34D89">
      <w:pPr>
        <w:ind w:firstLine="567"/>
        <w:jc w:val="both"/>
      </w:pPr>
      <w:r w:rsidRPr="00B34D89">
        <w:t xml:space="preserve">1. Pakeisti Teisėjų tarybos 2015 m. </w:t>
      </w:r>
      <w:r w:rsidR="00E87C95" w:rsidRPr="00B34D89">
        <w:t>rugsėjo 25</w:t>
      </w:r>
      <w:r w:rsidRPr="00B34D89">
        <w:t xml:space="preserve"> d. nutarimą Nr. 13P-</w:t>
      </w:r>
      <w:r w:rsidR="00E87C95" w:rsidRPr="00B34D89">
        <w:t>123</w:t>
      </w:r>
      <w:r w:rsidRPr="00B34D89">
        <w:t xml:space="preserve">-(7.1.2) „Dėl </w:t>
      </w:r>
      <w:r w:rsidR="00E87C95" w:rsidRPr="00B34D89">
        <w:t>bylų paskirstymo teisėjams ir teisėjų kolegijų sudarymo taisyklių aprašo</w:t>
      </w:r>
      <w:r w:rsidRPr="00B34D89">
        <w:t xml:space="preserve"> patvirtinimo“ (toliau – Aprašas) su visais pakeitimais ir </w:t>
      </w:r>
      <w:proofErr w:type="spellStart"/>
      <w:r w:rsidRPr="00B34D89">
        <w:t>papildymais</w:t>
      </w:r>
      <w:proofErr w:type="spellEnd"/>
      <w:r w:rsidRPr="00B34D89">
        <w:t>:</w:t>
      </w:r>
    </w:p>
    <w:p w14:paraId="749564D8" w14:textId="77777777" w:rsidR="00E87C95" w:rsidRPr="00B34D89" w:rsidRDefault="00E87C95" w:rsidP="00B34D89">
      <w:pPr>
        <w:ind w:firstLine="567"/>
        <w:jc w:val="both"/>
      </w:pPr>
      <w:r w:rsidRPr="00B34D89">
        <w:t>1.1. Pakeisti</w:t>
      </w:r>
      <w:r w:rsidR="00DF7D99" w:rsidRPr="00B34D89">
        <w:t xml:space="preserve"> </w:t>
      </w:r>
      <w:r w:rsidRPr="00B34D89">
        <w:t xml:space="preserve">2.3 papunktį </w:t>
      </w:r>
      <w:r w:rsidR="00DF7D99" w:rsidRPr="00B34D89">
        <w:t>ir jį išdėstyti taip:</w:t>
      </w:r>
    </w:p>
    <w:p w14:paraId="224AB30C" w14:textId="05EE74CA" w:rsidR="00E87C95" w:rsidRPr="00B34D89" w:rsidRDefault="00E87C95" w:rsidP="00B34D89">
      <w:pPr>
        <w:tabs>
          <w:tab w:val="left" w:pos="1134"/>
        </w:tabs>
        <w:ind w:firstLine="567"/>
        <w:jc w:val="both"/>
        <w:rPr>
          <w:lang w:eastAsia="lt-LT"/>
        </w:rPr>
      </w:pPr>
      <w:r w:rsidRPr="00B34D89">
        <w:t>„</w:t>
      </w:r>
      <w:r w:rsidRPr="00B34D89">
        <w:rPr>
          <w:lang w:eastAsia="lt-LT"/>
        </w:rPr>
        <w:t>2.3.</w:t>
      </w:r>
      <w:r w:rsidRPr="00B34D89">
        <w:rPr>
          <w:lang w:eastAsia="lt-LT"/>
        </w:rPr>
        <w:tab/>
        <w:t>teisėjų grupė (skyrius) – grupė teisėjų, kuriems teismo pirmininko įsakymu priskirta teisme</w:t>
      </w:r>
      <w:r w:rsidRPr="002E72F3">
        <w:rPr>
          <w:lang w:eastAsia="lt-LT"/>
        </w:rPr>
        <w:t>,</w:t>
      </w:r>
      <w:r w:rsidRPr="00B34D89">
        <w:rPr>
          <w:b/>
          <w:lang w:eastAsia="lt-LT"/>
        </w:rPr>
        <w:t xml:space="preserve"> </w:t>
      </w:r>
      <w:r w:rsidRPr="002E72F3">
        <w:rPr>
          <w:lang w:eastAsia="lt-LT"/>
        </w:rPr>
        <w:t>o kai teismas sudarytas iš teismo rūmų, – teismo rūmuose</w:t>
      </w:r>
      <w:r w:rsidR="002E72F3">
        <w:rPr>
          <w:lang w:eastAsia="lt-LT"/>
        </w:rPr>
        <w:t>,</w:t>
      </w:r>
      <w:r w:rsidRPr="00B34D89">
        <w:rPr>
          <w:lang w:eastAsia="lt-LT"/>
        </w:rPr>
        <w:t xml:space="preserve"> nuolat nagrinėti vieną ar daugiau skirstomų bylų grupių;“</w:t>
      </w:r>
      <w:r w:rsidR="00AF0B25" w:rsidRPr="00B34D89">
        <w:rPr>
          <w:lang w:eastAsia="lt-LT"/>
        </w:rPr>
        <w:t>;</w:t>
      </w:r>
    </w:p>
    <w:p w14:paraId="26C3A183" w14:textId="77777777" w:rsidR="00AF0B25" w:rsidRPr="00B34D89" w:rsidRDefault="00AF0B25" w:rsidP="00B34D89">
      <w:pPr>
        <w:tabs>
          <w:tab w:val="left" w:pos="567"/>
        </w:tabs>
        <w:ind w:firstLine="567"/>
        <w:jc w:val="both"/>
        <w:rPr>
          <w:lang w:eastAsia="lt-LT"/>
        </w:rPr>
      </w:pPr>
      <w:r w:rsidRPr="00B34D89">
        <w:rPr>
          <w:lang w:eastAsia="lt-LT"/>
        </w:rPr>
        <w:t>1.2. Papildyti</w:t>
      </w:r>
      <w:r w:rsidR="00E6592C">
        <w:rPr>
          <w:lang w:eastAsia="lt-LT"/>
        </w:rPr>
        <w:t xml:space="preserve"> 2 punktą</w:t>
      </w:r>
      <w:r w:rsidRPr="00B34D89">
        <w:rPr>
          <w:lang w:eastAsia="lt-LT"/>
        </w:rPr>
        <w:t xml:space="preserve"> 2.8 papunkčiu ir jį išdėstyti taip:</w:t>
      </w:r>
    </w:p>
    <w:p w14:paraId="3A17E360" w14:textId="36564AB4" w:rsidR="00AF0B25" w:rsidRPr="002E72F3" w:rsidRDefault="00AF0B25" w:rsidP="00B34D89">
      <w:pPr>
        <w:tabs>
          <w:tab w:val="left" w:pos="1134"/>
        </w:tabs>
        <w:ind w:firstLine="567"/>
        <w:jc w:val="both"/>
        <w:rPr>
          <w:lang w:eastAsia="lt-LT"/>
        </w:rPr>
      </w:pPr>
      <w:r w:rsidRPr="002E72F3">
        <w:rPr>
          <w:lang w:eastAsia="lt-LT"/>
        </w:rPr>
        <w:t xml:space="preserve">„2.8. </w:t>
      </w:r>
      <w:r w:rsidR="00B43C54" w:rsidRPr="002E72F3">
        <w:t xml:space="preserve">preliminarus bylos </w:t>
      </w:r>
      <w:r w:rsidR="00160D0C" w:rsidRPr="002E72F3">
        <w:t xml:space="preserve">priskyrimas teismo rūmams </w:t>
      </w:r>
      <w:r w:rsidR="00B43C54" w:rsidRPr="002E72F3">
        <w:rPr>
          <w:i/>
        </w:rPr>
        <w:t>–</w:t>
      </w:r>
      <w:r w:rsidR="00B43C54" w:rsidRPr="002E72F3">
        <w:t xml:space="preserve"> </w:t>
      </w:r>
      <w:r w:rsidR="007C4B62" w:rsidRPr="002E72F3">
        <w:t xml:space="preserve">kai teismas sudarytas iš teismo rūmų, </w:t>
      </w:r>
      <w:r w:rsidR="00B43C54" w:rsidRPr="002E72F3">
        <w:t xml:space="preserve">formuojant bylą </w:t>
      </w:r>
      <w:r w:rsidR="00B43C54" w:rsidRPr="002E72F3">
        <w:rPr>
          <w:lang w:eastAsia="lt-LT"/>
        </w:rPr>
        <w:t>LITEKO, elektroninėje bylos kortelėje žymimas</w:t>
      </w:r>
      <w:r w:rsidR="00B43C54" w:rsidRPr="002E72F3">
        <w:t xml:space="preserve"> nurodymas, kuriems teismo rūmams </w:t>
      </w:r>
      <w:r w:rsidR="00430273" w:rsidRPr="002E72F3">
        <w:t xml:space="preserve">gali būti priskirtina </w:t>
      </w:r>
      <w:r w:rsidR="00B43C54" w:rsidRPr="002E72F3">
        <w:t>byla</w:t>
      </w:r>
      <w:r w:rsidR="00160D0C" w:rsidRPr="002E72F3">
        <w:t>.</w:t>
      </w:r>
      <w:r w:rsidRPr="002E72F3">
        <w:t>“;</w:t>
      </w:r>
    </w:p>
    <w:p w14:paraId="417AA9F9" w14:textId="77777777" w:rsidR="00E87C95" w:rsidRPr="00B34D89" w:rsidRDefault="000C0AF9" w:rsidP="00B34D89">
      <w:pPr>
        <w:tabs>
          <w:tab w:val="left" w:pos="1134"/>
        </w:tabs>
        <w:ind w:firstLine="567"/>
        <w:jc w:val="both"/>
      </w:pPr>
      <w:r w:rsidRPr="002E72F3">
        <w:rPr>
          <w:lang w:eastAsia="lt-LT"/>
        </w:rPr>
        <w:t>1.</w:t>
      </w:r>
      <w:r w:rsidR="00374437" w:rsidRPr="002E72F3">
        <w:rPr>
          <w:lang w:eastAsia="lt-LT"/>
        </w:rPr>
        <w:t>3</w:t>
      </w:r>
      <w:r w:rsidRPr="002E72F3">
        <w:rPr>
          <w:lang w:eastAsia="lt-LT"/>
        </w:rPr>
        <w:t xml:space="preserve">. </w:t>
      </w:r>
      <w:r w:rsidR="00E87C95" w:rsidRPr="002E72F3">
        <w:t>Pakeisti 3.3 papunktį ir jį išdėstyti taip</w:t>
      </w:r>
      <w:r w:rsidR="00E87C95" w:rsidRPr="00B34D89">
        <w:t>:</w:t>
      </w:r>
    </w:p>
    <w:p w14:paraId="19D795F8" w14:textId="280314FE" w:rsidR="00E87C95" w:rsidRPr="00B34D89" w:rsidRDefault="00E87C95" w:rsidP="00B34D89">
      <w:pPr>
        <w:widowControl w:val="0"/>
        <w:tabs>
          <w:tab w:val="left" w:pos="1134"/>
        </w:tabs>
        <w:ind w:firstLine="567"/>
        <w:contextualSpacing/>
        <w:jc w:val="both"/>
        <w:rPr>
          <w:lang w:eastAsia="lt-LT"/>
        </w:rPr>
      </w:pPr>
      <w:r w:rsidRPr="00B34D89">
        <w:rPr>
          <w:lang w:eastAsia="lt-LT"/>
        </w:rPr>
        <w:t>„3.3.</w:t>
      </w:r>
      <w:r w:rsidRPr="00B34D89">
        <w:rPr>
          <w:lang w:eastAsia="lt-LT"/>
        </w:rPr>
        <w:tab/>
        <w:t>„specializacijos“ – naudojantis šia funkcija Modulyje pagal poreikį pažymimos teisme</w:t>
      </w:r>
      <w:r w:rsidRPr="00B34D89">
        <w:rPr>
          <w:b/>
          <w:lang w:eastAsia="lt-LT"/>
        </w:rPr>
        <w:t xml:space="preserve">, </w:t>
      </w:r>
      <w:r w:rsidRPr="002E72F3">
        <w:rPr>
          <w:lang w:eastAsia="lt-LT"/>
        </w:rPr>
        <w:t>o kai teismas sudarytas iš teismo rūmų, – teismo rūmuose</w:t>
      </w:r>
      <w:r w:rsidR="002E72F3">
        <w:rPr>
          <w:lang w:eastAsia="lt-LT"/>
        </w:rPr>
        <w:t>,</w:t>
      </w:r>
      <w:r w:rsidRPr="00B34D89">
        <w:rPr>
          <w:lang w:eastAsia="lt-LT"/>
        </w:rPr>
        <w:t xml:space="preserve"> nustatytos teisėjų specializacijos, kurios, prieš skirstant bylas, turi būti priskirtos teisėjams;“</w:t>
      </w:r>
      <w:r w:rsidR="00374437" w:rsidRPr="00B34D89">
        <w:rPr>
          <w:lang w:eastAsia="lt-LT"/>
        </w:rPr>
        <w:t>;</w:t>
      </w:r>
    </w:p>
    <w:p w14:paraId="7EA0FCC5" w14:textId="77777777" w:rsidR="00E87C95" w:rsidRPr="00B34D89" w:rsidRDefault="00E87C95" w:rsidP="00B34D89">
      <w:pPr>
        <w:widowControl w:val="0"/>
        <w:tabs>
          <w:tab w:val="left" w:pos="1134"/>
        </w:tabs>
        <w:ind w:firstLine="567"/>
        <w:contextualSpacing/>
        <w:jc w:val="both"/>
        <w:rPr>
          <w:lang w:eastAsia="lt-LT"/>
        </w:rPr>
      </w:pPr>
      <w:r w:rsidRPr="00B34D89">
        <w:rPr>
          <w:lang w:eastAsia="lt-LT"/>
        </w:rPr>
        <w:t>1.4. Papildyti 3 punktą 3.7 papunkčiu ir jį išdėstyti taip:</w:t>
      </w:r>
    </w:p>
    <w:p w14:paraId="010DFBD2" w14:textId="77777777" w:rsidR="00E87C95" w:rsidRPr="002E72F3" w:rsidRDefault="00E87C95" w:rsidP="00B34D89">
      <w:pPr>
        <w:ind w:firstLine="567"/>
        <w:jc w:val="both"/>
      </w:pPr>
      <w:r w:rsidRPr="002E72F3">
        <w:t>„3.7. „</w:t>
      </w:r>
      <w:r w:rsidR="007D2DA2" w:rsidRPr="002E72F3">
        <w:t>priskirti</w:t>
      </w:r>
      <w:r w:rsidRPr="002E72F3">
        <w:t xml:space="preserve"> teismo rūmus</w:t>
      </w:r>
      <w:r w:rsidR="00B43C54" w:rsidRPr="002E72F3">
        <w:t xml:space="preserve"> iš sąrašo</w:t>
      </w:r>
      <w:r w:rsidRPr="002E72F3">
        <w:t xml:space="preserve">“ – kai teismas sudarytas iš teismo rūmų, naudojantis šia funkcija </w:t>
      </w:r>
      <w:r w:rsidR="007D2DA2" w:rsidRPr="002E72F3">
        <w:t xml:space="preserve">prieš </w:t>
      </w:r>
      <w:r w:rsidRPr="002E72F3">
        <w:t xml:space="preserve">paskiriant bylą Modulyje pagal poreikį iš sąrašo pasirenkami </w:t>
      </w:r>
      <w:r w:rsidR="007D2DA2" w:rsidRPr="002E72F3">
        <w:t xml:space="preserve">teismo rūmai, kurių teisėjams gali būti </w:t>
      </w:r>
      <w:r w:rsidRPr="002E72F3">
        <w:t>skiriama byla;“</w:t>
      </w:r>
      <w:r w:rsidR="00374437" w:rsidRPr="002E72F3">
        <w:t>;</w:t>
      </w:r>
    </w:p>
    <w:p w14:paraId="10824A49" w14:textId="77777777" w:rsidR="00E87C95" w:rsidRPr="00B34D89" w:rsidRDefault="00E87C95" w:rsidP="00B34D89">
      <w:pPr>
        <w:ind w:firstLine="567"/>
        <w:jc w:val="both"/>
      </w:pPr>
      <w:r w:rsidRPr="00B34D89">
        <w:t>1.5. Papildyti 3 punktą 3.8 papunkčiu ir jį išdėstyti taip:</w:t>
      </w:r>
    </w:p>
    <w:p w14:paraId="71687F53" w14:textId="77777777" w:rsidR="00E87C95" w:rsidRPr="002E72F3" w:rsidRDefault="00E87C95" w:rsidP="00B34D89">
      <w:pPr>
        <w:ind w:firstLine="567"/>
        <w:jc w:val="both"/>
      </w:pPr>
      <w:r w:rsidRPr="002E72F3">
        <w:t>„3.8. „</w:t>
      </w:r>
      <w:r w:rsidR="00B43C54" w:rsidRPr="002E72F3">
        <w:t>pasirinkti</w:t>
      </w:r>
      <w:r w:rsidRPr="002E72F3">
        <w:t xml:space="preserve"> kitus teismo rūmus“ – kai teismas sudarytas iš teismo rūmų, naudojantis šia funkcija</w:t>
      </w:r>
      <w:r w:rsidR="007D2DA2" w:rsidRPr="002E72F3">
        <w:t xml:space="preserve"> prieš </w:t>
      </w:r>
      <w:r w:rsidRPr="002E72F3">
        <w:t xml:space="preserve">skiriant bylą Modulyje iš sąrašo </w:t>
      </w:r>
      <w:r w:rsidR="007D2DA2" w:rsidRPr="002E72F3">
        <w:t xml:space="preserve">pasirenkami </w:t>
      </w:r>
      <w:r w:rsidRPr="002E72F3">
        <w:t>k</w:t>
      </w:r>
      <w:r w:rsidR="007D2DA2" w:rsidRPr="002E72F3">
        <w:t xml:space="preserve">iti teismo rūmai, kurių teisėjams gali būti </w:t>
      </w:r>
      <w:r w:rsidRPr="002E72F3">
        <w:t xml:space="preserve">skiriama byla. Ši </w:t>
      </w:r>
      <w:r w:rsidR="00B43C54" w:rsidRPr="002E72F3">
        <w:t>funkcija naudojama, kai pradiniame suformuotame</w:t>
      </w:r>
      <w:r w:rsidRPr="002E72F3">
        <w:t xml:space="preserve"> teismo rūmų teisėjų sąraš</w:t>
      </w:r>
      <w:r w:rsidR="00B43C54" w:rsidRPr="002E72F3">
        <w:t>e</w:t>
      </w:r>
      <w:r w:rsidRPr="002E72F3">
        <w:t xml:space="preserve"> </w:t>
      </w:r>
      <w:r w:rsidR="00B43C54" w:rsidRPr="002E72F3">
        <w:t>nėra bylą galinčių nagrinėti teisėjų</w:t>
      </w:r>
      <w:r w:rsidRPr="002E72F3">
        <w:t>.“</w:t>
      </w:r>
      <w:r w:rsidR="00374437" w:rsidRPr="002E72F3">
        <w:t>;</w:t>
      </w:r>
    </w:p>
    <w:p w14:paraId="50E99052" w14:textId="77777777" w:rsidR="00E87C95" w:rsidRPr="00B34D89" w:rsidRDefault="00E87C95" w:rsidP="00B92902">
      <w:pPr>
        <w:ind w:firstLine="567"/>
        <w:jc w:val="both"/>
        <w:rPr>
          <w:lang w:eastAsia="lt-LT"/>
        </w:rPr>
      </w:pPr>
      <w:r w:rsidRPr="00B34D89">
        <w:t xml:space="preserve">1.6. </w:t>
      </w:r>
      <w:r w:rsidRPr="00B34D89">
        <w:rPr>
          <w:lang w:eastAsia="lt-LT"/>
        </w:rPr>
        <w:t>Pakeisti 5 punktą ir jį išdėstyti taip:</w:t>
      </w:r>
    </w:p>
    <w:p w14:paraId="2B527115" w14:textId="1949232D" w:rsidR="00E87C95" w:rsidRPr="00B34D89" w:rsidRDefault="00E87C95" w:rsidP="00B34D89">
      <w:pPr>
        <w:widowControl w:val="0"/>
        <w:tabs>
          <w:tab w:val="left" w:pos="0"/>
          <w:tab w:val="left" w:pos="567"/>
        </w:tabs>
        <w:ind w:firstLine="567"/>
        <w:jc w:val="both"/>
      </w:pPr>
      <w:r w:rsidRPr="00B34D89">
        <w:rPr>
          <w:lang w:eastAsia="lt-LT"/>
        </w:rPr>
        <w:t>„5. Skirstant bylas ar sudarant kolegijas atsižvelgiama į teisėjų specializaciją (jei teisme</w:t>
      </w:r>
      <w:r w:rsidRPr="002E72F3">
        <w:rPr>
          <w:lang w:eastAsia="lt-LT"/>
        </w:rPr>
        <w:t>, o kai teismas sudarytas iš teismo rūmų, – teismo rūmuose</w:t>
      </w:r>
      <w:r w:rsidR="002E72F3">
        <w:rPr>
          <w:lang w:eastAsia="lt-LT"/>
        </w:rPr>
        <w:t>,</w:t>
      </w:r>
      <w:r w:rsidRPr="00B34D89">
        <w:rPr>
          <w:lang w:eastAsia="lt-LT"/>
        </w:rPr>
        <w:t xml:space="preserve"> ji yra nustatyta), įstatymu įtvirtintus atskirų kategorijų bylų išnagrinėjimo terminus, prioritetine tvarka skirstomas bylas, darbo krūvio tolygumą, bylų sudėtingumą, teisėjų kolegijų sudėties rotaciją, nustatytą atsižvelgiant į tos pačios sudėties teisėjų kolegijos maksimalią veiklos trukmę, artimiausią galimą teismo posėdžio datą, įstatymuose numatytus draudimus teisėjui nagrinėti konkrečią bylą, aplinkybes, sudarančias teisėjų nušalinimo ar nusišalinimo teisinį pagrindą, teisėjų dalyvavimo atrankos kolegijoje, laikinojo nedarbingumo, atostogų, kvalifikacijos kėlimo, komandiruotės ar kitus atvejus, kai teisėjas negali nagrinėti bylų arba jo darbo krūvis turi būti mažinamas.</w:t>
      </w:r>
      <w:r w:rsidRPr="00B34D89">
        <w:t>“</w:t>
      </w:r>
      <w:r w:rsidR="00374437" w:rsidRPr="00B34D89">
        <w:t>;</w:t>
      </w:r>
    </w:p>
    <w:p w14:paraId="14C8FD8F" w14:textId="77777777" w:rsidR="00B43C54" w:rsidRDefault="00B43C54" w:rsidP="00B43C54">
      <w:pPr>
        <w:widowControl w:val="0"/>
        <w:tabs>
          <w:tab w:val="left" w:pos="0"/>
          <w:tab w:val="left" w:pos="567"/>
        </w:tabs>
        <w:ind w:firstLine="567"/>
        <w:jc w:val="both"/>
      </w:pPr>
      <w:r>
        <w:t>1.</w:t>
      </w:r>
      <w:r w:rsidR="001F47F2">
        <w:t>7</w:t>
      </w:r>
      <w:r>
        <w:t>. Pakeisti 8 punktą ir jį išdėstyti taip:</w:t>
      </w:r>
    </w:p>
    <w:p w14:paraId="7DB422FF" w14:textId="77777777" w:rsidR="00B43C54" w:rsidRPr="0022716E" w:rsidRDefault="00B43C54" w:rsidP="00B43C54">
      <w:pPr>
        <w:widowControl w:val="0"/>
        <w:tabs>
          <w:tab w:val="left" w:pos="567"/>
          <w:tab w:val="left" w:pos="1134"/>
        </w:tabs>
        <w:contextualSpacing/>
        <w:jc w:val="both"/>
        <w:rPr>
          <w:szCs w:val="20"/>
          <w:lang w:eastAsia="lt-LT"/>
        </w:rPr>
      </w:pPr>
      <w:r>
        <w:lastRenderedPageBreak/>
        <w:tab/>
        <w:t xml:space="preserve">„8. </w:t>
      </w:r>
      <w:r w:rsidRPr="0022716E">
        <w:rPr>
          <w:szCs w:val="20"/>
          <w:lang w:eastAsia="lt-LT"/>
        </w:rPr>
        <w:t>Bylas skirstantis asmuo, pagal atitinkamo teismo</w:t>
      </w:r>
      <w:r w:rsidRPr="002E72F3">
        <w:rPr>
          <w:szCs w:val="20"/>
          <w:lang w:eastAsia="lt-LT"/>
        </w:rPr>
        <w:t xml:space="preserve">, o kai teismas sudarytas iš teismo rūmų, </w:t>
      </w:r>
      <w:r w:rsidRPr="002E72F3">
        <w:rPr>
          <w:lang w:eastAsia="lt-LT"/>
        </w:rPr>
        <w:t>–</w:t>
      </w:r>
      <w:r w:rsidRPr="002E72F3">
        <w:rPr>
          <w:szCs w:val="20"/>
          <w:lang w:eastAsia="lt-LT"/>
        </w:rPr>
        <w:t xml:space="preserve"> teismo rūmų, </w:t>
      </w:r>
      <w:r w:rsidRPr="000D5E61">
        <w:rPr>
          <w:szCs w:val="20"/>
          <w:lang w:eastAsia="lt-LT"/>
        </w:rPr>
        <w:t>kompetenciją ir specifiką,</w:t>
      </w:r>
      <w:r w:rsidRPr="00080856">
        <w:rPr>
          <w:szCs w:val="20"/>
          <w:lang w:eastAsia="lt-LT"/>
        </w:rPr>
        <w:t xml:space="preserve"> prieš Modulio pagalba skirdamas bylą į LITEKO įveda, peržiūri ir pakeičia duomenis apie</w:t>
      </w:r>
      <w:r>
        <w:rPr>
          <w:szCs w:val="20"/>
          <w:lang w:eastAsia="lt-LT"/>
        </w:rPr>
        <w:t>:</w:t>
      </w:r>
      <w:r>
        <w:t>“;</w:t>
      </w:r>
    </w:p>
    <w:p w14:paraId="02AF9EDB" w14:textId="77777777" w:rsidR="00E87C95" w:rsidRPr="00B34D89" w:rsidRDefault="00E87C95" w:rsidP="00B34D89">
      <w:pPr>
        <w:widowControl w:val="0"/>
        <w:tabs>
          <w:tab w:val="left" w:pos="0"/>
          <w:tab w:val="left" w:pos="567"/>
        </w:tabs>
        <w:ind w:firstLine="567"/>
        <w:jc w:val="both"/>
        <w:rPr>
          <w:lang w:eastAsia="lt-LT"/>
        </w:rPr>
      </w:pPr>
      <w:r w:rsidRPr="00B34D89">
        <w:t>1.</w:t>
      </w:r>
      <w:r w:rsidR="001F47F2">
        <w:t>8</w:t>
      </w:r>
      <w:r w:rsidRPr="00B34D89">
        <w:t>. Pakeisti 8.1 papunktį ir jį išdėstyti taip:</w:t>
      </w:r>
    </w:p>
    <w:p w14:paraId="266DE1BF" w14:textId="25D73317" w:rsidR="00E87C95" w:rsidRPr="00B34D89" w:rsidRDefault="00E87C95" w:rsidP="00B34D89">
      <w:pPr>
        <w:widowControl w:val="0"/>
        <w:tabs>
          <w:tab w:val="left" w:pos="0"/>
          <w:tab w:val="left" w:pos="567"/>
          <w:tab w:val="left" w:pos="1134"/>
        </w:tabs>
        <w:ind w:firstLine="567"/>
        <w:jc w:val="both"/>
        <w:rPr>
          <w:lang w:eastAsia="lt-LT"/>
        </w:rPr>
      </w:pPr>
      <w:r w:rsidRPr="00B34D89">
        <w:rPr>
          <w:lang w:eastAsia="lt-LT"/>
        </w:rPr>
        <w:t>„8.1.</w:t>
      </w:r>
      <w:r w:rsidRPr="00B34D89">
        <w:rPr>
          <w:lang w:eastAsia="lt-LT"/>
        </w:rPr>
        <w:tab/>
        <w:t>teisme</w:t>
      </w:r>
      <w:r w:rsidRPr="002E72F3">
        <w:rPr>
          <w:lang w:eastAsia="lt-LT"/>
        </w:rPr>
        <w:t>, o kai teismas sudarytas iš teismo rūmų, – teismo rūmuose</w:t>
      </w:r>
      <w:r w:rsidR="002E72F3">
        <w:rPr>
          <w:lang w:eastAsia="lt-LT"/>
        </w:rPr>
        <w:t>,</w:t>
      </w:r>
      <w:r w:rsidRPr="00B34D89">
        <w:rPr>
          <w:lang w:eastAsia="lt-LT"/>
        </w:rPr>
        <w:t xml:space="preserve"> nustatytą teisėjų paskyrimą į teisėjų grupes (skyrius);“</w:t>
      </w:r>
      <w:r w:rsidR="00374437" w:rsidRPr="00B34D89">
        <w:rPr>
          <w:lang w:eastAsia="lt-LT"/>
        </w:rPr>
        <w:t>;</w:t>
      </w:r>
    </w:p>
    <w:p w14:paraId="607A19FA" w14:textId="77777777" w:rsidR="00E87C95" w:rsidRPr="00B34D89" w:rsidRDefault="00E87C95" w:rsidP="00B34D89">
      <w:pPr>
        <w:widowControl w:val="0"/>
        <w:tabs>
          <w:tab w:val="left" w:pos="0"/>
          <w:tab w:val="left" w:pos="567"/>
          <w:tab w:val="left" w:pos="1134"/>
        </w:tabs>
        <w:ind w:firstLine="567"/>
        <w:jc w:val="both"/>
        <w:rPr>
          <w:lang w:eastAsia="lt-LT"/>
        </w:rPr>
      </w:pPr>
      <w:r w:rsidRPr="00B34D89">
        <w:rPr>
          <w:lang w:eastAsia="lt-LT"/>
        </w:rPr>
        <w:t>1.</w:t>
      </w:r>
      <w:r w:rsidR="001F47F2">
        <w:rPr>
          <w:lang w:eastAsia="lt-LT"/>
        </w:rPr>
        <w:t>9</w:t>
      </w:r>
      <w:r w:rsidRPr="00B34D89">
        <w:rPr>
          <w:lang w:eastAsia="lt-LT"/>
        </w:rPr>
        <w:t>. Pakeisti 8.2 papunktį ir jį išdėstyti taip:</w:t>
      </w:r>
    </w:p>
    <w:p w14:paraId="47438880" w14:textId="4BCFC69B" w:rsidR="00E87C95" w:rsidRPr="00B34D89" w:rsidRDefault="00E87C95" w:rsidP="00B34D89">
      <w:pPr>
        <w:widowControl w:val="0"/>
        <w:tabs>
          <w:tab w:val="left" w:pos="1134"/>
        </w:tabs>
        <w:ind w:firstLine="567"/>
        <w:contextualSpacing/>
        <w:jc w:val="both"/>
      </w:pPr>
      <w:r w:rsidRPr="00B34D89">
        <w:rPr>
          <w:lang w:eastAsia="lt-LT"/>
        </w:rPr>
        <w:t>„8.2.</w:t>
      </w:r>
      <w:r w:rsidRPr="00B34D89">
        <w:rPr>
          <w:lang w:eastAsia="lt-LT"/>
        </w:rPr>
        <w:tab/>
      </w:r>
      <w:r w:rsidRPr="00B34D89">
        <w:t>teisme</w:t>
      </w:r>
      <w:r w:rsidRPr="002E72F3">
        <w:t>, o kai teismas sudarytas iš teismo rūmų, – teismo rūmuose</w:t>
      </w:r>
      <w:r w:rsidR="002E72F3">
        <w:t>,</w:t>
      </w:r>
      <w:r w:rsidRPr="00B34D89">
        <w:t xml:space="preserve"> nustatytą teisėjų specializaciją;“</w:t>
      </w:r>
      <w:r w:rsidR="00374437" w:rsidRPr="00B34D89">
        <w:t>;</w:t>
      </w:r>
    </w:p>
    <w:p w14:paraId="04D879EF" w14:textId="77777777" w:rsidR="00E87C95" w:rsidRPr="00B34D89" w:rsidRDefault="00812A4F" w:rsidP="00B34D89">
      <w:pPr>
        <w:widowControl w:val="0"/>
        <w:tabs>
          <w:tab w:val="left" w:pos="1134"/>
        </w:tabs>
        <w:ind w:firstLine="567"/>
        <w:contextualSpacing/>
        <w:jc w:val="both"/>
        <w:rPr>
          <w:lang w:eastAsia="lt-LT"/>
        </w:rPr>
      </w:pPr>
      <w:r w:rsidRPr="00B34D89">
        <w:rPr>
          <w:lang w:eastAsia="lt-LT"/>
        </w:rPr>
        <w:t>1.1</w:t>
      </w:r>
      <w:r w:rsidR="001F47F2">
        <w:rPr>
          <w:lang w:eastAsia="lt-LT"/>
        </w:rPr>
        <w:t>0</w:t>
      </w:r>
      <w:r w:rsidRPr="00B34D89">
        <w:rPr>
          <w:lang w:eastAsia="lt-LT"/>
        </w:rPr>
        <w:t>. Pakeisti 8.3</w:t>
      </w:r>
      <w:r w:rsidR="00E87C95" w:rsidRPr="00B34D89">
        <w:rPr>
          <w:lang w:eastAsia="lt-LT"/>
        </w:rPr>
        <w:t xml:space="preserve"> papunktį ir jį išdėstyti taip:</w:t>
      </w:r>
    </w:p>
    <w:p w14:paraId="7FCA7AB8" w14:textId="7D030C8F" w:rsidR="00E87C95" w:rsidRPr="00B34D89" w:rsidRDefault="00E87C95" w:rsidP="00B34D89">
      <w:pPr>
        <w:widowControl w:val="0"/>
        <w:tabs>
          <w:tab w:val="left" w:pos="1134"/>
        </w:tabs>
        <w:ind w:firstLine="567"/>
        <w:contextualSpacing/>
        <w:jc w:val="both"/>
        <w:rPr>
          <w:lang w:eastAsia="lt-LT"/>
        </w:rPr>
      </w:pPr>
      <w:r w:rsidRPr="00B34D89">
        <w:rPr>
          <w:lang w:eastAsia="lt-LT"/>
        </w:rPr>
        <w:t>„8.3.</w:t>
      </w:r>
      <w:r w:rsidRPr="00B34D89">
        <w:rPr>
          <w:lang w:eastAsia="lt-LT"/>
        </w:rPr>
        <w:tab/>
        <w:t>teisme</w:t>
      </w:r>
      <w:r w:rsidRPr="002E72F3">
        <w:rPr>
          <w:lang w:eastAsia="lt-LT"/>
        </w:rPr>
        <w:t>, o kai teismas sudarytas iš teismo rūmų, – teismo rūmuose</w:t>
      </w:r>
      <w:r w:rsidR="002E72F3">
        <w:rPr>
          <w:lang w:eastAsia="lt-LT"/>
        </w:rPr>
        <w:t>,</w:t>
      </w:r>
      <w:r w:rsidRPr="00B34D89">
        <w:rPr>
          <w:lang w:eastAsia="lt-LT"/>
        </w:rPr>
        <w:t xml:space="preserve"> nustatytą teisėjų kolegijų sudėtį;“</w:t>
      </w:r>
      <w:r w:rsidR="00374437" w:rsidRPr="00B34D89">
        <w:rPr>
          <w:lang w:eastAsia="lt-LT"/>
        </w:rPr>
        <w:t>;</w:t>
      </w:r>
    </w:p>
    <w:p w14:paraId="15D2EE31" w14:textId="77777777" w:rsidR="00754B74" w:rsidRPr="00B34D89" w:rsidRDefault="00812A4F" w:rsidP="00B34D89">
      <w:pPr>
        <w:widowControl w:val="0"/>
        <w:tabs>
          <w:tab w:val="left" w:pos="1134"/>
        </w:tabs>
        <w:ind w:firstLine="567"/>
        <w:contextualSpacing/>
        <w:jc w:val="both"/>
        <w:rPr>
          <w:lang w:eastAsia="lt-LT"/>
        </w:rPr>
      </w:pPr>
      <w:r w:rsidRPr="00B34D89">
        <w:rPr>
          <w:lang w:eastAsia="lt-LT"/>
        </w:rPr>
        <w:t>1.1</w:t>
      </w:r>
      <w:r w:rsidR="001F47F2">
        <w:rPr>
          <w:lang w:eastAsia="lt-LT"/>
        </w:rPr>
        <w:t>1</w:t>
      </w:r>
      <w:r w:rsidRPr="00B34D89">
        <w:rPr>
          <w:lang w:eastAsia="lt-LT"/>
        </w:rPr>
        <w:t xml:space="preserve">. </w:t>
      </w:r>
      <w:r w:rsidR="00754B74" w:rsidRPr="00B34D89">
        <w:rPr>
          <w:lang w:eastAsia="lt-LT"/>
        </w:rPr>
        <w:t>Pakeisti 8.5 papunktį ir jį išdėstyti taip:</w:t>
      </w:r>
    </w:p>
    <w:p w14:paraId="58087F54" w14:textId="574F72EF" w:rsidR="00754B74" w:rsidRPr="00B34D89" w:rsidRDefault="00754B74" w:rsidP="00B34D89">
      <w:pPr>
        <w:widowControl w:val="0"/>
        <w:tabs>
          <w:tab w:val="left" w:pos="1134"/>
        </w:tabs>
        <w:ind w:firstLine="567"/>
        <w:contextualSpacing/>
        <w:jc w:val="both"/>
        <w:rPr>
          <w:lang w:eastAsia="lt-LT"/>
        </w:rPr>
      </w:pPr>
      <w:r w:rsidRPr="00B34D89">
        <w:rPr>
          <w:lang w:eastAsia="lt-LT"/>
        </w:rPr>
        <w:t>„8.5. laikotarpius, kai dėl atostogų, komandiruotės, kvalifikacijos kėlimo, ar kitų aplinkybių teisėjas negali nagrinėti jokių bylų ir bylos jam negali būti skiriamos. Nurodant laikotarpius, kuriais teisėjas negali nagrinėti bylų, Modulyje gali būti įrašomas tame teisme</w:t>
      </w:r>
      <w:r w:rsidRPr="00007605">
        <w:rPr>
          <w:lang w:eastAsia="lt-LT"/>
        </w:rPr>
        <w:t>, o kai teismas sudarytas iš teismo rūmų, – teismo rūmuose</w:t>
      </w:r>
      <w:r w:rsidR="00007605" w:rsidRPr="00007605">
        <w:rPr>
          <w:lang w:eastAsia="lt-LT"/>
        </w:rPr>
        <w:t>,</w:t>
      </w:r>
      <w:r w:rsidRPr="00B34D89">
        <w:rPr>
          <w:lang w:eastAsia="lt-LT"/>
        </w:rPr>
        <w:t xml:space="preserve"> nustatytas ne didesnis kaip bendras 14 kalendorinių dienų laiko tarpas, kuriuo teisėjui negali būti skiriamos bylos tuojau pat prieš ir po šio laikotarpio;“</w:t>
      </w:r>
      <w:r w:rsidR="00374437" w:rsidRPr="00B34D89">
        <w:rPr>
          <w:lang w:eastAsia="lt-LT"/>
        </w:rPr>
        <w:t>;</w:t>
      </w:r>
    </w:p>
    <w:p w14:paraId="590995D3" w14:textId="77777777" w:rsidR="00E87C95" w:rsidRPr="00B34D89" w:rsidRDefault="00812A4F" w:rsidP="00B34D89">
      <w:pPr>
        <w:widowControl w:val="0"/>
        <w:tabs>
          <w:tab w:val="left" w:pos="1134"/>
        </w:tabs>
        <w:ind w:firstLine="567"/>
        <w:contextualSpacing/>
        <w:jc w:val="both"/>
        <w:rPr>
          <w:lang w:eastAsia="lt-LT"/>
        </w:rPr>
      </w:pPr>
      <w:r w:rsidRPr="00B34D89">
        <w:rPr>
          <w:lang w:eastAsia="lt-LT"/>
        </w:rPr>
        <w:t>1.1</w:t>
      </w:r>
      <w:r w:rsidR="001F47F2">
        <w:rPr>
          <w:lang w:eastAsia="lt-LT"/>
        </w:rPr>
        <w:t>2</w:t>
      </w:r>
      <w:r w:rsidRPr="00B34D89">
        <w:rPr>
          <w:lang w:eastAsia="lt-LT"/>
        </w:rPr>
        <w:t xml:space="preserve">. </w:t>
      </w:r>
      <w:r w:rsidR="00E87C95" w:rsidRPr="00B34D89">
        <w:rPr>
          <w:lang w:eastAsia="lt-LT"/>
        </w:rPr>
        <w:t>Pakeisti 10 punktą ir jį išdėstyti taip:</w:t>
      </w:r>
    </w:p>
    <w:p w14:paraId="5FC5B776" w14:textId="7991AFCC" w:rsidR="00E87C95" w:rsidRPr="00B34D89" w:rsidRDefault="00E87C95" w:rsidP="00B34D89">
      <w:pPr>
        <w:widowControl w:val="0"/>
        <w:tabs>
          <w:tab w:val="left" w:pos="567"/>
          <w:tab w:val="left" w:pos="1134"/>
        </w:tabs>
        <w:ind w:firstLine="567"/>
        <w:contextualSpacing/>
        <w:jc w:val="both"/>
        <w:rPr>
          <w:lang w:eastAsia="lt-LT"/>
        </w:rPr>
      </w:pPr>
      <w:r w:rsidRPr="00B34D89">
        <w:rPr>
          <w:lang w:eastAsia="lt-LT"/>
        </w:rPr>
        <w:t>„10.</w:t>
      </w:r>
      <w:r w:rsidRPr="00B34D89">
        <w:rPr>
          <w:lang w:eastAsia="lt-LT"/>
        </w:rPr>
        <w:tab/>
        <w:t>Bylas skirstantis asmuo bylą teisėjui ar teisėjų kolegijai skiria tada, kai teismo</w:t>
      </w:r>
      <w:r w:rsidRPr="00B34D89">
        <w:rPr>
          <w:b/>
          <w:lang w:eastAsia="lt-LT"/>
        </w:rPr>
        <w:t>,</w:t>
      </w:r>
      <w:r w:rsidRPr="00B34D89">
        <w:rPr>
          <w:lang w:eastAsia="lt-LT"/>
        </w:rPr>
        <w:t xml:space="preserve"> teismo skyriaus raštinės</w:t>
      </w:r>
      <w:r w:rsidRPr="00007605">
        <w:rPr>
          <w:lang w:eastAsia="lt-LT"/>
        </w:rPr>
        <w:t>, o kai teismas sudarytas iš teismo rūmų, – teismo raštinės poskyrio</w:t>
      </w:r>
      <w:r w:rsidR="00007605" w:rsidRPr="00007605">
        <w:rPr>
          <w:lang w:eastAsia="lt-LT"/>
        </w:rPr>
        <w:t>,</w:t>
      </w:r>
      <w:r w:rsidRPr="00007605">
        <w:rPr>
          <w:lang w:eastAsia="lt-LT"/>
        </w:rPr>
        <w:t xml:space="preserve"> darbuotojai LITEKO suformuoja bylą (elektroninę bylos kortelę). Kai teismas sudarytas iš teismo rūmų, formuodami bylą (elektroninę bylos kortelę) LITEKO teismo raštinės poskyrio darbuotojai</w:t>
      </w:r>
      <w:r w:rsidR="00053CD1" w:rsidRPr="00007605">
        <w:rPr>
          <w:lang w:eastAsia="lt-LT"/>
        </w:rPr>
        <w:t xml:space="preserve"> ar </w:t>
      </w:r>
      <w:r w:rsidR="00430273" w:rsidRPr="00007605">
        <w:rPr>
          <w:lang w:eastAsia="lt-LT"/>
        </w:rPr>
        <w:t xml:space="preserve">teismo </w:t>
      </w:r>
      <w:r w:rsidR="00053CD1" w:rsidRPr="00007605">
        <w:rPr>
          <w:lang w:eastAsia="lt-LT"/>
        </w:rPr>
        <w:t>pirmininko įgalioti asmenys</w:t>
      </w:r>
      <w:r w:rsidRPr="00007605">
        <w:rPr>
          <w:lang w:eastAsia="lt-LT"/>
        </w:rPr>
        <w:t xml:space="preserve"> elektroninėje bylos kortelėje pažymi</w:t>
      </w:r>
      <w:r w:rsidR="00B43C54" w:rsidRPr="00007605">
        <w:rPr>
          <w:lang w:eastAsia="lt-LT"/>
        </w:rPr>
        <w:t xml:space="preserve"> bylos šalies nurodytą ar </w:t>
      </w:r>
      <w:r w:rsidR="00430273" w:rsidRPr="00007605">
        <w:rPr>
          <w:lang w:eastAsia="lt-LT"/>
        </w:rPr>
        <w:t>teisme</w:t>
      </w:r>
      <w:r w:rsidR="00942C69" w:rsidRPr="00007605">
        <w:rPr>
          <w:lang w:eastAsia="lt-LT"/>
        </w:rPr>
        <w:t xml:space="preserve"> </w:t>
      </w:r>
      <w:r w:rsidR="00B43C54" w:rsidRPr="00007605">
        <w:rPr>
          <w:lang w:eastAsia="lt-LT"/>
        </w:rPr>
        <w:t>nustatytą</w:t>
      </w:r>
      <w:r w:rsidRPr="00007605">
        <w:rPr>
          <w:lang w:eastAsia="lt-LT"/>
        </w:rPr>
        <w:t xml:space="preserve"> preliminarų </w:t>
      </w:r>
      <w:r w:rsidR="00053CD1" w:rsidRPr="00007605">
        <w:rPr>
          <w:lang w:eastAsia="lt-LT"/>
        </w:rPr>
        <w:t>bylos</w:t>
      </w:r>
      <w:r w:rsidR="00942C69" w:rsidRPr="00007605">
        <w:rPr>
          <w:lang w:eastAsia="lt-LT"/>
        </w:rPr>
        <w:t xml:space="preserve"> </w:t>
      </w:r>
      <w:r w:rsidR="00053CD1" w:rsidRPr="00007605">
        <w:rPr>
          <w:lang w:eastAsia="lt-LT"/>
        </w:rPr>
        <w:t>priskyrimą teismo rūmams</w:t>
      </w:r>
      <w:r w:rsidR="00B43C54" w:rsidRPr="00007605">
        <w:rPr>
          <w:lang w:eastAsia="lt-LT"/>
        </w:rPr>
        <w:t>.</w:t>
      </w:r>
      <w:r w:rsidRPr="00007605">
        <w:rPr>
          <w:lang w:eastAsia="lt-LT"/>
        </w:rPr>
        <w:t xml:space="preserve"> </w:t>
      </w:r>
      <w:r w:rsidR="00B372C4" w:rsidRPr="00007605">
        <w:rPr>
          <w:color w:val="000000"/>
          <w:lang w:eastAsia="lt-LT" w:bidi="lt-LT"/>
        </w:rPr>
        <w:t>Pažymint preliminarų bylos priskyrimą teismo rūmams, atsižvelgiama šio aprašo 14</w:t>
      </w:r>
      <w:r w:rsidR="00B372C4" w:rsidRPr="00007605">
        <w:rPr>
          <w:color w:val="000000"/>
          <w:vertAlign w:val="superscript"/>
          <w:lang w:eastAsia="lt-LT" w:bidi="lt-LT"/>
        </w:rPr>
        <w:t>2</w:t>
      </w:r>
      <w:r w:rsidR="00B372C4" w:rsidRPr="00007605">
        <w:rPr>
          <w:color w:val="000000"/>
          <w:lang w:eastAsia="lt-LT" w:bidi="lt-LT"/>
        </w:rPr>
        <w:t xml:space="preserve"> punkte numatyta tvarka</w:t>
      </w:r>
      <w:r w:rsidR="00430273" w:rsidRPr="00007605">
        <w:rPr>
          <w:color w:val="000000"/>
          <w:lang w:eastAsia="lt-LT" w:bidi="lt-LT"/>
        </w:rPr>
        <w:t xml:space="preserve"> nustatytą bylų priskyrimo teismo rūmams tvarką. </w:t>
      </w:r>
      <w:r w:rsidR="00B43C54" w:rsidRPr="00007605">
        <w:rPr>
          <w:lang w:eastAsia="lt-LT"/>
        </w:rPr>
        <w:t>Teismo raštinės poskyrio darbuotojui</w:t>
      </w:r>
      <w:r w:rsidR="00942C69" w:rsidRPr="00007605">
        <w:rPr>
          <w:lang w:eastAsia="lt-LT"/>
        </w:rPr>
        <w:t xml:space="preserve"> </w:t>
      </w:r>
      <w:r w:rsidR="00160D0C" w:rsidRPr="00007605">
        <w:rPr>
          <w:lang w:eastAsia="lt-LT"/>
        </w:rPr>
        <w:t xml:space="preserve">ar </w:t>
      </w:r>
      <w:r w:rsidR="00053CD1" w:rsidRPr="00007605">
        <w:rPr>
          <w:lang w:eastAsia="lt-LT"/>
        </w:rPr>
        <w:t>pirmininko įgaliotam asmeniui</w:t>
      </w:r>
      <w:r w:rsidR="00B43C54" w:rsidRPr="00007605">
        <w:rPr>
          <w:lang w:eastAsia="lt-LT"/>
        </w:rPr>
        <w:t xml:space="preserve"> nurodžius preliminarų bylos </w:t>
      </w:r>
      <w:r w:rsidR="00053CD1" w:rsidRPr="00007605">
        <w:rPr>
          <w:lang w:eastAsia="lt-LT"/>
        </w:rPr>
        <w:t>priskyrimą teismo rūmams</w:t>
      </w:r>
      <w:r w:rsidR="00B43C54" w:rsidRPr="00007605">
        <w:rPr>
          <w:lang w:eastAsia="lt-LT"/>
        </w:rPr>
        <w:t>,</w:t>
      </w:r>
      <w:r w:rsidRPr="00007605">
        <w:rPr>
          <w:lang w:eastAsia="lt-LT"/>
        </w:rPr>
        <w:t xml:space="preserve"> esant poreikiui ar </w:t>
      </w:r>
      <w:r w:rsidR="00B43C54" w:rsidRPr="00007605">
        <w:rPr>
          <w:lang w:eastAsia="lt-LT"/>
        </w:rPr>
        <w:t xml:space="preserve">kilus </w:t>
      </w:r>
      <w:proofErr w:type="spellStart"/>
      <w:r w:rsidRPr="00007605">
        <w:rPr>
          <w:lang w:eastAsia="lt-LT"/>
        </w:rPr>
        <w:t>neaiškum</w:t>
      </w:r>
      <w:r w:rsidR="00B43C54" w:rsidRPr="00007605">
        <w:rPr>
          <w:lang w:eastAsia="lt-LT"/>
        </w:rPr>
        <w:t>ų</w:t>
      </w:r>
      <w:proofErr w:type="spellEnd"/>
      <w:r w:rsidRPr="00007605">
        <w:rPr>
          <w:lang w:eastAsia="lt-LT"/>
        </w:rPr>
        <w:t xml:space="preserve"> dėl bylos </w:t>
      </w:r>
      <w:r w:rsidR="00053CD1" w:rsidRPr="00007605">
        <w:rPr>
          <w:lang w:eastAsia="lt-LT"/>
        </w:rPr>
        <w:t>priskyrimo</w:t>
      </w:r>
      <w:r w:rsidRPr="00007605">
        <w:rPr>
          <w:lang w:eastAsia="lt-LT"/>
        </w:rPr>
        <w:t>, prie elektroninės bylos kortelės</w:t>
      </w:r>
      <w:r w:rsidR="00B43C54" w:rsidRPr="00007605">
        <w:rPr>
          <w:lang w:eastAsia="lt-LT"/>
        </w:rPr>
        <w:t xml:space="preserve"> gali būti</w:t>
      </w:r>
      <w:r w:rsidRPr="00007605">
        <w:rPr>
          <w:lang w:eastAsia="lt-LT"/>
        </w:rPr>
        <w:t xml:space="preserve"> prideda</w:t>
      </w:r>
      <w:r w:rsidR="00B43C54" w:rsidRPr="00007605">
        <w:rPr>
          <w:lang w:eastAsia="lt-LT"/>
        </w:rPr>
        <w:t>ma</w:t>
      </w:r>
      <w:r w:rsidRPr="00007605">
        <w:rPr>
          <w:lang w:eastAsia="lt-LT"/>
        </w:rPr>
        <w:t xml:space="preserve"> suskaitmenint</w:t>
      </w:r>
      <w:r w:rsidR="00B43C54" w:rsidRPr="00007605">
        <w:rPr>
          <w:lang w:eastAsia="lt-LT"/>
        </w:rPr>
        <w:t xml:space="preserve">a bylos ar bylos dalies medžiaga, susijusi su bylos </w:t>
      </w:r>
      <w:r w:rsidR="00053CD1" w:rsidRPr="00007605">
        <w:rPr>
          <w:lang w:eastAsia="lt-LT"/>
        </w:rPr>
        <w:t>priskyrimo</w:t>
      </w:r>
      <w:r w:rsidR="00B43C54" w:rsidRPr="00007605">
        <w:rPr>
          <w:lang w:eastAsia="lt-LT"/>
        </w:rPr>
        <w:t xml:space="preserve"> vertinimu</w:t>
      </w:r>
      <w:r w:rsidRPr="00007605">
        <w:rPr>
          <w:lang w:eastAsia="lt-LT"/>
        </w:rPr>
        <w:t>.</w:t>
      </w:r>
      <w:r w:rsidRPr="00B34D89">
        <w:rPr>
          <w:lang w:eastAsia="lt-LT"/>
        </w:rPr>
        <w:t xml:space="preserve"> Modulis bylas skirstančiam asmeniui pateikia informaciją apie teisme gautas, teismo raštinės darbuotojų LITEKO suformuotas ir teisėjams dar nepaskirtas bylas (elektronines bylų korteles).“</w:t>
      </w:r>
      <w:r w:rsidR="00374437" w:rsidRPr="00B34D89">
        <w:rPr>
          <w:lang w:eastAsia="lt-LT"/>
        </w:rPr>
        <w:t>;</w:t>
      </w:r>
    </w:p>
    <w:p w14:paraId="3F1C14B7" w14:textId="77777777" w:rsidR="00E87C95" w:rsidRPr="00B34D89" w:rsidRDefault="00B34D89" w:rsidP="00B34D89">
      <w:pPr>
        <w:widowControl w:val="0"/>
        <w:tabs>
          <w:tab w:val="left" w:pos="567"/>
          <w:tab w:val="left" w:pos="1134"/>
        </w:tabs>
        <w:ind w:firstLine="709"/>
        <w:contextualSpacing/>
        <w:jc w:val="both"/>
        <w:rPr>
          <w:lang w:eastAsia="lt-LT"/>
        </w:rPr>
      </w:pPr>
      <w:r w:rsidRPr="00B34D89">
        <w:rPr>
          <w:lang w:eastAsia="lt-LT"/>
        </w:rPr>
        <w:t>1.1</w:t>
      </w:r>
      <w:r w:rsidR="001F47F2">
        <w:rPr>
          <w:lang w:eastAsia="lt-LT"/>
        </w:rPr>
        <w:t>3</w:t>
      </w:r>
      <w:r w:rsidR="00E87C95" w:rsidRPr="00B34D89">
        <w:rPr>
          <w:lang w:eastAsia="lt-LT"/>
        </w:rPr>
        <w:t>. Pakeisti 12 punktą ir jį išdėstyti taip:</w:t>
      </w:r>
    </w:p>
    <w:p w14:paraId="33538B12" w14:textId="65122383" w:rsidR="00E87C95" w:rsidRPr="00B34D89" w:rsidRDefault="00E87C95" w:rsidP="00B34D89">
      <w:pPr>
        <w:widowControl w:val="0"/>
        <w:tabs>
          <w:tab w:val="left" w:pos="567"/>
          <w:tab w:val="left" w:pos="1134"/>
        </w:tabs>
        <w:ind w:firstLine="709"/>
        <w:contextualSpacing/>
        <w:jc w:val="both"/>
        <w:rPr>
          <w:lang w:eastAsia="lt-LT"/>
        </w:rPr>
      </w:pPr>
      <w:r w:rsidRPr="00B34D89">
        <w:rPr>
          <w:lang w:eastAsia="lt-LT"/>
        </w:rPr>
        <w:t>„12.</w:t>
      </w:r>
      <w:r w:rsidRPr="00B34D89">
        <w:rPr>
          <w:lang w:eastAsia="lt-LT"/>
        </w:rPr>
        <w:tab/>
      </w:r>
      <w:r w:rsidR="00812A4F" w:rsidRPr="00B34D89">
        <w:rPr>
          <w:lang w:eastAsia="lt-LT"/>
        </w:rPr>
        <w:t xml:space="preserve"> </w:t>
      </w:r>
      <w:r w:rsidRPr="00B34D89">
        <w:rPr>
          <w:lang w:eastAsia="lt-LT"/>
        </w:rPr>
        <w:t>Teisėjo (teisėjo pranešėjo) parinkimą pagal atitinkamo teismo</w:t>
      </w:r>
      <w:r w:rsidRPr="00007605">
        <w:rPr>
          <w:lang w:eastAsia="lt-LT"/>
        </w:rPr>
        <w:t>, o kai teismas sudarytas iš teismo rūmų, – teismo rūmų</w:t>
      </w:r>
      <w:r w:rsidR="00007605" w:rsidRPr="00007605">
        <w:rPr>
          <w:lang w:eastAsia="lt-LT"/>
        </w:rPr>
        <w:t>,</w:t>
      </w:r>
      <w:r w:rsidRPr="00007605">
        <w:rPr>
          <w:lang w:eastAsia="lt-LT"/>
        </w:rPr>
        <w:t xml:space="preserve"> </w:t>
      </w:r>
      <w:r w:rsidRPr="00B34D89">
        <w:rPr>
          <w:lang w:eastAsia="lt-LT"/>
        </w:rPr>
        <w:t>kompetenciją ir specifiką Modulis atlieka automatizuotu būdu, visuomet įvertindamas ir atsižvelgdamas į:“</w:t>
      </w:r>
      <w:r w:rsidR="00374437" w:rsidRPr="00B34D89">
        <w:rPr>
          <w:lang w:eastAsia="lt-LT"/>
        </w:rPr>
        <w:t>;</w:t>
      </w:r>
    </w:p>
    <w:p w14:paraId="270AFC2B" w14:textId="77777777" w:rsidR="00DE39F5" w:rsidRPr="00B34D89" w:rsidRDefault="00DE39F5" w:rsidP="00B34D89">
      <w:pPr>
        <w:widowControl w:val="0"/>
        <w:tabs>
          <w:tab w:val="left" w:pos="567"/>
          <w:tab w:val="left" w:pos="1134"/>
        </w:tabs>
        <w:ind w:firstLine="709"/>
        <w:contextualSpacing/>
        <w:jc w:val="both"/>
        <w:rPr>
          <w:lang w:eastAsia="lt-LT"/>
        </w:rPr>
      </w:pPr>
      <w:r w:rsidRPr="00B34D89">
        <w:rPr>
          <w:lang w:eastAsia="lt-LT"/>
        </w:rPr>
        <w:t>1.1</w:t>
      </w:r>
      <w:r w:rsidR="001F47F2">
        <w:rPr>
          <w:lang w:eastAsia="lt-LT"/>
        </w:rPr>
        <w:t>4</w:t>
      </w:r>
      <w:r w:rsidRPr="00B34D89">
        <w:rPr>
          <w:lang w:eastAsia="lt-LT"/>
        </w:rPr>
        <w:t>. Pakeisti 12.2 papunktį ir jį išdėstyti taip:</w:t>
      </w:r>
    </w:p>
    <w:p w14:paraId="6B78D429" w14:textId="159AC141" w:rsidR="00DE39F5" w:rsidRDefault="00DE39F5" w:rsidP="00B34D89">
      <w:pPr>
        <w:widowControl w:val="0"/>
        <w:tabs>
          <w:tab w:val="left" w:pos="567"/>
          <w:tab w:val="left" w:pos="1134"/>
        </w:tabs>
        <w:ind w:firstLine="709"/>
        <w:contextualSpacing/>
        <w:jc w:val="both"/>
        <w:rPr>
          <w:lang w:eastAsia="lt-LT"/>
        </w:rPr>
      </w:pPr>
      <w:r w:rsidRPr="00B34D89">
        <w:rPr>
          <w:lang w:eastAsia="lt-LT"/>
        </w:rPr>
        <w:t xml:space="preserve">„12.2. </w:t>
      </w:r>
      <w:r w:rsidRPr="00B34D89">
        <w:t xml:space="preserve">teisėjui paskirtų bylų skaičių ataskaitiniu laikotarpiu, apskaičiuotą už ne mažesnį kaip paskutinių </w:t>
      </w:r>
      <w:r w:rsidR="003B68E1" w:rsidRPr="00007605">
        <w:t>90</w:t>
      </w:r>
      <w:r w:rsidRPr="00007605">
        <w:t xml:space="preserve"> dienų laikotarpį apylinkių teismų</w:t>
      </w:r>
      <w:r w:rsidR="003B68E1" w:rsidRPr="00007605">
        <w:t>, o kai teismas sudarytas iš teismo rūmų, – teismo rūmų</w:t>
      </w:r>
      <w:r w:rsidR="00007605" w:rsidRPr="00007605">
        <w:t>,</w:t>
      </w:r>
      <w:r w:rsidRPr="00007605">
        <w:t xml:space="preserve"> teisėjams, 60 dienų laikotarpį Lietuvos apeliacinio teismo teisėjams, 1 metų laikotarpį Lietuvos Aukščiausiojo Teismo teisėjams, 100 dienų laikotarpį Vilniaus apygardos administracinio teismo teisėjams, 30 dienų laikotarpį </w:t>
      </w:r>
      <w:r w:rsidR="00D57318" w:rsidRPr="00007605">
        <w:t xml:space="preserve">kiekvienų atskirai </w:t>
      </w:r>
      <w:r w:rsidRPr="00007605">
        <w:t>R</w:t>
      </w:r>
      <w:r w:rsidR="00D57318" w:rsidRPr="00007605">
        <w:t>egionų apygardos administraciniam teismui priklausančių</w:t>
      </w:r>
      <w:r w:rsidR="003B68E1" w:rsidRPr="00007605">
        <w:t xml:space="preserve"> rūmų</w:t>
      </w:r>
      <w:r w:rsidR="00D57318" w:rsidRPr="00007605">
        <w:t xml:space="preserve"> teisėjams, taip pat</w:t>
      </w:r>
      <w:r w:rsidRPr="00B34D89">
        <w:t xml:space="preserve"> Lietuvos vyriausiojo administracinio teismo teisėjams, 90 dienų laikotarpį kitų teismų teisėjams įvertinus teisėjo dirbtas dienas, paskirtų bylų skaičių ir jų sudėtingumą, taip pat Modulis įvertina teisėjo užimtumą kitoje veikloje;</w:t>
      </w:r>
      <w:r w:rsidRPr="00B34D89">
        <w:rPr>
          <w:lang w:eastAsia="lt-LT"/>
        </w:rPr>
        <w:t>“</w:t>
      </w:r>
      <w:r w:rsidR="00374437" w:rsidRPr="00B34D89">
        <w:rPr>
          <w:lang w:eastAsia="lt-LT"/>
        </w:rPr>
        <w:t>;</w:t>
      </w:r>
    </w:p>
    <w:p w14:paraId="1570213B" w14:textId="77777777" w:rsidR="003B68E1" w:rsidRDefault="003B68E1" w:rsidP="003B68E1">
      <w:pPr>
        <w:widowControl w:val="0"/>
        <w:tabs>
          <w:tab w:val="left" w:pos="709"/>
        </w:tabs>
        <w:ind w:firstLine="709"/>
        <w:contextualSpacing/>
        <w:jc w:val="both"/>
        <w:rPr>
          <w:lang w:eastAsia="lt-LT"/>
        </w:rPr>
      </w:pPr>
      <w:r w:rsidRPr="0069209B">
        <w:rPr>
          <w:lang w:eastAsia="lt-LT"/>
        </w:rPr>
        <w:t>1.1</w:t>
      </w:r>
      <w:r w:rsidR="001F47F2">
        <w:rPr>
          <w:lang w:eastAsia="lt-LT"/>
        </w:rPr>
        <w:t>5</w:t>
      </w:r>
      <w:r w:rsidRPr="0069209B">
        <w:rPr>
          <w:lang w:eastAsia="lt-LT"/>
        </w:rPr>
        <w:t xml:space="preserve">. </w:t>
      </w:r>
      <w:r>
        <w:rPr>
          <w:lang w:eastAsia="lt-LT"/>
        </w:rPr>
        <w:t>Pakeisti 12.3.1 papunktį ir jį išdėstyti taip:</w:t>
      </w:r>
    </w:p>
    <w:p w14:paraId="09B7A37D" w14:textId="6CF492CF" w:rsidR="003B68E1" w:rsidRDefault="003B68E1" w:rsidP="003B68E1">
      <w:pPr>
        <w:widowControl w:val="0"/>
        <w:tabs>
          <w:tab w:val="left" w:pos="709"/>
        </w:tabs>
        <w:ind w:firstLine="709"/>
        <w:contextualSpacing/>
        <w:jc w:val="both"/>
        <w:rPr>
          <w:lang w:eastAsia="lt-LT"/>
        </w:rPr>
      </w:pPr>
      <w:r>
        <w:rPr>
          <w:lang w:eastAsia="lt-LT"/>
        </w:rPr>
        <w:t xml:space="preserve">„12.3.1. </w:t>
      </w:r>
      <w:r w:rsidRPr="007F25B0">
        <w:rPr>
          <w:szCs w:val="20"/>
          <w:lang w:eastAsia="lt-LT"/>
        </w:rPr>
        <w:t xml:space="preserve">apylinkės </w:t>
      </w:r>
      <w:r w:rsidRPr="00C303D5">
        <w:rPr>
          <w:szCs w:val="20"/>
          <w:lang w:eastAsia="lt-LT"/>
        </w:rPr>
        <w:t>teisme</w:t>
      </w:r>
      <w:r w:rsidRPr="00007605">
        <w:rPr>
          <w:szCs w:val="20"/>
          <w:lang w:eastAsia="lt-LT"/>
        </w:rPr>
        <w:t>, o kai teismas sudarytas iš teismo rūmų, – teismo rūmuose</w:t>
      </w:r>
      <w:r w:rsidR="00007605" w:rsidRPr="00007605">
        <w:rPr>
          <w:szCs w:val="20"/>
          <w:lang w:eastAsia="lt-LT"/>
        </w:rPr>
        <w:t>,</w:t>
      </w:r>
      <w:r w:rsidRPr="007F25B0">
        <w:rPr>
          <w:szCs w:val="20"/>
          <w:lang w:eastAsia="lt-LT"/>
        </w:rPr>
        <w:t xml:space="preserve"> ginčo teisenos bylos potipyje (1 bylų skirstymo grupė);</w:t>
      </w:r>
      <w:r>
        <w:rPr>
          <w:lang w:eastAsia="lt-LT"/>
        </w:rPr>
        <w:t>“;</w:t>
      </w:r>
    </w:p>
    <w:p w14:paraId="650797B9" w14:textId="77777777" w:rsidR="003B68E1" w:rsidRDefault="003B68E1" w:rsidP="003B68E1">
      <w:pPr>
        <w:widowControl w:val="0"/>
        <w:tabs>
          <w:tab w:val="left" w:pos="709"/>
        </w:tabs>
        <w:ind w:firstLine="709"/>
        <w:contextualSpacing/>
        <w:jc w:val="both"/>
        <w:rPr>
          <w:lang w:eastAsia="lt-LT"/>
        </w:rPr>
      </w:pPr>
      <w:r>
        <w:rPr>
          <w:lang w:eastAsia="lt-LT"/>
        </w:rPr>
        <w:t>1.1</w:t>
      </w:r>
      <w:r w:rsidR="001F47F2">
        <w:rPr>
          <w:lang w:eastAsia="lt-LT"/>
        </w:rPr>
        <w:t>6</w:t>
      </w:r>
      <w:r>
        <w:rPr>
          <w:lang w:eastAsia="lt-LT"/>
        </w:rPr>
        <w:t>. Pakeisti 12.4 papunktį ir jį išdėstyti taip:</w:t>
      </w:r>
    </w:p>
    <w:p w14:paraId="6F547F94" w14:textId="7DB0F1E0" w:rsidR="003B68E1" w:rsidRDefault="003B68E1" w:rsidP="003B68E1">
      <w:pPr>
        <w:widowControl w:val="0"/>
        <w:tabs>
          <w:tab w:val="left" w:pos="709"/>
        </w:tabs>
        <w:ind w:firstLine="709"/>
        <w:contextualSpacing/>
        <w:jc w:val="both"/>
        <w:rPr>
          <w:lang w:eastAsia="lt-LT"/>
        </w:rPr>
      </w:pPr>
      <w:r>
        <w:rPr>
          <w:lang w:eastAsia="lt-LT"/>
        </w:rPr>
        <w:t xml:space="preserve">„12.4. </w:t>
      </w:r>
      <w:r>
        <w:rPr>
          <w:szCs w:val="20"/>
          <w:lang w:eastAsia="lt-LT"/>
        </w:rPr>
        <w:t>k</w:t>
      </w:r>
      <w:r w:rsidRPr="007F25B0">
        <w:rPr>
          <w:szCs w:val="20"/>
          <w:lang w:eastAsia="lt-LT"/>
        </w:rPr>
        <w:t xml:space="preserve">iekvieną užbaigtą </w:t>
      </w:r>
      <w:proofErr w:type="spellStart"/>
      <w:r w:rsidRPr="007F25B0">
        <w:rPr>
          <w:szCs w:val="20"/>
          <w:lang w:eastAsia="lt-LT"/>
        </w:rPr>
        <w:t>mediacijos</w:t>
      </w:r>
      <w:proofErr w:type="spellEnd"/>
      <w:r w:rsidRPr="007F25B0">
        <w:rPr>
          <w:szCs w:val="20"/>
          <w:lang w:eastAsia="lt-LT"/>
        </w:rPr>
        <w:t xml:space="preserve"> procesą, kuris, priklausomai nuo teismo</w:t>
      </w:r>
      <w:r w:rsidRPr="00007605">
        <w:rPr>
          <w:szCs w:val="20"/>
          <w:lang w:eastAsia="lt-LT"/>
        </w:rPr>
        <w:t xml:space="preserve">, o kai teismas sudarytas iš teismo rūmų, – teismo rūmuose, kuriuose </w:t>
      </w:r>
      <w:r w:rsidRPr="007F25B0">
        <w:rPr>
          <w:szCs w:val="20"/>
          <w:lang w:eastAsia="lt-LT"/>
        </w:rPr>
        <w:t>teisėjas dirba, yra skaičiuojamas teisėjui kaip viena gauta byla priskiriama atitinkamai:</w:t>
      </w:r>
      <w:r>
        <w:rPr>
          <w:lang w:eastAsia="lt-LT"/>
        </w:rPr>
        <w:t>“;</w:t>
      </w:r>
    </w:p>
    <w:p w14:paraId="17AF35C6" w14:textId="77777777" w:rsidR="003B68E1" w:rsidRDefault="003B68E1" w:rsidP="003B68E1">
      <w:pPr>
        <w:widowControl w:val="0"/>
        <w:tabs>
          <w:tab w:val="left" w:pos="709"/>
        </w:tabs>
        <w:ind w:firstLine="709"/>
        <w:contextualSpacing/>
        <w:jc w:val="both"/>
        <w:rPr>
          <w:lang w:eastAsia="lt-LT"/>
        </w:rPr>
      </w:pPr>
      <w:r>
        <w:rPr>
          <w:lang w:eastAsia="lt-LT"/>
        </w:rPr>
        <w:lastRenderedPageBreak/>
        <w:t>1.1</w:t>
      </w:r>
      <w:r w:rsidR="001F47F2">
        <w:rPr>
          <w:lang w:eastAsia="lt-LT"/>
        </w:rPr>
        <w:t>7</w:t>
      </w:r>
      <w:r>
        <w:rPr>
          <w:lang w:eastAsia="lt-LT"/>
        </w:rPr>
        <w:t>. Pakeisti 12.4.1 papunktį ir jį išdėstyti taip:</w:t>
      </w:r>
    </w:p>
    <w:p w14:paraId="37AE9AB6" w14:textId="06B596C6" w:rsidR="003B68E1" w:rsidRDefault="003B68E1" w:rsidP="003B68E1">
      <w:pPr>
        <w:widowControl w:val="0"/>
        <w:tabs>
          <w:tab w:val="left" w:pos="709"/>
        </w:tabs>
        <w:ind w:firstLine="709"/>
        <w:contextualSpacing/>
        <w:jc w:val="both"/>
        <w:rPr>
          <w:lang w:eastAsia="lt-LT"/>
        </w:rPr>
      </w:pPr>
      <w:r>
        <w:rPr>
          <w:lang w:eastAsia="lt-LT"/>
        </w:rPr>
        <w:t xml:space="preserve">„12.4.1. </w:t>
      </w:r>
      <w:r w:rsidRPr="007F25B0">
        <w:rPr>
          <w:szCs w:val="20"/>
          <w:lang w:eastAsia="lt-LT"/>
        </w:rPr>
        <w:t>apylinkės teisme</w:t>
      </w:r>
      <w:r w:rsidRPr="00007605">
        <w:rPr>
          <w:szCs w:val="20"/>
          <w:lang w:eastAsia="lt-LT"/>
        </w:rPr>
        <w:t>, o kai teismas sudarytas iš teismo rūmų, – teismo rūmuose</w:t>
      </w:r>
      <w:r w:rsidRPr="00007605">
        <w:rPr>
          <w:rStyle w:val="CommentReference"/>
        </w:rPr>
        <w:t>,</w:t>
      </w:r>
      <w:r>
        <w:rPr>
          <w:rStyle w:val="CommentReference"/>
        </w:rPr>
        <w:t xml:space="preserve"> </w:t>
      </w:r>
      <w:r w:rsidR="00007605">
        <w:rPr>
          <w:szCs w:val="20"/>
          <w:lang w:eastAsia="lt-LT"/>
        </w:rPr>
        <w:t xml:space="preserve">ginčo teisenos </w:t>
      </w:r>
      <w:r w:rsidRPr="007F25B0">
        <w:rPr>
          <w:szCs w:val="20"/>
          <w:lang w:eastAsia="lt-LT"/>
        </w:rPr>
        <w:t>bylos potipyje (1 bylų skirstymo grupė);</w:t>
      </w:r>
      <w:r>
        <w:rPr>
          <w:szCs w:val="20"/>
          <w:lang w:eastAsia="lt-LT"/>
        </w:rPr>
        <w:t>“;</w:t>
      </w:r>
    </w:p>
    <w:p w14:paraId="40721148" w14:textId="77777777" w:rsidR="00E87C95" w:rsidRPr="00B34D89" w:rsidRDefault="00E87C95" w:rsidP="00B34D89">
      <w:pPr>
        <w:widowControl w:val="0"/>
        <w:tabs>
          <w:tab w:val="left" w:pos="567"/>
          <w:tab w:val="left" w:pos="1134"/>
        </w:tabs>
        <w:ind w:firstLine="709"/>
        <w:contextualSpacing/>
        <w:jc w:val="both"/>
        <w:rPr>
          <w:lang w:eastAsia="lt-LT"/>
        </w:rPr>
      </w:pPr>
      <w:r w:rsidRPr="00B34D89">
        <w:rPr>
          <w:lang w:eastAsia="lt-LT"/>
        </w:rPr>
        <w:t>1.1</w:t>
      </w:r>
      <w:r w:rsidR="001F47F2">
        <w:rPr>
          <w:lang w:eastAsia="lt-LT"/>
        </w:rPr>
        <w:t>8</w:t>
      </w:r>
      <w:r w:rsidRPr="00B34D89">
        <w:rPr>
          <w:lang w:eastAsia="lt-LT"/>
        </w:rPr>
        <w:t>. Pakeisti 12.5 papunktį ir jį išdėstyti taip:</w:t>
      </w:r>
    </w:p>
    <w:p w14:paraId="730DD6D6" w14:textId="7D2309DE" w:rsidR="00E87C95" w:rsidRPr="00B34D89" w:rsidRDefault="00E87C95" w:rsidP="00B34D89">
      <w:pPr>
        <w:widowControl w:val="0"/>
        <w:tabs>
          <w:tab w:val="left" w:pos="1134"/>
        </w:tabs>
        <w:ind w:firstLine="709"/>
        <w:contextualSpacing/>
        <w:jc w:val="both"/>
        <w:rPr>
          <w:lang w:eastAsia="lt-LT"/>
        </w:rPr>
      </w:pPr>
      <w:r w:rsidRPr="00B34D89">
        <w:rPr>
          <w:lang w:eastAsia="lt-LT"/>
        </w:rPr>
        <w:t>„12.5.</w:t>
      </w:r>
      <w:r w:rsidR="00812A4F" w:rsidRPr="00B34D89">
        <w:rPr>
          <w:lang w:eastAsia="lt-LT"/>
        </w:rPr>
        <w:t xml:space="preserve"> </w:t>
      </w:r>
      <w:r w:rsidRPr="00B34D89">
        <w:rPr>
          <w:lang w:eastAsia="lt-LT"/>
        </w:rPr>
        <w:t>teisėjo, kuris grįžo po atostogų ar dėl kitų priežasčių laikinai nenagrinėjo bylų, ne darbo laikotarpiu teisme (teismo skyriuje</w:t>
      </w:r>
      <w:r w:rsidRPr="00007605">
        <w:rPr>
          <w:lang w:eastAsia="lt-LT"/>
        </w:rPr>
        <w:t>), o kai teismas sudarytas iš teismo rūmų, – teismo rūmuose</w:t>
      </w:r>
      <w:r w:rsidR="00007605" w:rsidRPr="00007605">
        <w:rPr>
          <w:lang w:eastAsia="lt-LT"/>
        </w:rPr>
        <w:t>,</w:t>
      </w:r>
      <w:r w:rsidRPr="00B34D89">
        <w:rPr>
          <w:b/>
          <w:lang w:eastAsia="lt-LT"/>
        </w:rPr>
        <w:t xml:space="preserve"> </w:t>
      </w:r>
      <w:r w:rsidRPr="00B34D89">
        <w:rPr>
          <w:lang w:eastAsia="lt-LT"/>
        </w:rPr>
        <w:t>dirbusiems teisėjams paskirtų nagrinėti naujų bylų skaičiaus vidurkį (naujai paskirto teisėjo atveju yra vertinamas paskutinį ataskaitinį laikotarpį dirbusiems teisėjams paskirtų nagrinėti naujų bylų skaičiaus vidurkis).“</w:t>
      </w:r>
      <w:r w:rsidR="00374437" w:rsidRPr="00B34D89">
        <w:rPr>
          <w:lang w:eastAsia="lt-LT"/>
        </w:rPr>
        <w:t>;</w:t>
      </w:r>
    </w:p>
    <w:p w14:paraId="74F7CE38" w14:textId="77777777" w:rsidR="00E87C95" w:rsidRPr="00B34D89" w:rsidRDefault="00E87C95" w:rsidP="00B34D89">
      <w:pPr>
        <w:widowControl w:val="0"/>
        <w:tabs>
          <w:tab w:val="left" w:pos="1134"/>
        </w:tabs>
        <w:ind w:firstLine="709"/>
        <w:contextualSpacing/>
        <w:jc w:val="both"/>
        <w:rPr>
          <w:lang w:eastAsia="lt-LT"/>
        </w:rPr>
      </w:pPr>
      <w:r w:rsidRPr="00B34D89">
        <w:rPr>
          <w:lang w:eastAsia="lt-LT"/>
        </w:rPr>
        <w:t>1.</w:t>
      </w:r>
      <w:r w:rsidR="001F47F2">
        <w:rPr>
          <w:lang w:eastAsia="lt-LT"/>
        </w:rPr>
        <w:t>19</w:t>
      </w:r>
      <w:r w:rsidRPr="00B34D89">
        <w:rPr>
          <w:lang w:eastAsia="lt-LT"/>
        </w:rPr>
        <w:t>. Pakeisti 13 punktą ir jį išdėstyti taip:</w:t>
      </w:r>
    </w:p>
    <w:p w14:paraId="61AF2B8F" w14:textId="443E7698" w:rsidR="00E87C95" w:rsidRPr="00B34D89" w:rsidRDefault="00E87C95" w:rsidP="00B34D89">
      <w:pPr>
        <w:widowControl w:val="0"/>
        <w:tabs>
          <w:tab w:val="left" w:pos="567"/>
          <w:tab w:val="left" w:pos="1134"/>
        </w:tabs>
        <w:ind w:firstLine="709"/>
        <w:contextualSpacing/>
        <w:jc w:val="both"/>
        <w:rPr>
          <w:lang w:eastAsia="lt-LT"/>
        </w:rPr>
      </w:pPr>
      <w:r w:rsidRPr="00B34D89">
        <w:rPr>
          <w:lang w:eastAsia="lt-LT"/>
        </w:rPr>
        <w:t>„13</w:t>
      </w:r>
      <w:r w:rsidR="00812A4F" w:rsidRPr="00B34D89">
        <w:rPr>
          <w:lang w:eastAsia="lt-LT"/>
        </w:rPr>
        <w:t xml:space="preserve">. </w:t>
      </w:r>
      <w:r w:rsidRPr="00B34D89">
        <w:rPr>
          <w:lang w:eastAsia="lt-LT"/>
        </w:rPr>
        <w:t>Modulis, nustatydamas bylos paskyrimą teisėjui ar teisėjų kolegijai, sudaro teisme</w:t>
      </w:r>
      <w:r w:rsidRPr="00007605">
        <w:rPr>
          <w:lang w:eastAsia="lt-LT"/>
        </w:rPr>
        <w:t>, o</w:t>
      </w:r>
      <w:r w:rsidRPr="00B34D89">
        <w:rPr>
          <w:b/>
          <w:lang w:eastAsia="lt-LT"/>
        </w:rPr>
        <w:t xml:space="preserve"> </w:t>
      </w:r>
      <w:r w:rsidRPr="00007605">
        <w:rPr>
          <w:lang w:eastAsia="lt-LT"/>
        </w:rPr>
        <w:t>kai teis</w:t>
      </w:r>
      <w:r w:rsidR="00D57318" w:rsidRPr="00007605">
        <w:rPr>
          <w:lang w:eastAsia="lt-LT"/>
        </w:rPr>
        <w:t>mas sudarytas iš teismo rūmų, –</w:t>
      </w:r>
      <w:r w:rsidR="00D41D28" w:rsidRPr="00007605">
        <w:rPr>
          <w:lang w:eastAsia="lt-LT"/>
        </w:rPr>
        <w:t xml:space="preserve"> </w:t>
      </w:r>
      <w:r w:rsidR="003B68E1" w:rsidRPr="00007605">
        <w:rPr>
          <w:lang w:eastAsia="lt-LT"/>
        </w:rPr>
        <w:t>pasirinktuose</w:t>
      </w:r>
      <w:r w:rsidR="00D41D28" w:rsidRPr="00007605">
        <w:rPr>
          <w:lang w:eastAsia="lt-LT"/>
        </w:rPr>
        <w:t xml:space="preserve"> </w:t>
      </w:r>
      <w:r w:rsidRPr="00007605">
        <w:rPr>
          <w:lang w:eastAsia="lt-LT"/>
        </w:rPr>
        <w:t>teismo rūmuose</w:t>
      </w:r>
      <w:r w:rsidR="00007605">
        <w:rPr>
          <w:lang w:eastAsia="lt-LT"/>
        </w:rPr>
        <w:t>,</w:t>
      </w:r>
      <w:r w:rsidRPr="00B34D89">
        <w:rPr>
          <w:lang w:eastAsia="lt-LT"/>
        </w:rPr>
        <w:t xml:space="preserve"> galinčių šią bylą nagrinėti teisėjų eilę, kurios laikantis skiriamas bylą nagrinėsiantis teisėjas.“</w:t>
      </w:r>
      <w:r w:rsidR="00374437" w:rsidRPr="00B34D89">
        <w:rPr>
          <w:lang w:eastAsia="lt-LT"/>
        </w:rPr>
        <w:t>;</w:t>
      </w:r>
      <w:r w:rsidRPr="00B34D89">
        <w:rPr>
          <w:lang w:eastAsia="lt-LT"/>
        </w:rPr>
        <w:t xml:space="preserve"> </w:t>
      </w:r>
    </w:p>
    <w:p w14:paraId="1826F879" w14:textId="77777777" w:rsidR="00A8669C" w:rsidRPr="00B34D89" w:rsidRDefault="00D43142" w:rsidP="00B34D89">
      <w:pPr>
        <w:widowControl w:val="0"/>
        <w:tabs>
          <w:tab w:val="left" w:pos="567"/>
          <w:tab w:val="left" w:pos="1134"/>
        </w:tabs>
        <w:ind w:firstLine="709"/>
        <w:contextualSpacing/>
        <w:jc w:val="both"/>
        <w:rPr>
          <w:lang w:eastAsia="lt-LT"/>
        </w:rPr>
      </w:pPr>
      <w:r w:rsidRPr="00B34D89">
        <w:rPr>
          <w:lang w:eastAsia="lt-LT"/>
        </w:rPr>
        <w:t>1.</w:t>
      </w:r>
      <w:r w:rsidR="003B68E1">
        <w:rPr>
          <w:lang w:eastAsia="lt-LT"/>
        </w:rPr>
        <w:t>2</w:t>
      </w:r>
      <w:r w:rsidR="001F47F2">
        <w:rPr>
          <w:lang w:eastAsia="lt-LT"/>
        </w:rPr>
        <w:t>0</w:t>
      </w:r>
      <w:r w:rsidRPr="00B34D89">
        <w:rPr>
          <w:lang w:eastAsia="lt-LT"/>
        </w:rPr>
        <w:t>. Papildyti 14</w:t>
      </w:r>
      <w:r w:rsidRPr="00B34D89">
        <w:rPr>
          <w:vertAlign w:val="superscript"/>
          <w:lang w:eastAsia="lt-LT"/>
        </w:rPr>
        <w:t>1</w:t>
      </w:r>
      <w:r w:rsidRPr="00B34D89">
        <w:rPr>
          <w:lang w:eastAsia="lt-LT"/>
        </w:rPr>
        <w:t xml:space="preserve"> punktu ir jį išdėstyti taip:</w:t>
      </w:r>
    </w:p>
    <w:p w14:paraId="2A170689" w14:textId="15B1A5FC" w:rsidR="00D43142" w:rsidRPr="00007605" w:rsidRDefault="00D43142" w:rsidP="00B34D89">
      <w:pPr>
        <w:pStyle w:val="ListParagraph"/>
        <w:ind w:left="0" w:firstLine="709"/>
        <w:jc w:val="both"/>
        <w:rPr>
          <w:lang w:eastAsia="lt-LT"/>
        </w:rPr>
      </w:pPr>
      <w:r w:rsidRPr="00007605">
        <w:rPr>
          <w:lang w:eastAsia="lt-LT"/>
        </w:rPr>
        <w:t>„</w:t>
      </w:r>
      <w:r w:rsidRPr="00007605">
        <w:rPr>
          <w:rFonts w:eastAsiaTheme="minorHAnsi"/>
          <w:lang w:eastAsia="lt-LT"/>
        </w:rPr>
        <w:t>14</w:t>
      </w:r>
      <w:r w:rsidRPr="00007605">
        <w:rPr>
          <w:rFonts w:eastAsiaTheme="minorHAnsi"/>
          <w:vertAlign w:val="superscript"/>
          <w:lang w:eastAsia="lt-LT"/>
        </w:rPr>
        <w:t>1</w:t>
      </w:r>
      <w:r w:rsidRPr="00007605">
        <w:rPr>
          <w:rFonts w:eastAsiaTheme="minorHAnsi"/>
          <w:lang w:eastAsia="lt-LT"/>
        </w:rPr>
        <w:t>.</w:t>
      </w:r>
      <w:r w:rsidRPr="00007605">
        <w:rPr>
          <w:lang w:eastAsia="lt-LT"/>
        </w:rPr>
        <w:t xml:space="preserve"> </w:t>
      </w:r>
      <w:r w:rsidR="003B68E1" w:rsidRPr="00007605">
        <w:rPr>
          <w:lang w:eastAsia="lt-LT"/>
        </w:rPr>
        <w:t xml:space="preserve">Tuo atveju, kai teismas sudarytas iš teismo rūmų, pasirinktuose teismo rūmuose nesant bylą galinčių nagrinėti teisėjų, bylas skirstantis asmuo, </w:t>
      </w:r>
      <w:r w:rsidR="002F5785" w:rsidRPr="00007605">
        <w:rPr>
          <w:lang w:eastAsia="lt-LT"/>
        </w:rPr>
        <w:t xml:space="preserve">teismo pirmininko, jo pavaduotojo ar kito įgalioto teisėjo sprendimu, </w:t>
      </w:r>
      <w:r w:rsidR="003B68E1" w:rsidRPr="00007605">
        <w:rPr>
          <w:lang w:eastAsia="lt-LT"/>
        </w:rPr>
        <w:t>naudodamas funkciją „pasirinkti kitus teismo rūmus“, parenka iš sąrašo kitus teismo rūmus, kurių teisėjams gali būti skiriama byla nagrinėti, ir Modulis atlieka teisėjo (teisėjo pranešėjo) parinkimą Aprašo 12 punkte numatyta tvarka.</w:t>
      </w:r>
      <w:r w:rsidRPr="00007605">
        <w:rPr>
          <w:lang w:eastAsia="lt-LT"/>
        </w:rPr>
        <w:t>“</w:t>
      </w:r>
      <w:r w:rsidR="00374437" w:rsidRPr="00007605">
        <w:rPr>
          <w:lang w:eastAsia="lt-LT"/>
        </w:rPr>
        <w:t>;</w:t>
      </w:r>
    </w:p>
    <w:p w14:paraId="506281AC" w14:textId="77777777" w:rsidR="00B753EE" w:rsidRPr="00B34D89" w:rsidRDefault="00B753EE" w:rsidP="00B34D89">
      <w:pPr>
        <w:widowControl w:val="0"/>
        <w:tabs>
          <w:tab w:val="left" w:pos="567"/>
          <w:tab w:val="left" w:pos="1134"/>
        </w:tabs>
        <w:ind w:firstLine="709"/>
        <w:contextualSpacing/>
        <w:jc w:val="both"/>
        <w:rPr>
          <w:lang w:eastAsia="lt-LT"/>
        </w:rPr>
      </w:pPr>
      <w:r w:rsidRPr="00B34D89">
        <w:rPr>
          <w:lang w:eastAsia="lt-LT"/>
        </w:rPr>
        <w:t>1.</w:t>
      </w:r>
      <w:r w:rsidR="003B68E1">
        <w:rPr>
          <w:lang w:eastAsia="lt-LT"/>
        </w:rPr>
        <w:t>2</w:t>
      </w:r>
      <w:r w:rsidR="001F47F2">
        <w:rPr>
          <w:lang w:eastAsia="lt-LT"/>
        </w:rPr>
        <w:t>1</w:t>
      </w:r>
      <w:r w:rsidRPr="00B34D89">
        <w:rPr>
          <w:lang w:eastAsia="lt-LT"/>
        </w:rPr>
        <w:t>. Papildyti 14</w:t>
      </w:r>
      <w:r w:rsidRPr="00B34D89">
        <w:rPr>
          <w:vertAlign w:val="superscript"/>
          <w:lang w:eastAsia="lt-LT"/>
        </w:rPr>
        <w:t>2</w:t>
      </w:r>
      <w:r w:rsidRPr="00B34D89">
        <w:rPr>
          <w:lang w:eastAsia="lt-LT"/>
        </w:rPr>
        <w:t xml:space="preserve"> punktu ir jį išdėstyti taip:</w:t>
      </w:r>
    </w:p>
    <w:p w14:paraId="6E157D65" w14:textId="327B753F" w:rsidR="00B753EE" w:rsidRPr="00007605" w:rsidRDefault="00B753EE" w:rsidP="00B34D89">
      <w:pPr>
        <w:pStyle w:val="ListParagraph"/>
        <w:ind w:left="0" w:firstLine="709"/>
        <w:jc w:val="both"/>
        <w:rPr>
          <w:rFonts w:eastAsiaTheme="minorHAnsi"/>
          <w:lang w:eastAsia="lt-LT"/>
        </w:rPr>
      </w:pPr>
      <w:r w:rsidRPr="00007605">
        <w:rPr>
          <w:rFonts w:eastAsiaTheme="minorHAnsi"/>
          <w:lang w:eastAsia="lt-LT"/>
        </w:rPr>
        <w:t>„</w:t>
      </w:r>
      <w:r w:rsidRPr="00007605">
        <w:rPr>
          <w:lang w:eastAsia="lt-LT"/>
        </w:rPr>
        <w:t>14</w:t>
      </w:r>
      <w:r w:rsidRPr="00007605">
        <w:rPr>
          <w:vertAlign w:val="superscript"/>
          <w:lang w:eastAsia="lt-LT"/>
        </w:rPr>
        <w:t>2</w:t>
      </w:r>
      <w:r w:rsidRPr="00007605">
        <w:rPr>
          <w:lang w:eastAsia="lt-LT"/>
        </w:rPr>
        <w:t xml:space="preserve">. </w:t>
      </w:r>
      <w:r w:rsidR="003B68E1" w:rsidRPr="00007605">
        <w:rPr>
          <w:lang w:eastAsia="lt-LT"/>
        </w:rPr>
        <w:t xml:space="preserve">Tuo atveju, kai teismas sudarytas iš teismo rūmų ir </w:t>
      </w:r>
      <w:r w:rsidR="003B68E1" w:rsidRPr="00007605">
        <w:t xml:space="preserve">kai byla nagrinėjama rašytinio proceso tvarka arba kai bylą operatyviau ir ekonomiškiau išnagrinės kitų teismo rūmų teisėjai, bylos gali būti skiriamos kitų teismo rūmų, o ne teismo rūmų, kurie nustatomi </w:t>
      </w:r>
      <w:proofErr w:type="spellStart"/>
      <w:r w:rsidR="003B68E1" w:rsidRPr="00007605">
        <w:rPr>
          <w:i/>
          <w:iCs/>
        </w:rPr>
        <w:t>mutatis</w:t>
      </w:r>
      <w:proofErr w:type="spellEnd"/>
      <w:r w:rsidR="003B68E1" w:rsidRPr="00007605">
        <w:rPr>
          <w:i/>
          <w:iCs/>
        </w:rPr>
        <w:t xml:space="preserve"> </w:t>
      </w:r>
      <w:proofErr w:type="spellStart"/>
      <w:r w:rsidR="003B68E1" w:rsidRPr="00007605">
        <w:rPr>
          <w:i/>
          <w:iCs/>
        </w:rPr>
        <w:t>mutandis</w:t>
      </w:r>
      <w:proofErr w:type="spellEnd"/>
      <w:r w:rsidR="003B68E1" w:rsidRPr="00007605">
        <w:t xml:space="preserve"> taikant įstatymuose numatytas teritorinio teismingumo taisykles, teisėjams. </w:t>
      </w:r>
      <w:r w:rsidR="00007605">
        <w:rPr>
          <w:color w:val="000000"/>
          <w:lang w:eastAsia="lt-LT" w:bidi="lt-LT"/>
        </w:rPr>
        <w:t>Teismo pirmininko</w:t>
      </w:r>
      <w:r w:rsidR="00CB37AD" w:rsidRPr="00007605">
        <w:rPr>
          <w:color w:val="000000"/>
          <w:lang w:eastAsia="lt-LT" w:bidi="lt-LT"/>
        </w:rPr>
        <w:t xml:space="preserve">, </w:t>
      </w:r>
      <w:r w:rsidR="00007605">
        <w:rPr>
          <w:color w:val="000000"/>
          <w:lang w:eastAsia="lt-LT" w:bidi="lt-LT"/>
        </w:rPr>
        <w:t>jo pavaduotojo ar kito įgalioto teisėjo sprendimu</w:t>
      </w:r>
      <w:r w:rsidR="00F95485" w:rsidRPr="00F95485">
        <w:rPr>
          <w:lang w:eastAsia="lt-LT"/>
        </w:rPr>
        <w:t xml:space="preserve"> </w:t>
      </w:r>
      <w:r w:rsidR="00F95485" w:rsidRPr="00007605">
        <w:rPr>
          <w:lang w:eastAsia="lt-LT"/>
        </w:rPr>
        <w:t>tam tikra bylų grupė tam tikrą laikotarpį gali būti skiriama kitiems teismo rūmams</w:t>
      </w:r>
      <w:r w:rsidR="00F95485">
        <w:rPr>
          <w:color w:val="000000"/>
          <w:lang w:eastAsia="lt-LT" w:bidi="lt-LT"/>
        </w:rPr>
        <w:t>.</w:t>
      </w:r>
      <w:r w:rsidR="00047DA6" w:rsidRPr="00007605">
        <w:rPr>
          <w:color w:val="000000"/>
          <w:lang w:eastAsia="lt-LT" w:bidi="lt-LT"/>
        </w:rPr>
        <w:t xml:space="preserve"> </w:t>
      </w:r>
      <w:r w:rsidR="00F95485">
        <w:rPr>
          <w:color w:val="000000"/>
          <w:lang w:eastAsia="lt-LT" w:bidi="lt-LT"/>
        </w:rPr>
        <w:t>Spre</w:t>
      </w:r>
      <w:r w:rsidR="00007605">
        <w:rPr>
          <w:color w:val="000000"/>
          <w:lang w:eastAsia="lt-LT" w:bidi="lt-LT"/>
        </w:rPr>
        <w:t>ndžiant</w:t>
      </w:r>
      <w:r w:rsidR="00CB37AD" w:rsidRPr="00007605">
        <w:rPr>
          <w:color w:val="000000"/>
          <w:lang w:eastAsia="lt-LT" w:bidi="lt-LT"/>
        </w:rPr>
        <w:t xml:space="preserve"> dėl bylos skyrimo kitų teismo rūmų teisėjams, be kita ko, atsižvelgia</w:t>
      </w:r>
      <w:r w:rsidR="00F95485">
        <w:rPr>
          <w:color w:val="000000"/>
          <w:lang w:eastAsia="lt-LT" w:bidi="lt-LT"/>
        </w:rPr>
        <w:t>ma</w:t>
      </w:r>
      <w:r w:rsidR="00CB37AD" w:rsidRPr="00007605">
        <w:rPr>
          <w:color w:val="000000"/>
          <w:lang w:eastAsia="lt-LT" w:bidi="lt-LT"/>
        </w:rPr>
        <w:t xml:space="preserve"> į 3 ar 6 mėnesių</w:t>
      </w:r>
      <w:r w:rsidR="00CB37AD" w:rsidRPr="00007605">
        <w:t xml:space="preserve"> </w:t>
      </w:r>
      <w:r w:rsidR="003B68E1" w:rsidRPr="00007605">
        <w:rPr>
          <w:lang w:eastAsia="lt-LT"/>
        </w:rPr>
        <w:t>teismą sudarančiuose te</w:t>
      </w:r>
      <w:r w:rsidR="00F95485">
        <w:rPr>
          <w:lang w:eastAsia="lt-LT"/>
        </w:rPr>
        <w:t>ismo rūmuose gautų bylų skaičių</w:t>
      </w:r>
      <w:r w:rsidRPr="00007605">
        <w:rPr>
          <w:lang w:eastAsia="lt-LT"/>
        </w:rPr>
        <w:t>.</w:t>
      </w:r>
      <w:r w:rsidRPr="00007605">
        <w:rPr>
          <w:rFonts w:eastAsiaTheme="minorHAnsi"/>
          <w:lang w:eastAsia="lt-LT"/>
        </w:rPr>
        <w:t>“;</w:t>
      </w:r>
    </w:p>
    <w:p w14:paraId="49788AB2" w14:textId="77777777" w:rsidR="001772EE" w:rsidRPr="00B34D89" w:rsidRDefault="00B34D89" w:rsidP="00B34D89">
      <w:pPr>
        <w:pStyle w:val="ListParagraph"/>
        <w:ind w:left="0" w:firstLine="709"/>
        <w:jc w:val="both"/>
        <w:rPr>
          <w:rFonts w:eastAsiaTheme="minorHAnsi"/>
          <w:lang w:eastAsia="lt-LT"/>
        </w:rPr>
      </w:pPr>
      <w:r w:rsidRPr="00B34D89">
        <w:rPr>
          <w:rFonts w:eastAsiaTheme="minorHAnsi"/>
          <w:lang w:eastAsia="lt-LT"/>
        </w:rPr>
        <w:t>1.</w:t>
      </w:r>
      <w:r w:rsidR="003B68E1">
        <w:rPr>
          <w:rFonts w:eastAsiaTheme="minorHAnsi"/>
          <w:lang w:eastAsia="lt-LT"/>
        </w:rPr>
        <w:t>2</w:t>
      </w:r>
      <w:r w:rsidR="001F47F2">
        <w:rPr>
          <w:rFonts w:eastAsiaTheme="minorHAnsi"/>
          <w:lang w:eastAsia="lt-LT"/>
        </w:rPr>
        <w:t>2</w:t>
      </w:r>
      <w:r w:rsidR="001772EE" w:rsidRPr="00B34D89">
        <w:rPr>
          <w:rFonts w:eastAsiaTheme="minorHAnsi"/>
          <w:lang w:eastAsia="lt-LT"/>
        </w:rPr>
        <w:t>. Papildyti 14</w:t>
      </w:r>
      <w:r w:rsidR="001772EE" w:rsidRPr="00B34D89">
        <w:rPr>
          <w:rFonts w:eastAsiaTheme="minorHAnsi"/>
          <w:vertAlign w:val="superscript"/>
          <w:lang w:eastAsia="lt-LT"/>
        </w:rPr>
        <w:t>3</w:t>
      </w:r>
      <w:r w:rsidR="001772EE" w:rsidRPr="00B34D89">
        <w:rPr>
          <w:rFonts w:eastAsiaTheme="minorHAnsi"/>
          <w:lang w:eastAsia="lt-LT"/>
        </w:rPr>
        <w:t xml:space="preserve"> punktu ir jį išdėstyti taip:</w:t>
      </w:r>
    </w:p>
    <w:p w14:paraId="306DA402" w14:textId="7F628788" w:rsidR="001772EE" w:rsidRPr="00F95485" w:rsidRDefault="001772EE" w:rsidP="00B34D89">
      <w:pPr>
        <w:pStyle w:val="ListParagraph"/>
        <w:ind w:left="0" w:firstLine="709"/>
        <w:jc w:val="both"/>
        <w:rPr>
          <w:rFonts w:eastAsiaTheme="minorHAnsi"/>
          <w:lang w:eastAsia="lt-LT"/>
        </w:rPr>
      </w:pPr>
      <w:r w:rsidRPr="00F95485">
        <w:rPr>
          <w:rFonts w:eastAsiaTheme="minorHAnsi"/>
          <w:lang w:eastAsia="lt-LT"/>
        </w:rPr>
        <w:t>„</w:t>
      </w:r>
      <w:r w:rsidRPr="00F95485">
        <w:rPr>
          <w:lang w:eastAsia="lt-LT"/>
        </w:rPr>
        <w:t>14</w:t>
      </w:r>
      <w:r w:rsidRPr="00F95485">
        <w:rPr>
          <w:vertAlign w:val="superscript"/>
          <w:lang w:eastAsia="lt-LT"/>
        </w:rPr>
        <w:t>3</w:t>
      </w:r>
      <w:r w:rsidRPr="00F95485">
        <w:rPr>
          <w:lang w:eastAsia="lt-LT"/>
        </w:rPr>
        <w:t xml:space="preserve">. </w:t>
      </w:r>
      <w:r w:rsidR="003B68E1" w:rsidRPr="00F95485">
        <w:rPr>
          <w:lang w:eastAsia="lt-LT"/>
        </w:rPr>
        <w:t xml:space="preserve">Jei teisėjas, kuriam byla buvo paskirta, nustatė, kad byla, išskyrus administracines bylas, yra nepriskirtina teismo rūmų kompetencijai, teisėjas </w:t>
      </w:r>
      <w:r w:rsidR="008F1239" w:rsidRPr="00F95485">
        <w:rPr>
          <w:lang w:eastAsia="lt-LT"/>
        </w:rPr>
        <w:t xml:space="preserve">informuoja apie tai teismo pirmininką ir </w:t>
      </w:r>
      <w:r w:rsidR="003B68E1" w:rsidRPr="00F95485">
        <w:rPr>
          <w:lang w:eastAsia="lt-LT"/>
        </w:rPr>
        <w:t>priima nutartį dėl bylos perdavimo nagrinėti į kitus teismo rūmus</w:t>
      </w:r>
      <w:r w:rsidR="00FC69E6" w:rsidRPr="00F95485">
        <w:rPr>
          <w:lang w:eastAsia="lt-LT"/>
        </w:rPr>
        <w:t xml:space="preserve"> </w:t>
      </w:r>
      <w:r w:rsidR="00942C69" w:rsidRPr="00F95485">
        <w:rPr>
          <w:lang w:eastAsia="lt-LT"/>
        </w:rPr>
        <w:t>bei</w:t>
      </w:r>
      <w:r w:rsidR="00FC69E6" w:rsidRPr="00F95485">
        <w:rPr>
          <w:lang w:eastAsia="lt-LT"/>
        </w:rPr>
        <w:t xml:space="preserve"> įsega ją į LITEKO</w:t>
      </w:r>
      <w:r w:rsidR="003B68E1" w:rsidRPr="00F95485">
        <w:rPr>
          <w:lang w:eastAsia="lt-LT"/>
        </w:rPr>
        <w:t>. Bylas skirstantis asmuo LITEKO priemonėmis informuojamas apie priimtą nutartį ir poreikį įvesti teisėjo pakeitimo teisinius pagrindus. Įvedus šiuos duomenis, byla pakartotinai įtraukiama į skirstomų bylų sąrašą. Teismo rūmams, kuriems byla buvo paskirta, pakartotinai ta byla negali būti skiriama</w:t>
      </w:r>
      <w:r w:rsidR="008F1239" w:rsidRPr="00F95485">
        <w:rPr>
          <w:lang w:eastAsia="lt-LT"/>
        </w:rPr>
        <w:t>, išskyrus jei teismo pirmininkas nusprendžia kitaip</w:t>
      </w:r>
      <w:r w:rsidRPr="00F95485">
        <w:rPr>
          <w:rFonts w:eastAsiaTheme="minorHAnsi"/>
          <w:lang w:eastAsia="lt-LT"/>
        </w:rPr>
        <w:t>“;</w:t>
      </w:r>
    </w:p>
    <w:p w14:paraId="7939B64B" w14:textId="77777777" w:rsidR="001772EE" w:rsidRPr="00B34D89" w:rsidRDefault="001772EE" w:rsidP="00B34D89">
      <w:pPr>
        <w:pStyle w:val="ListParagraph"/>
        <w:ind w:left="0" w:firstLine="709"/>
        <w:jc w:val="both"/>
        <w:rPr>
          <w:rFonts w:eastAsiaTheme="minorHAnsi"/>
          <w:lang w:eastAsia="lt-LT"/>
        </w:rPr>
      </w:pPr>
      <w:r w:rsidRPr="00B34D89">
        <w:rPr>
          <w:rFonts w:eastAsiaTheme="minorHAnsi"/>
          <w:lang w:eastAsia="lt-LT"/>
        </w:rPr>
        <w:t>1.2</w:t>
      </w:r>
      <w:r w:rsidR="001F47F2">
        <w:rPr>
          <w:rFonts w:eastAsiaTheme="minorHAnsi"/>
          <w:lang w:eastAsia="lt-LT"/>
        </w:rPr>
        <w:t>3</w:t>
      </w:r>
      <w:r w:rsidRPr="00B34D89">
        <w:rPr>
          <w:rFonts w:eastAsiaTheme="minorHAnsi"/>
          <w:lang w:eastAsia="lt-LT"/>
        </w:rPr>
        <w:t>. Papildyti 14</w:t>
      </w:r>
      <w:r w:rsidRPr="00B34D89">
        <w:rPr>
          <w:rFonts w:eastAsiaTheme="minorHAnsi"/>
          <w:vertAlign w:val="superscript"/>
          <w:lang w:eastAsia="lt-LT"/>
        </w:rPr>
        <w:t>4</w:t>
      </w:r>
      <w:r w:rsidRPr="00B34D89">
        <w:rPr>
          <w:rFonts w:eastAsiaTheme="minorHAnsi"/>
          <w:lang w:eastAsia="lt-LT"/>
        </w:rPr>
        <w:t xml:space="preserve"> punktu ir jį išdėstyti taip:</w:t>
      </w:r>
    </w:p>
    <w:p w14:paraId="361345B8" w14:textId="7DD043ED" w:rsidR="001772EE" w:rsidRPr="00F95485" w:rsidRDefault="001772EE" w:rsidP="00B34D89">
      <w:pPr>
        <w:pStyle w:val="ListParagraph"/>
        <w:ind w:left="0" w:firstLine="709"/>
        <w:jc w:val="both"/>
        <w:rPr>
          <w:rFonts w:eastAsiaTheme="minorHAnsi"/>
          <w:highlight w:val="yellow"/>
          <w:lang w:eastAsia="lt-LT"/>
        </w:rPr>
      </w:pPr>
      <w:r w:rsidRPr="00F95485">
        <w:rPr>
          <w:rFonts w:eastAsiaTheme="minorHAnsi"/>
          <w:lang w:eastAsia="lt-LT"/>
        </w:rPr>
        <w:t>„</w:t>
      </w:r>
      <w:r w:rsidRPr="00F95485">
        <w:rPr>
          <w:lang w:eastAsia="lt-LT"/>
        </w:rPr>
        <w:t>14</w:t>
      </w:r>
      <w:r w:rsidRPr="00F95485">
        <w:rPr>
          <w:vertAlign w:val="superscript"/>
          <w:lang w:eastAsia="lt-LT"/>
        </w:rPr>
        <w:t>4</w:t>
      </w:r>
      <w:r w:rsidRPr="00F95485">
        <w:rPr>
          <w:lang w:eastAsia="lt-LT"/>
        </w:rPr>
        <w:t xml:space="preserve">. </w:t>
      </w:r>
      <w:r w:rsidR="003B68E1" w:rsidRPr="00F95485">
        <w:rPr>
          <w:lang w:eastAsia="lt-LT"/>
        </w:rPr>
        <w:t>Jei teisėjas nustatė, kad administracinė byla nepriskirtina teismo rūmų kompetencijai, teisėjas priima nutartį dėl kreipimosi į teismo pirmininką dėl bylos perdavimo. Teismo pirmininkas priima nutartį dėl bylos perdavimo kitiems teismo rūmams ir įsega ją į LITEKO. Bylas skirstantis asmuo LITEKO priemonėmis informuojamas apie nutarties priėmimą ir poreikį įvesti teisėjo pakeitimo teisinius pagrindus. Byla pakartotinai įtraukiama į skirstomų bylų sąrašą. Teismo rūmams, kuriems byla buvo paskirta, pakartotinai ta pati byla negali būti skiriama</w:t>
      </w:r>
      <w:r w:rsidR="00BD5ED1" w:rsidRPr="00F95485">
        <w:rPr>
          <w:lang w:eastAsia="lt-LT"/>
        </w:rPr>
        <w:t>, išskyrus jei teismo pirmininkas nusprendžia kitaip</w:t>
      </w:r>
      <w:r w:rsidR="003B68E1" w:rsidRPr="00F95485">
        <w:rPr>
          <w:lang w:eastAsia="lt-LT"/>
        </w:rPr>
        <w:t>.</w:t>
      </w:r>
      <w:r w:rsidRPr="00F95485">
        <w:rPr>
          <w:rFonts w:eastAsiaTheme="minorHAnsi"/>
          <w:lang w:eastAsia="lt-LT"/>
        </w:rPr>
        <w:t>“;</w:t>
      </w:r>
    </w:p>
    <w:p w14:paraId="1C668208" w14:textId="77777777" w:rsidR="00E87C95" w:rsidRPr="00B34D89" w:rsidRDefault="00E87C95" w:rsidP="00B34D89">
      <w:pPr>
        <w:widowControl w:val="0"/>
        <w:tabs>
          <w:tab w:val="left" w:pos="567"/>
          <w:tab w:val="left" w:pos="1134"/>
        </w:tabs>
        <w:ind w:firstLine="709"/>
        <w:contextualSpacing/>
        <w:jc w:val="both"/>
        <w:rPr>
          <w:lang w:eastAsia="lt-LT"/>
        </w:rPr>
      </w:pPr>
      <w:r w:rsidRPr="00B34D89">
        <w:rPr>
          <w:lang w:eastAsia="lt-LT"/>
        </w:rPr>
        <w:t>1.</w:t>
      </w:r>
      <w:r w:rsidR="00B34D89" w:rsidRPr="00B34D89">
        <w:rPr>
          <w:lang w:eastAsia="lt-LT"/>
        </w:rPr>
        <w:t>2</w:t>
      </w:r>
      <w:r w:rsidR="001F47F2">
        <w:rPr>
          <w:lang w:eastAsia="lt-LT"/>
        </w:rPr>
        <w:t>4</w:t>
      </w:r>
      <w:r w:rsidRPr="00B34D89">
        <w:rPr>
          <w:lang w:eastAsia="lt-LT"/>
        </w:rPr>
        <w:t>. Pakeisti 20 punktą ir jį išdėstyti taip:</w:t>
      </w:r>
    </w:p>
    <w:p w14:paraId="23972CBF" w14:textId="1880EF42" w:rsidR="00E87C95" w:rsidRPr="00B34D89" w:rsidRDefault="00E87C95" w:rsidP="00B34D89">
      <w:pPr>
        <w:widowControl w:val="0"/>
        <w:tabs>
          <w:tab w:val="left" w:pos="567"/>
          <w:tab w:val="left" w:pos="1134"/>
        </w:tabs>
        <w:ind w:firstLine="709"/>
        <w:contextualSpacing/>
        <w:jc w:val="both"/>
        <w:rPr>
          <w:lang w:eastAsia="lt-LT"/>
        </w:rPr>
      </w:pPr>
      <w:r w:rsidRPr="00B34D89">
        <w:rPr>
          <w:lang w:eastAsia="lt-LT"/>
        </w:rPr>
        <w:t>„20.</w:t>
      </w:r>
      <w:r w:rsidRPr="00B34D89">
        <w:rPr>
          <w:lang w:eastAsia="lt-LT"/>
        </w:rPr>
        <w:tab/>
      </w:r>
      <w:r w:rsidR="00812A4F" w:rsidRPr="00B34D89">
        <w:rPr>
          <w:lang w:eastAsia="lt-LT"/>
        </w:rPr>
        <w:t xml:space="preserve"> </w:t>
      </w:r>
      <w:r w:rsidRPr="00B34D89">
        <w:rPr>
          <w:lang w:eastAsia="lt-LT"/>
        </w:rPr>
        <w:t>Atsižvelgiant į konkretaus teismo</w:t>
      </w:r>
      <w:r w:rsidRPr="00F95485">
        <w:rPr>
          <w:lang w:eastAsia="lt-LT"/>
        </w:rPr>
        <w:t>, o kai teismas sudarytas iš teismo rūmų, – teismo rūmų, kuriuose</w:t>
      </w:r>
      <w:r w:rsidRPr="00B34D89">
        <w:rPr>
          <w:lang w:eastAsia="lt-LT"/>
        </w:rPr>
        <w:t xml:space="preserve"> bylos nagrinėjamos kolegialiai, veiklos specifiką, išskyrus išplėstines ir mišrias teisėjų kolegijas, automatizuotu atrankos būdu naudojantis Moduliu gali būti sudaromos:“</w:t>
      </w:r>
      <w:r w:rsidR="00374437" w:rsidRPr="00B34D89">
        <w:rPr>
          <w:lang w:eastAsia="lt-LT"/>
        </w:rPr>
        <w:t>;</w:t>
      </w:r>
    </w:p>
    <w:p w14:paraId="799C6BEE" w14:textId="77777777" w:rsidR="00263A7F" w:rsidRPr="00B34D89" w:rsidRDefault="00263A7F" w:rsidP="00B34D89">
      <w:pPr>
        <w:ind w:firstLine="709"/>
        <w:jc w:val="both"/>
        <w:rPr>
          <w:lang w:eastAsia="lt-LT"/>
        </w:rPr>
      </w:pPr>
      <w:r w:rsidRPr="00B34D89">
        <w:rPr>
          <w:lang w:eastAsia="lt-LT"/>
        </w:rPr>
        <w:t>1.</w:t>
      </w:r>
      <w:r w:rsidR="001B33F8" w:rsidRPr="00B34D89">
        <w:rPr>
          <w:lang w:eastAsia="lt-LT"/>
        </w:rPr>
        <w:t>2</w:t>
      </w:r>
      <w:r w:rsidR="000B3032">
        <w:rPr>
          <w:lang w:eastAsia="lt-LT"/>
        </w:rPr>
        <w:t>5</w:t>
      </w:r>
      <w:r w:rsidR="001B33F8" w:rsidRPr="00B34D89">
        <w:rPr>
          <w:lang w:eastAsia="lt-LT"/>
        </w:rPr>
        <w:t>. Papildyti 2</w:t>
      </w:r>
      <w:r w:rsidR="003B68E1">
        <w:rPr>
          <w:lang w:eastAsia="lt-LT"/>
        </w:rPr>
        <w:t>5</w:t>
      </w:r>
      <w:r w:rsidR="001B33F8" w:rsidRPr="003B68E1">
        <w:rPr>
          <w:vertAlign w:val="superscript"/>
          <w:lang w:eastAsia="lt-LT"/>
        </w:rPr>
        <w:t>1</w:t>
      </w:r>
      <w:r w:rsidR="001B33F8" w:rsidRPr="00B34D89">
        <w:rPr>
          <w:lang w:eastAsia="lt-LT"/>
        </w:rPr>
        <w:t xml:space="preserve"> punktu ir jį išdėstyti taip:</w:t>
      </w:r>
    </w:p>
    <w:p w14:paraId="00E593C8" w14:textId="77777777" w:rsidR="001B33F8" w:rsidRPr="00F95485" w:rsidRDefault="001B33F8" w:rsidP="00B34D89">
      <w:pPr>
        <w:widowControl w:val="0"/>
        <w:tabs>
          <w:tab w:val="left" w:pos="567"/>
          <w:tab w:val="left" w:pos="1134"/>
        </w:tabs>
        <w:ind w:firstLine="709"/>
        <w:jc w:val="both"/>
        <w:rPr>
          <w:lang w:eastAsia="lt-LT"/>
        </w:rPr>
      </w:pPr>
      <w:r w:rsidRPr="00F95485">
        <w:rPr>
          <w:lang w:eastAsia="lt-LT"/>
        </w:rPr>
        <w:t>„2</w:t>
      </w:r>
      <w:r w:rsidR="003B68E1" w:rsidRPr="00F95485">
        <w:rPr>
          <w:lang w:eastAsia="lt-LT"/>
        </w:rPr>
        <w:t>5</w:t>
      </w:r>
      <w:r w:rsidRPr="00F95485">
        <w:rPr>
          <w:vertAlign w:val="superscript"/>
          <w:lang w:eastAsia="lt-LT"/>
        </w:rPr>
        <w:t>1</w:t>
      </w:r>
      <w:r w:rsidRPr="00F95485">
        <w:rPr>
          <w:lang w:eastAsia="lt-LT"/>
        </w:rPr>
        <w:t xml:space="preserve">. </w:t>
      </w:r>
      <w:r w:rsidR="003B68E1" w:rsidRPr="00F95485">
        <w:rPr>
          <w:szCs w:val="20"/>
          <w:lang w:eastAsia="lt-LT"/>
        </w:rPr>
        <w:t>Tais atvejais, kai teismas sudarytas iš teismo rūmų ir atliekant bylos paskyrimą Aprašo 14</w:t>
      </w:r>
      <w:r w:rsidR="003B68E1" w:rsidRPr="00F95485">
        <w:rPr>
          <w:szCs w:val="20"/>
          <w:vertAlign w:val="superscript"/>
          <w:lang w:eastAsia="lt-LT"/>
        </w:rPr>
        <w:t xml:space="preserve">1 </w:t>
      </w:r>
      <w:r w:rsidR="003B68E1" w:rsidRPr="00F95485">
        <w:rPr>
          <w:szCs w:val="20"/>
          <w:lang w:eastAsia="lt-LT"/>
        </w:rPr>
        <w:t>punkte numatyta tvarka buvo pasirinkti keli to paties teismo rūmai, Modulis suformuoja bendrą teisėjo paskyrimo dokumentą – teisėjo skyrimo protokolą.</w:t>
      </w:r>
      <w:r w:rsidRPr="00F95485">
        <w:rPr>
          <w:lang w:eastAsia="lt-LT"/>
        </w:rPr>
        <w:t>“;</w:t>
      </w:r>
    </w:p>
    <w:p w14:paraId="02631F20" w14:textId="77777777" w:rsidR="00E87C95" w:rsidRPr="00B34D89" w:rsidRDefault="00374437" w:rsidP="00B34D89">
      <w:pPr>
        <w:widowControl w:val="0"/>
        <w:tabs>
          <w:tab w:val="left" w:pos="567"/>
          <w:tab w:val="left" w:pos="1134"/>
        </w:tabs>
        <w:ind w:firstLine="709"/>
        <w:contextualSpacing/>
        <w:jc w:val="both"/>
        <w:rPr>
          <w:lang w:eastAsia="lt-LT"/>
        </w:rPr>
      </w:pPr>
      <w:r w:rsidRPr="00B34D89">
        <w:rPr>
          <w:lang w:eastAsia="lt-LT"/>
        </w:rPr>
        <w:t>1.2</w:t>
      </w:r>
      <w:r w:rsidR="000B3032">
        <w:rPr>
          <w:lang w:eastAsia="lt-LT"/>
        </w:rPr>
        <w:t>6</w:t>
      </w:r>
      <w:r w:rsidR="00E87C95" w:rsidRPr="00B34D89">
        <w:rPr>
          <w:lang w:eastAsia="lt-LT"/>
        </w:rPr>
        <w:t>. Pakeisti 29 punktą ir jį išdėstyti taip:</w:t>
      </w:r>
    </w:p>
    <w:p w14:paraId="2FADBC55" w14:textId="77777777" w:rsidR="00E87C95" w:rsidRPr="00B34D89" w:rsidRDefault="00E87C95" w:rsidP="00B34D89">
      <w:pPr>
        <w:widowControl w:val="0"/>
        <w:tabs>
          <w:tab w:val="left" w:pos="567"/>
          <w:tab w:val="left" w:pos="1134"/>
        </w:tabs>
        <w:ind w:firstLine="709"/>
        <w:contextualSpacing/>
        <w:jc w:val="both"/>
      </w:pPr>
      <w:r w:rsidRPr="00B34D89">
        <w:rPr>
          <w:lang w:eastAsia="lt-LT"/>
        </w:rPr>
        <w:lastRenderedPageBreak/>
        <w:t>„29.</w:t>
      </w:r>
      <w:r w:rsidRPr="00B34D89">
        <w:rPr>
          <w:lang w:eastAsia="lt-LT"/>
        </w:rPr>
        <w:tab/>
      </w:r>
      <w:r w:rsidR="00812A4F" w:rsidRPr="00B34D89">
        <w:rPr>
          <w:lang w:eastAsia="lt-LT"/>
        </w:rPr>
        <w:t xml:space="preserve"> </w:t>
      </w:r>
      <w:r w:rsidRPr="00B34D89">
        <w:rPr>
          <w:lang w:eastAsia="lt-LT"/>
        </w:rPr>
        <w:t xml:space="preserve">Teisėjo skyrimo ir teisėjo skyrimo panaikinimo protokolų paieška Nacionalinės teismų administracijos interneto svetainėje gali būti vykdoma pagal šiuos kriterijus: </w:t>
      </w:r>
      <w:r w:rsidRPr="00F95485">
        <w:rPr>
          <w:lang w:eastAsia="lt-LT"/>
        </w:rPr>
        <w:t>teismą, teismo rūmus, bylos tipą, bylos numerį, bylos paskyrimo datą ir laiką, teisėjo, kuriam byla paskirta nagrinėti vienasmeniškai arba kaip teisėjui pranešėjui, vardą ir pavardę, paskyrimo būdą.“</w:t>
      </w:r>
      <w:r w:rsidR="00374437" w:rsidRPr="00F95485">
        <w:rPr>
          <w:lang w:eastAsia="lt-LT"/>
        </w:rPr>
        <w:t>.</w:t>
      </w:r>
    </w:p>
    <w:p w14:paraId="371EE693" w14:textId="77777777" w:rsidR="00DF7D99" w:rsidRPr="00B34D89" w:rsidRDefault="00DF7D99" w:rsidP="00B34D89">
      <w:pPr>
        <w:tabs>
          <w:tab w:val="left" w:pos="567"/>
        </w:tabs>
        <w:jc w:val="both"/>
      </w:pPr>
      <w:r w:rsidRPr="00B34D89">
        <w:tab/>
        <w:t>2. Nustatyti, kad šis nutarimas įsigalioja 2018 m. sausio 1 d.</w:t>
      </w:r>
    </w:p>
    <w:p w14:paraId="378070DA" w14:textId="77777777" w:rsidR="00E87C95" w:rsidRPr="00B34D89" w:rsidRDefault="00E87C95" w:rsidP="00B34D89">
      <w:pPr>
        <w:tabs>
          <w:tab w:val="left" w:pos="567"/>
        </w:tabs>
        <w:spacing w:line="276" w:lineRule="auto"/>
        <w:jc w:val="both"/>
      </w:pPr>
    </w:p>
    <w:p w14:paraId="55763C74" w14:textId="77777777" w:rsidR="00E87C95" w:rsidRPr="00B34D89" w:rsidRDefault="00E87C95" w:rsidP="00B34D89">
      <w:pPr>
        <w:tabs>
          <w:tab w:val="left" w:pos="567"/>
        </w:tabs>
        <w:spacing w:line="276" w:lineRule="auto"/>
        <w:jc w:val="both"/>
      </w:pPr>
    </w:p>
    <w:tbl>
      <w:tblPr>
        <w:tblW w:w="9889" w:type="dxa"/>
        <w:tblLayout w:type="fixed"/>
        <w:tblLook w:val="04A0" w:firstRow="1" w:lastRow="0" w:firstColumn="1" w:lastColumn="0" w:noHBand="0" w:noVBand="1"/>
      </w:tblPr>
      <w:tblGrid>
        <w:gridCol w:w="4620"/>
        <w:gridCol w:w="5269"/>
      </w:tblGrid>
      <w:tr w:rsidR="00E8118A" w:rsidRPr="007E0333" w14:paraId="0B1E2442" w14:textId="77777777" w:rsidTr="00E41E97">
        <w:tc>
          <w:tcPr>
            <w:tcW w:w="4620" w:type="dxa"/>
          </w:tcPr>
          <w:p w14:paraId="5A4C723A" w14:textId="77777777" w:rsidR="00E8118A" w:rsidRPr="007E0333" w:rsidRDefault="00E8118A" w:rsidP="00E41E97">
            <w:pPr>
              <w:spacing w:after="160" w:line="259" w:lineRule="auto"/>
              <w:rPr>
                <w:color w:val="000000"/>
              </w:rPr>
            </w:pPr>
            <w:r w:rsidRPr="007E0333">
              <w:rPr>
                <w:rFonts w:eastAsia="Calibri"/>
                <w:color w:val="000000"/>
              </w:rPr>
              <w:t>Pirmininkas</w:t>
            </w:r>
            <w:r>
              <w:rPr>
                <w:rFonts w:eastAsia="Calibri"/>
                <w:color w:val="000000"/>
              </w:rPr>
              <w:t xml:space="preserve"> </w:t>
            </w:r>
          </w:p>
        </w:tc>
        <w:tc>
          <w:tcPr>
            <w:tcW w:w="5269" w:type="dxa"/>
          </w:tcPr>
          <w:p w14:paraId="41C7052B" w14:textId="77777777" w:rsidR="00E8118A" w:rsidRPr="007E0333" w:rsidRDefault="00E8118A" w:rsidP="00E41E97">
            <w:pPr>
              <w:spacing w:after="160" w:line="259" w:lineRule="auto"/>
              <w:jc w:val="center"/>
              <w:rPr>
                <w:color w:val="000000"/>
              </w:rPr>
            </w:pPr>
            <w:r>
              <w:rPr>
                <w:color w:val="000000"/>
              </w:rPr>
              <w:t xml:space="preserve">                                           </w:t>
            </w:r>
            <w:r w:rsidRPr="00CF1C1B">
              <w:rPr>
                <w:color w:val="000000"/>
              </w:rPr>
              <w:t>Rimvydas Norkus</w:t>
            </w:r>
          </w:p>
        </w:tc>
      </w:tr>
      <w:tr w:rsidR="00E8118A" w:rsidRPr="007E0333" w14:paraId="68428EFE" w14:textId="77777777" w:rsidTr="00E41E97">
        <w:tc>
          <w:tcPr>
            <w:tcW w:w="4620" w:type="dxa"/>
          </w:tcPr>
          <w:p w14:paraId="1E619F17" w14:textId="77777777" w:rsidR="00E8118A" w:rsidRPr="007E0333" w:rsidRDefault="00E8118A" w:rsidP="00E41E97">
            <w:pPr>
              <w:spacing w:after="200" w:line="276" w:lineRule="auto"/>
              <w:rPr>
                <w:rFonts w:eastAsia="Calibri"/>
                <w:color w:val="000000"/>
              </w:rPr>
            </w:pPr>
          </w:p>
        </w:tc>
        <w:tc>
          <w:tcPr>
            <w:tcW w:w="5269" w:type="dxa"/>
          </w:tcPr>
          <w:p w14:paraId="22210827" w14:textId="77777777" w:rsidR="00E8118A" w:rsidRPr="007E0333" w:rsidRDefault="00E8118A" w:rsidP="00E41E97">
            <w:pPr>
              <w:spacing w:after="200" w:line="276" w:lineRule="auto"/>
              <w:rPr>
                <w:rFonts w:eastAsia="Calibri"/>
                <w:color w:val="000000"/>
              </w:rPr>
            </w:pPr>
          </w:p>
        </w:tc>
      </w:tr>
      <w:tr w:rsidR="00E8118A" w:rsidRPr="007E0333" w14:paraId="322256ED" w14:textId="77777777" w:rsidTr="00E41E97">
        <w:tc>
          <w:tcPr>
            <w:tcW w:w="4620" w:type="dxa"/>
            <w:hideMark/>
          </w:tcPr>
          <w:p w14:paraId="5C748368" w14:textId="77777777" w:rsidR="00E8118A" w:rsidRPr="007E0333" w:rsidRDefault="00E8118A" w:rsidP="00E41E97">
            <w:pPr>
              <w:spacing w:after="200" w:line="276" w:lineRule="auto"/>
              <w:rPr>
                <w:rFonts w:eastAsia="Calibri"/>
                <w:color w:val="000000"/>
              </w:rPr>
            </w:pPr>
            <w:r w:rsidRPr="007E0333">
              <w:rPr>
                <w:rFonts w:eastAsia="Calibri"/>
                <w:color w:val="000000"/>
              </w:rPr>
              <w:t>Sekretorius</w:t>
            </w:r>
          </w:p>
          <w:p w14:paraId="7CE22483" w14:textId="77777777" w:rsidR="00E8118A" w:rsidRPr="007E0333" w:rsidRDefault="00E8118A" w:rsidP="00E41E97">
            <w:pPr>
              <w:spacing w:after="200" w:line="276" w:lineRule="auto"/>
              <w:rPr>
                <w:rFonts w:eastAsia="Calibri"/>
                <w:color w:val="000000"/>
              </w:rPr>
            </w:pPr>
          </w:p>
          <w:p w14:paraId="0A9FBFD6" w14:textId="77777777" w:rsidR="00E8118A" w:rsidRPr="007E0333" w:rsidRDefault="00E8118A" w:rsidP="00E41E97">
            <w:pPr>
              <w:spacing w:after="200" w:line="276" w:lineRule="auto"/>
              <w:rPr>
                <w:rFonts w:eastAsia="Calibri"/>
                <w:color w:val="000000"/>
              </w:rPr>
            </w:pPr>
          </w:p>
          <w:p w14:paraId="2D8F2D2A" w14:textId="77777777" w:rsidR="00E8118A" w:rsidRPr="007E0333" w:rsidRDefault="00E8118A" w:rsidP="00E41E97">
            <w:pPr>
              <w:spacing w:after="200" w:line="276" w:lineRule="auto"/>
              <w:rPr>
                <w:rFonts w:eastAsia="Calibri"/>
                <w:color w:val="000000"/>
              </w:rPr>
            </w:pPr>
          </w:p>
          <w:p w14:paraId="68C4757A" w14:textId="77777777" w:rsidR="00E8118A" w:rsidRPr="007E0333" w:rsidRDefault="00E8118A" w:rsidP="00E41E97">
            <w:pPr>
              <w:spacing w:after="200" w:line="276" w:lineRule="auto"/>
              <w:rPr>
                <w:rFonts w:eastAsia="Calibri"/>
                <w:color w:val="000000"/>
              </w:rPr>
            </w:pPr>
          </w:p>
        </w:tc>
        <w:tc>
          <w:tcPr>
            <w:tcW w:w="5269" w:type="dxa"/>
          </w:tcPr>
          <w:p w14:paraId="53DBC5A0" w14:textId="77777777" w:rsidR="00E8118A" w:rsidRDefault="00E8118A" w:rsidP="00E41E97">
            <w:pPr>
              <w:jc w:val="right"/>
              <w:rPr>
                <w:rFonts w:eastAsia="Calibri"/>
                <w:color w:val="000000"/>
              </w:rPr>
            </w:pPr>
            <w:r>
              <w:rPr>
                <w:rFonts w:eastAsia="Calibri"/>
                <w:color w:val="000000"/>
              </w:rPr>
              <w:t>Ramūnas Gadliauskas</w:t>
            </w:r>
          </w:p>
          <w:p w14:paraId="31397214" w14:textId="77777777" w:rsidR="00E8118A" w:rsidRDefault="00E8118A" w:rsidP="00E41E97">
            <w:pPr>
              <w:rPr>
                <w:rFonts w:eastAsia="Calibri"/>
                <w:color w:val="000000"/>
              </w:rPr>
            </w:pPr>
          </w:p>
          <w:p w14:paraId="03DA32C6" w14:textId="77777777" w:rsidR="00E8118A" w:rsidRDefault="00E8118A" w:rsidP="00E41E97">
            <w:pPr>
              <w:rPr>
                <w:rFonts w:eastAsia="Calibri"/>
                <w:color w:val="000000"/>
              </w:rPr>
            </w:pPr>
          </w:p>
          <w:p w14:paraId="64DA90AC" w14:textId="77777777" w:rsidR="00E8118A" w:rsidRDefault="00E8118A" w:rsidP="00E41E97">
            <w:pPr>
              <w:rPr>
                <w:rFonts w:eastAsia="Calibri"/>
                <w:color w:val="000000"/>
              </w:rPr>
            </w:pPr>
          </w:p>
          <w:p w14:paraId="2FECFFE9" w14:textId="77777777" w:rsidR="00E8118A" w:rsidRPr="007E0333" w:rsidRDefault="00E8118A" w:rsidP="00E41E97">
            <w:pPr>
              <w:spacing w:after="200" w:line="276" w:lineRule="auto"/>
              <w:rPr>
                <w:rFonts w:eastAsia="Calibri"/>
                <w:color w:val="000000"/>
              </w:rPr>
            </w:pPr>
          </w:p>
        </w:tc>
      </w:tr>
    </w:tbl>
    <w:p w14:paraId="33F9FF24" w14:textId="77777777" w:rsidR="00DF7D99" w:rsidRPr="00B34D89" w:rsidRDefault="00DF7D99" w:rsidP="00B34D89">
      <w:pPr>
        <w:pStyle w:val="BodyTextIndent2"/>
        <w:spacing w:line="276" w:lineRule="auto"/>
        <w:ind w:firstLine="567"/>
        <w:rPr>
          <w:b/>
        </w:rPr>
      </w:pPr>
      <w:bookmarkStart w:id="0" w:name="_GoBack"/>
      <w:bookmarkEnd w:id="0"/>
    </w:p>
    <w:sectPr w:rsidR="00DF7D99" w:rsidRPr="00B34D89" w:rsidSect="00FA2CF6">
      <w:headerReference w:type="first" r:id="rId9"/>
      <w:pgSz w:w="11907" w:h="16840" w:code="9"/>
      <w:pgMar w:top="1134" w:right="708" w:bottom="1134" w:left="1701" w:header="811" w:footer="39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B8C60" w14:textId="77777777" w:rsidR="003457CB" w:rsidRDefault="003457CB" w:rsidP="00FA2CF6">
      <w:r>
        <w:separator/>
      </w:r>
    </w:p>
  </w:endnote>
  <w:endnote w:type="continuationSeparator" w:id="0">
    <w:p w14:paraId="337FEFD5" w14:textId="77777777" w:rsidR="003457CB" w:rsidRDefault="003457CB" w:rsidP="00FA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95A39" w14:textId="77777777" w:rsidR="003457CB" w:rsidRDefault="003457CB" w:rsidP="00FA2CF6">
      <w:r>
        <w:separator/>
      </w:r>
    </w:p>
  </w:footnote>
  <w:footnote w:type="continuationSeparator" w:id="0">
    <w:p w14:paraId="5D7EF619" w14:textId="77777777" w:rsidR="003457CB" w:rsidRDefault="003457CB" w:rsidP="00FA2C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D867" w14:textId="77777777" w:rsidR="00097C55" w:rsidRPr="00097C55" w:rsidRDefault="003457CB" w:rsidP="00097C55">
    <w:pPr>
      <w:pStyle w:val="Header"/>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25443"/>
    <w:multiLevelType w:val="multilevel"/>
    <w:tmpl w:val="0427001F"/>
    <w:lvl w:ilvl="0">
      <w:start w:val="1"/>
      <w:numFmt w:val="decimal"/>
      <w:lvlText w:val="%1."/>
      <w:lvlJc w:val="left"/>
      <w:pPr>
        <w:ind w:left="1211"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734ECA"/>
    <w:multiLevelType w:val="multilevel"/>
    <w:tmpl w:val="BAD4D200"/>
    <w:lvl w:ilvl="0">
      <w:start w:val="2"/>
      <w:numFmt w:val="decimal"/>
      <w:lvlText w:val="%1."/>
      <w:lvlJc w:val="left"/>
      <w:pPr>
        <w:ind w:left="360" w:hanging="360"/>
      </w:pPr>
      <w:rPr>
        <w:rFonts w:hint="default"/>
      </w:rPr>
    </w:lvl>
    <w:lvl w:ilvl="1">
      <w:start w:val="8"/>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7F"/>
    <w:rsid w:val="00000B69"/>
    <w:rsid w:val="00006E43"/>
    <w:rsid w:val="00007605"/>
    <w:rsid w:val="00020B49"/>
    <w:rsid w:val="00045D7A"/>
    <w:rsid w:val="00047DA6"/>
    <w:rsid w:val="00053CD1"/>
    <w:rsid w:val="000B3032"/>
    <w:rsid w:val="000C0AF9"/>
    <w:rsid w:val="000F76AA"/>
    <w:rsid w:val="00160D0C"/>
    <w:rsid w:val="00176E26"/>
    <w:rsid w:val="001772EE"/>
    <w:rsid w:val="001B33F8"/>
    <w:rsid w:val="001C5E29"/>
    <w:rsid w:val="001D51AF"/>
    <w:rsid w:val="001F47F2"/>
    <w:rsid w:val="002435C9"/>
    <w:rsid w:val="00245A09"/>
    <w:rsid w:val="00263A7F"/>
    <w:rsid w:val="00295D7F"/>
    <w:rsid w:val="00295EFB"/>
    <w:rsid w:val="002E2B51"/>
    <w:rsid w:val="002E72F3"/>
    <w:rsid w:val="002F5785"/>
    <w:rsid w:val="003244DE"/>
    <w:rsid w:val="003457CB"/>
    <w:rsid w:val="00374437"/>
    <w:rsid w:val="00380F9A"/>
    <w:rsid w:val="003B68E1"/>
    <w:rsid w:val="004161BA"/>
    <w:rsid w:val="00430273"/>
    <w:rsid w:val="004A0E6C"/>
    <w:rsid w:val="004E18E9"/>
    <w:rsid w:val="00505B88"/>
    <w:rsid w:val="005348C6"/>
    <w:rsid w:val="005B1AA6"/>
    <w:rsid w:val="005B2B5A"/>
    <w:rsid w:val="006569F2"/>
    <w:rsid w:val="007133F2"/>
    <w:rsid w:val="00754B74"/>
    <w:rsid w:val="0075570A"/>
    <w:rsid w:val="00760C10"/>
    <w:rsid w:val="007C2CDB"/>
    <w:rsid w:val="007C4B62"/>
    <w:rsid w:val="007D2DA2"/>
    <w:rsid w:val="00810349"/>
    <w:rsid w:val="00812A4F"/>
    <w:rsid w:val="008567BE"/>
    <w:rsid w:val="008C0F09"/>
    <w:rsid w:val="008F1239"/>
    <w:rsid w:val="00903FD1"/>
    <w:rsid w:val="00942C69"/>
    <w:rsid w:val="00A63B55"/>
    <w:rsid w:val="00A80515"/>
    <w:rsid w:val="00A8669C"/>
    <w:rsid w:val="00AA6732"/>
    <w:rsid w:val="00AD088B"/>
    <w:rsid w:val="00AF0B25"/>
    <w:rsid w:val="00B34D89"/>
    <w:rsid w:val="00B372C4"/>
    <w:rsid w:val="00B43C54"/>
    <w:rsid w:val="00B6053F"/>
    <w:rsid w:val="00B753EE"/>
    <w:rsid w:val="00B92902"/>
    <w:rsid w:val="00BA53DA"/>
    <w:rsid w:val="00BC3D3C"/>
    <w:rsid w:val="00BD5ED1"/>
    <w:rsid w:val="00BE2B0A"/>
    <w:rsid w:val="00BF6EBD"/>
    <w:rsid w:val="00CB37AD"/>
    <w:rsid w:val="00CD00B0"/>
    <w:rsid w:val="00CF068B"/>
    <w:rsid w:val="00D04E4B"/>
    <w:rsid w:val="00D41D28"/>
    <w:rsid w:val="00D43142"/>
    <w:rsid w:val="00D57318"/>
    <w:rsid w:val="00D97F3D"/>
    <w:rsid w:val="00DB2AFB"/>
    <w:rsid w:val="00DE14EC"/>
    <w:rsid w:val="00DE39F5"/>
    <w:rsid w:val="00DF7D99"/>
    <w:rsid w:val="00E056BB"/>
    <w:rsid w:val="00E6592C"/>
    <w:rsid w:val="00E8118A"/>
    <w:rsid w:val="00E87C95"/>
    <w:rsid w:val="00EF15DB"/>
    <w:rsid w:val="00F038E3"/>
    <w:rsid w:val="00F11A7A"/>
    <w:rsid w:val="00F516E6"/>
    <w:rsid w:val="00F95485"/>
    <w:rsid w:val="00FA2CF6"/>
    <w:rsid w:val="00FB13D3"/>
    <w:rsid w:val="00FB462A"/>
    <w:rsid w:val="00FC69E6"/>
    <w:rsid w:val="00FF1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C50C"/>
  <w15:docId w15:val="{5DCD2466-3B30-41BF-AC8D-D038F486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7D99"/>
    <w:pPr>
      <w:tabs>
        <w:tab w:val="center" w:pos="4153"/>
        <w:tab w:val="right" w:pos="8306"/>
      </w:tabs>
    </w:pPr>
  </w:style>
  <w:style w:type="character" w:customStyle="1" w:styleId="AntratsDiagrama">
    <w:name w:val="Antraštės Diagrama"/>
    <w:basedOn w:val="DefaultParagraphFont"/>
    <w:uiPriority w:val="99"/>
    <w:semiHidden/>
    <w:rsid w:val="00DF7D99"/>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locked/>
    <w:rsid w:val="00DF7D99"/>
    <w:rPr>
      <w:rFonts w:ascii="Times New Roman" w:eastAsia="Times New Roman" w:hAnsi="Times New Roman" w:cs="Times New Roman"/>
      <w:sz w:val="24"/>
      <w:szCs w:val="24"/>
    </w:rPr>
  </w:style>
  <w:style w:type="paragraph" w:styleId="Footer">
    <w:name w:val="footer"/>
    <w:basedOn w:val="Normal"/>
    <w:link w:val="FooterChar"/>
    <w:uiPriority w:val="99"/>
    <w:rsid w:val="00DF7D99"/>
    <w:pPr>
      <w:tabs>
        <w:tab w:val="center" w:pos="4153"/>
        <w:tab w:val="right" w:pos="8306"/>
      </w:tabs>
    </w:pPr>
  </w:style>
  <w:style w:type="character" w:customStyle="1" w:styleId="PoratDiagrama">
    <w:name w:val="Poraštė Diagrama"/>
    <w:basedOn w:val="DefaultParagraphFont"/>
    <w:uiPriority w:val="99"/>
    <w:semiHidden/>
    <w:rsid w:val="00DF7D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locked/>
    <w:rsid w:val="00DF7D99"/>
    <w:rPr>
      <w:rFonts w:ascii="Times New Roman" w:eastAsia="Times New Roman" w:hAnsi="Times New Roman" w:cs="Times New Roman"/>
      <w:sz w:val="24"/>
      <w:szCs w:val="24"/>
    </w:rPr>
  </w:style>
  <w:style w:type="paragraph" w:styleId="BodyText">
    <w:name w:val="Body Text"/>
    <w:basedOn w:val="Normal"/>
    <w:link w:val="BodyTextChar"/>
    <w:uiPriority w:val="99"/>
    <w:rsid w:val="00DF7D99"/>
    <w:pPr>
      <w:jc w:val="center"/>
    </w:pPr>
    <w:rPr>
      <w:b/>
    </w:rPr>
  </w:style>
  <w:style w:type="character" w:customStyle="1" w:styleId="PagrindinistekstasDiagrama">
    <w:name w:val="Pagrindinis tekstas Diagrama"/>
    <w:basedOn w:val="DefaultParagraphFont"/>
    <w:uiPriority w:val="99"/>
    <w:semiHidden/>
    <w:rsid w:val="00DF7D9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DF7D99"/>
    <w:rPr>
      <w:rFonts w:ascii="Times New Roman" w:eastAsia="Times New Roman" w:hAnsi="Times New Roman" w:cs="Times New Roman"/>
      <w:b/>
      <w:sz w:val="24"/>
      <w:szCs w:val="24"/>
    </w:rPr>
  </w:style>
  <w:style w:type="paragraph" w:styleId="BodyTextIndent2">
    <w:name w:val="Body Text Indent 2"/>
    <w:basedOn w:val="Normal"/>
    <w:link w:val="BodyTextIndent2Char"/>
    <w:uiPriority w:val="99"/>
    <w:rsid w:val="00DF7D99"/>
    <w:pPr>
      <w:ind w:firstLine="720"/>
      <w:jc w:val="both"/>
    </w:pPr>
    <w:rPr>
      <w:i/>
    </w:rPr>
  </w:style>
  <w:style w:type="character" w:customStyle="1" w:styleId="BodyTextIndent2Char">
    <w:name w:val="Body Text Indent 2 Char"/>
    <w:basedOn w:val="DefaultParagraphFont"/>
    <w:link w:val="BodyTextIndent2"/>
    <w:uiPriority w:val="99"/>
    <w:rsid w:val="00DF7D99"/>
    <w:rPr>
      <w:rFonts w:ascii="Times New Roman" w:eastAsia="Times New Roman" w:hAnsi="Times New Roman" w:cs="Times New Roman"/>
      <w:i/>
      <w:sz w:val="24"/>
      <w:szCs w:val="24"/>
    </w:rPr>
  </w:style>
  <w:style w:type="character" w:styleId="CommentReference">
    <w:name w:val="annotation reference"/>
    <w:basedOn w:val="DefaultParagraphFont"/>
    <w:rsid w:val="00DF7D99"/>
    <w:rPr>
      <w:rFonts w:cs="Times New Roman"/>
      <w:sz w:val="16"/>
    </w:rPr>
  </w:style>
  <w:style w:type="paragraph" w:styleId="CommentText">
    <w:name w:val="annotation text"/>
    <w:basedOn w:val="Normal"/>
    <w:link w:val="CommentTextChar"/>
    <w:rsid w:val="00DF7D99"/>
    <w:rPr>
      <w:sz w:val="20"/>
      <w:szCs w:val="20"/>
    </w:rPr>
  </w:style>
  <w:style w:type="character" w:customStyle="1" w:styleId="CommentTextChar">
    <w:name w:val="Comment Text Char"/>
    <w:basedOn w:val="DefaultParagraphFont"/>
    <w:link w:val="CommentText"/>
    <w:rsid w:val="00DF7D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F7D99"/>
    <w:rPr>
      <w:rFonts w:ascii="Tahoma" w:hAnsi="Tahoma" w:cs="Tahoma"/>
      <w:sz w:val="16"/>
      <w:szCs w:val="16"/>
    </w:rPr>
  </w:style>
  <w:style w:type="character" w:customStyle="1" w:styleId="BalloonTextChar">
    <w:name w:val="Balloon Text Char"/>
    <w:basedOn w:val="DefaultParagraphFont"/>
    <w:link w:val="BalloonText"/>
    <w:uiPriority w:val="99"/>
    <w:semiHidden/>
    <w:rsid w:val="00DF7D99"/>
    <w:rPr>
      <w:rFonts w:ascii="Tahoma" w:eastAsia="Times New Roman" w:hAnsi="Tahoma" w:cs="Tahoma"/>
      <w:sz w:val="16"/>
      <w:szCs w:val="16"/>
    </w:rPr>
  </w:style>
  <w:style w:type="paragraph" w:styleId="ListParagraph">
    <w:name w:val="List Paragraph"/>
    <w:basedOn w:val="Normal"/>
    <w:uiPriority w:val="99"/>
    <w:qFormat/>
    <w:rsid w:val="00DF7D99"/>
    <w:pPr>
      <w:ind w:left="720"/>
      <w:contextualSpacing/>
    </w:pPr>
  </w:style>
  <w:style w:type="paragraph" w:styleId="CommentSubject">
    <w:name w:val="annotation subject"/>
    <w:basedOn w:val="CommentText"/>
    <w:next w:val="CommentText"/>
    <w:link w:val="CommentSubjectChar"/>
    <w:uiPriority w:val="99"/>
    <w:semiHidden/>
    <w:unhideWhenUsed/>
    <w:rsid w:val="000C0AF9"/>
    <w:rPr>
      <w:b/>
      <w:bCs/>
    </w:rPr>
  </w:style>
  <w:style w:type="character" w:customStyle="1" w:styleId="CommentSubjectChar">
    <w:name w:val="Comment Subject Char"/>
    <w:basedOn w:val="CommentTextChar"/>
    <w:link w:val="CommentSubject"/>
    <w:uiPriority w:val="99"/>
    <w:semiHidden/>
    <w:rsid w:val="000C0A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669424">
      <w:bodyDiv w:val="1"/>
      <w:marLeft w:val="0"/>
      <w:marRight w:val="0"/>
      <w:marTop w:val="0"/>
      <w:marBottom w:val="0"/>
      <w:divBdr>
        <w:top w:val="none" w:sz="0" w:space="0" w:color="auto"/>
        <w:left w:val="none" w:sz="0" w:space="0" w:color="auto"/>
        <w:bottom w:val="none" w:sz="0" w:space="0" w:color="auto"/>
        <w:right w:val="none" w:sz="0" w:space="0" w:color="auto"/>
      </w:divBdr>
    </w:div>
    <w:div w:id="468590503">
      <w:bodyDiv w:val="1"/>
      <w:marLeft w:val="0"/>
      <w:marRight w:val="0"/>
      <w:marTop w:val="0"/>
      <w:marBottom w:val="0"/>
      <w:divBdr>
        <w:top w:val="none" w:sz="0" w:space="0" w:color="auto"/>
        <w:left w:val="none" w:sz="0" w:space="0" w:color="auto"/>
        <w:bottom w:val="none" w:sz="0" w:space="0" w:color="auto"/>
        <w:right w:val="none" w:sz="0" w:space="0" w:color="auto"/>
      </w:divBdr>
    </w:div>
    <w:div w:id="555168946">
      <w:bodyDiv w:val="1"/>
      <w:marLeft w:val="0"/>
      <w:marRight w:val="0"/>
      <w:marTop w:val="0"/>
      <w:marBottom w:val="0"/>
      <w:divBdr>
        <w:top w:val="none" w:sz="0" w:space="0" w:color="auto"/>
        <w:left w:val="none" w:sz="0" w:space="0" w:color="auto"/>
        <w:bottom w:val="none" w:sz="0" w:space="0" w:color="auto"/>
        <w:right w:val="none" w:sz="0" w:space="0" w:color="auto"/>
      </w:divBdr>
    </w:div>
    <w:div w:id="741148026">
      <w:bodyDiv w:val="1"/>
      <w:marLeft w:val="0"/>
      <w:marRight w:val="0"/>
      <w:marTop w:val="0"/>
      <w:marBottom w:val="0"/>
      <w:divBdr>
        <w:top w:val="none" w:sz="0" w:space="0" w:color="auto"/>
        <w:left w:val="none" w:sz="0" w:space="0" w:color="auto"/>
        <w:bottom w:val="none" w:sz="0" w:space="0" w:color="auto"/>
        <w:right w:val="none" w:sz="0" w:space="0" w:color="auto"/>
      </w:divBdr>
    </w:div>
    <w:div w:id="1154489356">
      <w:bodyDiv w:val="1"/>
      <w:marLeft w:val="0"/>
      <w:marRight w:val="0"/>
      <w:marTop w:val="0"/>
      <w:marBottom w:val="0"/>
      <w:divBdr>
        <w:top w:val="none" w:sz="0" w:space="0" w:color="auto"/>
        <w:left w:val="none" w:sz="0" w:space="0" w:color="auto"/>
        <w:bottom w:val="none" w:sz="0" w:space="0" w:color="auto"/>
        <w:right w:val="none" w:sz="0" w:space="0" w:color="auto"/>
      </w:divBdr>
    </w:div>
    <w:div w:id="1553812879">
      <w:bodyDiv w:val="1"/>
      <w:marLeft w:val="0"/>
      <w:marRight w:val="0"/>
      <w:marTop w:val="0"/>
      <w:marBottom w:val="0"/>
      <w:divBdr>
        <w:top w:val="none" w:sz="0" w:space="0" w:color="auto"/>
        <w:left w:val="none" w:sz="0" w:space="0" w:color="auto"/>
        <w:bottom w:val="none" w:sz="0" w:space="0" w:color="auto"/>
        <w:right w:val="none" w:sz="0" w:space="0" w:color="auto"/>
      </w:divBdr>
    </w:div>
    <w:div w:id="20895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2101-36E2-4C60-B8E7-A046F25A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7596</Words>
  <Characters>4331</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Kondratavičiūtė</dc:creator>
  <cp:lastModifiedBy>Alina Dokutovičienė</cp:lastModifiedBy>
  <cp:revision>9</cp:revision>
  <cp:lastPrinted>2017-11-17T09:31:00Z</cp:lastPrinted>
  <dcterms:created xsi:type="dcterms:W3CDTF">2017-11-17T13:03:00Z</dcterms:created>
  <dcterms:modified xsi:type="dcterms:W3CDTF">2017-11-27T10:03:00Z</dcterms:modified>
</cp:coreProperties>
</file>