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91" w:rsidRPr="0088761E" w:rsidRDefault="00990F91" w:rsidP="00990F91">
      <w:pPr>
        <w:jc w:val="center"/>
        <w:rPr>
          <w:b/>
          <w:color w:val="000000"/>
        </w:rPr>
      </w:pPr>
      <w:r w:rsidRPr="0088761E">
        <w:rPr>
          <w:b/>
          <w:color w:val="000000"/>
        </w:rPr>
        <w:t>TEISĖJŲ MOKYMO PROGRAMA</w:t>
      </w:r>
    </w:p>
    <w:p w:rsidR="00990F91" w:rsidRPr="0088761E" w:rsidRDefault="00990F91" w:rsidP="00990F91">
      <w:pPr>
        <w:jc w:val="center"/>
        <w:rPr>
          <w:b/>
          <w:color w:val="000000"/>
        </w:rPr>
      </w:pPr>
      <w:r w:rsidRPr="0088761E">
        <w:rPr>
          <w:b/>
          <w:color w:val="000000"/>
        </w:rPr>
        <w:t xml:space="preserve">„ATLIEKŲ TVARKYMAS/APLINKOSAUGA“ </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990F91">
        <w:rPr>
          <w:bCs/>
        </w:rPr>
        <w:t>A</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B2602C" w:rsidRPr="00B2602C" w:rsidRDefault="00101F13" w:rsidP="00B2602C">
      <w:pPr>
        <w:jc w:val="center"/>
        <w:rPr>
          <w:bCs/>
        </w:rPr>
      </w:pPr>
      <w:r w:rsidRPr="0033192F">
        <w:t>201</w:t>
      </w:r>
      <w:r w:rsidR="00535F3C">
        <w:t>8</w:t>
      </w:r>
      <w:r w:rsidRPr="0033192F">
        <w:t xml:space="preserve"> m. </w:t>
      </w:r>
      <w:r w:rsidR="00CC3CD0">
        <w:t xml:space="preserve">vasario </w:t>
      </w:r>
      <w:r w:rsidR="00990F91">
        <w:t>22-23</w:t>
      </w:r>
      <w:r w:rsidRPr="0033192F">
        <w:t xml:space="preserve"> d.</w:t>
      </w:r>
    </w:p>
    <w:p w:rsidR="00101F13" w:rsidRDefault="00101F13" w:rsidP="00F00F8D">
      <w:pPr>
        <w:ind w:right="-262"/>
        <w:jc w:val="center"/>
        <w:rPr>
          <w:color w:val="000000"/>
        </w:rPr>
      </w:pPr>
      <w:r w:rsidRPr="0033192F">
        <w:rPr>
          <w:color w:val="000000"/>
        </w:rPr>
        <w:t>Molėtai</w:t>
      </w:r>
    </w:p>
    <w:p w:rsidR="00B2602C" w:rsidRPr="0033192F" w:rsidRDefault="00B2602C" w:rsidP="00F00F8D">
      <w:pPr>
        <w:ind w:right="-262"/>
        <w:jc w:val="center"/>
        <w:rPr>
          <w:color w:val="000000"/>
        </w:rPr>
      </w:pP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tblPr>
      <w:tblGrid>
        <w:gridCol w:w="10265"/>
      </w:tblGrid>
      <w:tr w:rsidR="00101F13" w:rsidRPr="003E5139" w:rsidTr="00DB27AA">
        <w:tc>
          <w:tcPr>
            <w:tcW w:w="10265" w:type="dxa"/>
          </w:tcPr>
          <w:p w:rsidR="004C6176" w:rsidRDefault="00101F13" w:rsidP="00E2514D">
            <w:pPr>
              <w:rPr>
                <w:i/>
                <w:iCs/>
              </w:rPr>
            </w:pPr>
            <w:r w:rsidRPr="002A3798">
              <w:rPr>
                <w:i/>
                <w:iCs/>
              </w:rPr>
              <w:t>Lektor</w:t>
            </w:r>
            <w:r w:rsidR="004C6176">
              <w:rPr>
                <w:i/>
                <w:iCs/>
              </w:rPr>
              <w:t>i</w:t>
            </w:r>
            <w:r w:rsidR="00990F91">
              <w:rPr>
                <w:i/>
                <w:iCs/>
              </w:rPr>
              <w:t>ai</w:t>
            </w:r>
          </w:p>
          <w:p w:rsidR="00B2602C" w:rsidRPr="00B2602C" w:rsidRDefault="00B2602C" w:rsidP="00E2514D">
            <w:pPr>
              <w:rPr>
                <w:b/>
              </w:rPr>
            </w:pPr>
            <w:r w:rsidRPr="00B2602C">
              <w:rPr>
                <w:b/>
                <w:i/>
                <w:iCs/>
              </w:rPr>
              <w:t>Vilma Ramanauskaitė</w:t>
            </w:r>
          </w:p>
          <w:p w:rsidR="00FF269D" w:rsidRPr="00B2602C" w:rsidRDefault="00B2602C" w:rsidP="0035133B">
            <w:pPr>
              <w:tabs>
                <w:tab w:val="left" w:pos="-92"/>
                <w:tab w:val="left" w:pos="283"/>
              </w:tabs>
              <w:rPr>
                <w:i/>
              </w:rPr>
            </w:pPr>
            <w:r w:rsidRPr="00B2602C">
              <w:rPr>
                <w:i/>
              </w:rPr>
              <w:t>ILAW  advokatų profesinės bendrijos partnerė, advokatė</w:t>
            </w:r>
          </w:p>
          <w:p w:rsidR="00B2602C" w:rsidRPr="00B2602C" w:rsidRDefault="00B2602C" w:rsidP="0035133B">
            <w:pPr>
              <w:tabs>
                <w:tab w:val="left" w:pos="-92"/>
                <w:tab w:val="left" w:pos="283"/>
              </w:tabs>
              <w:rPr>
                <w:b/>
                <w:i/>
              </w:rPr>
            </w:pPr>
            <w:r w:rsidRPr="00B2602C">
              <w:rPr>
                <w:b/>
                <w:i/>
              </w:rPr>
              <w:t xml:space="preserve">Lina </w:t>
            </w:r>
            <w:proofErr w:type="spellStart"/>
            <w:r w:rsidRPr="00B2602C">
              <w:rPr>
                <w:b/>
                <w:i/>
              </w:rPr>
              <w:t>Šleinotaitė</w:t>
            </w:r>
            <w:proofErr w:type="spellEnd"/>
            <w:r w:rsidRPr="00B2602C">
              <w:rPr>
                <w:b/>
                <w:i/>
              </w:rPr>
              <w:t xml:space="preserve"> – Budrienė</w:t>
            </w:r>
          </w:p>
          <w:p w:rsidR="00990F91" w:rsidRPr="00B2602C" w:rsidRDefault="00B2602C" w:rsidP="0035133B">
            <w:pPr>
              <w:tabs>
                <w:tab w:val="left" w:pos="-92"/>
                <w:tab w:val="left" w:pos="283"/>
              </w:tabs>
              <w:rPr>
                <w:i/>
              </w:rPr>
            </w:pPr>
            <w:r w:rsidRPr="00B2602C">
              <w:rPr>
                <w:i/>
              </w:rPr>
              <w:t>UAB „</w:t>
            </w:r>
            <w:proofErr w:type="spellStart"/>
            <w:r w:rsidRPr="00B2602C">
              <w:rPr>
                <w:i/>
              </w:rPr>
              <w:t>Ekokonsultacijos</w:t>
            </w:r>
            <w:proofErr w:type="spellEnd"/>
            <w:r w:rsidRPr="00B2602C">
              <w:rPr>
                <w:i/>
              </w:rPr>
              <w:t>“ vadovaujanti partnerė, tvarios veiklos, atliekų valdymo ekspertė</w:t>
            </w:r>
          </w:p>
          <w:p w:rsidR="00B2602C" w:rsidRPr="00B2602C" w:rsidRDefault="00B2602C" w:rsidP="0035133B">
            <w:pPr>
              <w:tabs>
                <w:tab w:val="left" w:pos="-92"/>
                <w:tab w:val="left" w:pos="283"/>
              </w:tabs>
              <w:rPr>
                <w:b/>
                <w:i/>
              </w:rPr>
            </w:pPr>
            <w:r w:rsidRPr="00B2602C">
              <w:rPr>
                <w:b/>
                <w:i/>
              </w:rPr>
              <w:t xml:space="preserve">Jolanta </w:t>
            </w:r>
            <w:proofErr w:type="spellStart"/>
            <w:r w:rsidRPr="00B2602C">
              <w:rPr>
                <w:b/>
                <w:i/>
              </w:rPr>
              <w:t>Graudinytė</w:t>
            </w:r>
            <w:proofErr w:type="spellEnd"/>
          </w:p>
          <w:p w:rsidR="00B2602C" w:rsidRPr="00B2602C" w:rsidRDefault="00B2602C" w:rsidP="0035133B">
            <w:pPr>
              <w:tabs>
                <w:tab w:val="left" w:pos="-92"/>
                <w:tab w:val="left" w:pos="283"/>
              </w:tabs>
              <w:rPr>
                <w:b/>
                <w:i/>
              </w:rPr>
            </w:pPr>
            <w:r w:rsidRPr="00B2602C">
              <w:rPr>
                <w:i/>
              </w:rPr>
              <w:t>UAB „</w:t>
            </w:r>
            <w:proofErr w:type="spellStart"/>
            <w:r w:rsidRPr="00B2602C">
              <w:rPr>
                <w:i/>
              </w:rPr>
              <w:t>Ekokonsultacijos</w:t>
            </w:r>
            <w:proofErr w:type="spellEnd"/>
            <w:r w:rsidRPr="00B2602C">
              <w:rPr>
                <w:i/>
              </w:rPr>
              <w:t>“ aplinkos apsaugos konsultantė</w:t>
            </w:r>
          </w:p>
          <w:p w:rsidR="00ED6B23" w:rsidRPr="00ED6B23" w:rsidRDefault="00ED6B23" w:rsidP="00FA28F6">
            <w:pPr>
              <w:tabs>
                <w:tab w:val="left" w:pos="-92"/>
                <w:tab w:val="left" w:pos="283"/>
              </w:tabs>
              <w:rPr>
                <w:i/>
                <w:sz w:val="10"/>
                <w:szCs w:val="10"/>
              </w:rPr>
            </w:pPr>
          </w:p>
        </w:tc>
      </w:tr>
    </w:tbl>
    <w:p w:rsidR="00101F13" w:rsidRDefault="00101F13"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Default="00B2602C" w:rsidP="00E22E0E">
      <w:pPr>
        <w:rPr>
          <w:color w:val="000000"/>
          <w:sz w:val="4"/>
          <w:szCs w:val="4"/>
          <w:u w:val="single"/>
        </w:rPr>
      </w:pPr>
    </w:p>
    <w:p w:rsidR="00B2602C" w:rsidRPr="00E22E0E" w:rsidRDefault="00B2602C" w:rsidP="00E22E0E">
      <w:pPr>
        <w:rPr>
          <w:color w:val="000000"/>
          <w:sz w:val="4"/>
          <w:szCs w:val="4"/>
          <w:u w:val="single"/>
        </w:rPr>
      </w:pPr>
    </w:p>
    <w:p w:rsidR="00101F13" w:rsidRDefault="00070FD5" w:rsidP="00B30D6B">
      <w:pPr>
        <w:ind w:left="-540" w:firstLine="540"/>
        <w:jc w:val="center"/>
        <w:rPr>
          <w:color w:val="000000"/>
          <w:u w:val="single"/>
        </w:rPr>
      </w:pPr>
      <w:r>
        <w:rPr>
          <w:color w:val="000000"/>
          <w:u w:val="single"/>
        </w:rPr>
        <w:t>Ketvirtadienis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Pr>
          <w:u w:val="single"/>
        </w:rPr>
        <w:t>vasario</w:t>
      </w:r>
      <w:r w:rsidR="00FA28F6">
        <w:rPr>
          <w:u w:val="single"/>
        </w:rPr>
        <w:t xml:space="preserve"> </w:t>
      </w:r>
      <w:r w:rsidR="00990F91">
        <w:rPr>
          <w:u w:val="single"/>
        </w:rPr>
        <w:t>22</w:t>
      </w:r>
      <w:r w:rsidR="00101F13" w:rsidRPr="002A3798">
        <w:rPr>
          <w:u w:val="single"/>
        </w:rPr>
        <w:t xml:space="preserve"> </w:t>
      </w:r>
      <w:r w:rsidR="00101F13" w:rsidRPr="002A3798">
        <w:rPr>
          <w:color w:val="000000"/>
          <w:u w:val="single"/>
        </w:rPr>
        <w:t>d.</w:t>
      </w:r>
    </w:p>
    <w:p w:rsidR="00B2602C" w:rsidRPr="002A3798" w:rsidRDefault="00B2602C" w:rsidP="00B30D6B">
      <w:pPr>
        <w:ind w:left="-540" w:firstLine="540"/>
        <w:jc w:val="center"/>
        <w:rPr>
          <w:color w:val="000000"/>
          <w:u w:val="single"/>
        </w:rPr>
      </w:pPr>
    </w:p>
    <w:p w:rsidR="00101F13" w:rsidRPr="003E5139" w:rsidRDefault="00101F13" w:rsidP="00404B41">
      <w:pPr>
        <w:rPr>
          <w:color w:val="000000"/>
          <w:sz w:val="20"/>
          <w:szCs w:val="20"/>
          <w:u w:val="single"/>
        </w:rPr>
      </w:pPr>
    </w:p>
    <w:tbl>
      <w:tblPr>
        <w:tblW w:w="9819" w:type="dxa"/>
        <w:tblInd w:w="-72" w:type="dxa"/>
        <w:tblLayout w:type="fixed"/>
        <w:tblLook w:val="01E0"/>
      </w:tblPr>
      <w:tblGrid>
        <w:gridCol w:w="827"/>
        <w:gridCol w:w="8992"/>
      </w:tblGrid>
      <w:tr w:rsidR="00101F13" w:rsidRPr="003E5139" w:rsidTr="00DF5C26">
        <w:tc>
          <w:tcPr>
            <w:tcW w:w="827" w:type="dxa"/>
          </w:tcPr>
          <w:p w:rsidR="00101F13" w:rsidRPr="003E5139" w:rsidRDefault="00990F91" w:rsidP="00561C13">
            <w:pPr>
              <w:jc w:val="both"/>
              <w:rPr>
                <w:color w:val="000000"/>
              </w:rPr>
            </w:pPr>
            <w:r>
              <w:rPr>
                <w:color w:val="000000"/>
              </w:rPr>
              <w:t>11</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990F91">
            <w:pPr>
              <w:jc w:val="both"/>
              <w:rPr>
                <w:b/>
                <w:color w:val="000000"/>
                <w:sz w:val="20"/>
                <w:szCs w:val="20"/>
              </w:rPr>
            </w:pPr>
            <w:r>
              <w:rPr>
                <w:b/>
                <w:color w:val="000000"/>
              </w:rPr>
              <w:t>1</w:t>
            </w:r>
            <w:r w:rsidR="00990F91">
              <w:rPr>
                <w:b/>
                <w:color w:val="000000"/>
              </w:rPr>
              <w:t>2</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B2602C" w:rsidRPr="00B2602C" w:rsidRDefault="00B2602C" w:rsidP="00B2602C">
            <w:pPr>
              <w:pStyle w:val="western"/>
              <w:spacing w:before="0" w:beforeAutospacing="0" w:after="0" w:afterAutospacing="0"/>
              <w:ind w:left="-34"/>
              <w:jc w:val="both"/>
              <w:rPr>
                <w:b/>
              </w:rPr>
            </w:pPr>
            <w:r w:rsidRPr="00B2602C">
              <w:rPr>
                <w:b/>
              </w:rPr>
              <w:t>Atliekų tvarkymo pagrindai. Atliekų tvarkymo politika ir teisinis reguliavimas.</w:t>
            </w:r>
            <w:r>
              <w:rPr>
                <w:b/>
              </w:rPr>
              <w:t xml:space="preserve"> </w:t>
            </w:r>
            <w:r w:rsidRPr="00B2602C">
              <w:rPr>
                <w:b/>
              </w:rPr>
              <w:t xml:space="preserve">Atliekų tvarkymo sistemos: savivaldybės administruojamos komunalinių atliekų, gamintojo atsakomybės bei gamybinių atliekų tvarkymo sistemos ir jų sąsajos. Dažniausi pažeidimai ir jų pobūdis kiekvienoje sistemoje. </w:t>
            </w:r>
          </w:p>
          <w:p w:rsidR="00201491" w:rsidRDefault="00B2602C" w:rsidP="00070FD5">
            <w:pPr>
              <w:pStyle w:val="western"/>
              <w:spacing w:before="0" w:beforeAutospacing="0" w:after="0" w:afterAutospacing="0"/>
              <w:ind w:left="-34"/>
              <w:jc w:val="both"/>
              <w:rPr>
                <w:i/>
              </w:rPr>
            </w:pPr>
            <w:r w:rsidRPr="00B2602C">
              <w:rPr>
                <w:i/>
              </w:rPr>
              <w:t xml:space="preserve">Lektorė </w:t>
            </w:r>
            <w:r>
              <w:rPr>
                <w:i/>
              </w:rPr>
              <w:t xml:space="preserve">Lina </w:t>
            </w:r>
            <w:proofErr w:type="spellStart"/>
            <w:r>
              <w:rPr>
                <w:i/>
              </w:rPr>
              <w:t>Šleinotaitė</w:t>
            </w:r>
            <w:proofErr w:type="spellEnd"/>
            <w:r>
              <w:rPr>
                <w:i/>
              </w:rPr>
              <w:t xml:space="preserve"> – Budrienė</w:t>
            </w:r>
          </w:p>
          <w:p w:rsidR="00B2602C" w:rsidRPr="00B2602C" w:rsidRDefault="00B2602C" w:rsidP="00B2602C">
            <w:pPr>
              <w:pStyle w:val="western"/>
              <w:spacing w:before="0" w:beforeAutospacing="0" w:after="0" w:afterAutospacing="0"/>
              <w:ind w:left="-34"/>
              <w:jc w:val="both"/>
              <w:rPr>
                <w:b/>
              </w:rPr>
            </w:pPr>
            <w:r w:rsidRPr="00B2602C">
              <w:rPr>
                <w:b/>
              </w:rPr>
              <w:t xml:space="preserve">2017 m. liepos 11 d. priimtas Atliekų tvarkymo </w:t>
            </w:r>
            <w:proofErr w:type="spellStart"/>
            <w:r w:rsidRPr="00B2602C">
              <w:rPr>
                <w:b/>
              </w:rPr>
              <w:t>įstatymas</w:t>
            </w:r>
            <w:proofErr w:type="spellEnd"/>
            <w:r w:rsidRPr="00B2602C">
              <w:rPr>
                <w:b/>
              </w:rPr>
              <w:t xml:space="preserve"> ir jo esminės nuostatos. Poveikis sistemoms, galimos įtampos kiekvienoje sistemoje. </w:t>
            </w:r>
          </w:p>
          <w:p w:rsidR="00B2602C" w:rsidRPr="00B2602C" w:rsidRDefault="00B2602C" w:rsidP="00B2602C">
            <w:pPr>
              <w:pStyle w:val="western"/>
              <w:spacing w:before="0" w:beforeAutospacing="0" w:after="0" w:afterAutospacing="0"/>
              <w:ind w:left="-34"/>
              <w:jc w:val="both"/>
              <w:rPr>
                <w:i/>
              </w:rPr>
            </w:pPr>
            <w:r w:rsidRPr="00B2602C">
              <w:rPr>
                <w:i/>
              </w:rPr>
              <w:t xml:space="preserve">Lektorė </w:t>
            </w:r>
            <w:r>
              <w:rPr>
                <w:i/>
              </w:rPr>
              <w:t>Vilma Ramanauskaitė</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990F91">
            <w:pPr>
              <w:jc w:val="both"/>
              <w:rPr>
                <w:i/>
                <w:color w:val="000000"/>
              </w:rPr>
            </w:pPr>
            <w:r>
              <w:rPr>
                <w:i/>
                <w:color w:val="000000"/>
              </w:rPr>
              <w:t>1</w:t>
            </w:r>
            <w:r w:rsidR="00990F91">
              <w:rPr>
                <w:i/>
                <w:color w:val="000000"/>
              </w:rPr>
              <w:t>3</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990F91">
            <w:pPr>
              <w:jc w:val="both"/>
              <w:rPr>
                <w:b/>
                <w:color w:val="000000"/>
              </w:rPr>
            </w:pPr>
            <w:r>
              <w:rPr>
                <w:b/>
                <w:color w:val="000000"/>
              </w:rPr>
              <w:t>1</w:t>
            </w:r>
            <w:r w:rsidR="00990F91">
              <w:rPr>
                <w:b/>
                <w:color w:val="000000"/>
              </w:rPr>
              <w:t>3</w:t>
            </w:r>
            <w:r>
              <w:rPr>
                <w:b/>
                <w:color w:val="000000"/>
              </w:rPr>
              <w:t>.</w:t>
            </w:r>
            <w:r w:rsidR="00535F3C">
              <w:rPr>
                <w:b/>
                <w:color w:val="000000"/>
              </w:rPr>
              <w:t>4</w:t>
            </w:r>
            <w:r w:rsidR="009144A6">
              <w:rPr>
                <w:b/>
                <w:color w:val="000000"/>
              </w:rPr>
              <w:t>5</w:t>
            </w:r>
          </w:p>
        </w:tc>
        <w:tc>
          <w:tcPr>
            <w:tcW w:w="8992" w:type="dxa"/>
          </w:tcPr>
          <w:p w:rsidR="00B2602C" w:rsidRPr="00B2602C" w:rsidRDefault="00B2602C" w:rsidP="00B2602C">
            <w:pPr>
              <w:tabs>
                <w:tab w:val="left" w:pos="145"/>
                <w:tab w:val="left" w:pos="283"/>
              </w:tabs>
              <w:ind w:left="-35"/>
              <w:jc w:val="both"/>
              <w:rPr>
                <w:b/>
              </w:rPr>
            </w:pPr>
            <w:r w:rsidRPr="00B2602C">
              <w:rPr>
                <w:b/>
              </w:rPr>
              <w:t xml:space="preserve">Atliekų tvarkymo sistemų realijos. Teismų praktikos apžvalga. </w:t>
            </w:r>
          </w:p>
          <w:p w:rsidR="00FA28F6" w:rsidRPr="00990F91" w:rsidRDefault="00B2602C" w:rsidP="00070FD5">
            <w:pPr>
              <w:tabs>
                <w:tab w:val="left" w:pos="145"/>
                <w:tab w:val="left" w:pos="283"/>
              </w:tabs>
              <w:ind w:left="-35"/>
              <w:jc w:val="both"/>
              <w:rPr>
                <w:b/>
              </w:rPr>
            </w:pPr>
            <w:r w:rsidRPr="00B2602C">
              <w:rPr>
                <w:i/>
              </w:rPr>
              <w:t xml:space="preserve">Lektorė </w:t>
            </w:r>
            <w:r>
              <w:rPr>
                <w:i/>
              </w:rPr>
              <w:t>Vilma Ramanauskaitė</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990F91">
            <w:pPr>
              <w:jc w:val="both"/>
              <w:rPr>
                <w:i/>
                <w:color w:val="000000"/>
              </w:rPr>
            </w:pPr>
            <w:r>
              <w:rPr>
                <w:i/>
                <w:color w:val="000000"/>
              </w:rPr>
              <w:t>1</w:t>
            </w:r>
            <w:r w:rsidR="00990F91">
              <w:rPr>
                <w:i/>
                <w:color w:val="000000"/>
              </w:rPr>
              <w:t>5</w:t>
            </w:r>
            <w:r>
              <w:rPr>
                <w:i/>
                <w:color w:val="000000"/>
              </w:rPr>
              <w:t>.</w:t>
            </w:r>
            <w:r w:rsidR="00535F3C">
              <w:rPr>
                <w:i/>
                <w:color w:val="000000"/>
              </w:rPr>
              <w:t>1</w:t>
            </w:r>
            <w:r w:rsidR="00FA28F6">
              <w:rPr>
                <w:i/>
                <w:color w:val="000000"/>
              </w:rPr>
              <w:t>5</w:t>
            </w:r>
          </w:p>
        </w:tc>
        <w:tc>
          <w:tcPr>
            <w:tcW w:w="8992" w:type="dxa"/>
          </w:tcPr>
          <w:p w:rsidR="00FA28F6" w:rsidRPr="003E5139" w:rsidRDefault="00FA28F6" w:rsidP="00FA28F6">
            <w:pPr>
              <w:tabs>
                <w:tab w:val="left" w:pos="-100"/>
              </w:tabs>
              <w:ind w:left="-35"/>
              <w:rPr>
                <w:i/>
              </w:rPr>
            </w:pPr>
            <w:r w:rsidRPr="003E5139">
              <w:rPr>
                <w:i/>
              </w:rPr>
              <w:t>Pertrauka</w:t>
            </w:r>
          </w:p>
          <w:p w:rsidR="00101F13" w:rsidRPr="00FA28F6" w:rsidRDefault="00101F13" w:rsidP="00E60648">
            <w:pPr>
              <w:ind w:left="-35"/>
              <w:jc w:val="both"/>
              <w:rPr>
                <w:i/>
                <w:sz w:val="10"/>
                <w:szCs w:val="10"/>
              </w:rPr>
            </w:pPr>
          </w:p>
        </w:tc>
      </w:tr>
      <w:tr w:rsidR="00FA28F6" w:rsidRPr="003E5139" w:rsidTr="00DF5C26">
        <w:tc>
          <w:tcPr>
            <w:tcW w:w="827" w:type="dxa"/>
          </w:tcPr>
          <w:p w:rsidR="00FA28F6" w:rsidRPr="00FA28F6" w:rsidRDefault="00FA28F6" w:rsidP="00990F91">
            <w:pPr>
              <w:jc w:val="both"/>
              <w:rPr>
                <w:b/>
                <w:color w:val="000000"/>
              </w:rPr>
            </w:pPr>
            <w:r w:rsidRPr="00FA28F6">
              <w:rPr>
                <w:b/>
                <w:color w:val="000000"/>
              </w:rPr>
              <w:t>1</w:t>
            </w:r>
            <w:r w:rsidR="00990F91">
              <w:rPr>
                <w:b/>
                <w:color w:val="000000"/>
              </w:rPr>
              <w:t>5</w:t>
            </w:r>
            <w:r w:rsidRPr="00FA28F6">
              <w:rPr>
                <w:b/>
                <w:color w:val="000000"/>
              </w:rPr>
              <w:t>.</w:t>
            </w:r>
            <w:r w:rsidR="00990F91">
              <w:rPr>
                <w:b/>
                <w:color w:val="000000"/>
              </w:rPr>
              <w:t>3</w:t>
            </w:r>
            <w:r w:rsidRPr="00FA28F6">
              <w:rPr>
                <w:b/>
                <w:color w:val="000000"/>
              </w:rPr>
              <w:t>0</w:t>
            </w:r>
          </w:p>
        </w:tc>
        <w:tc>
          <w:tcPr>
            <w:tcW w:w="8992" w:type="dxa"/>
          </w:tcPr>
          <w:p w:rsidR="00B2602C" w:rsidRPr="00B2602C" w:rsidRDefault="00B2602C" w:rsidP="00B2602C">
            <w:pPr>
              <w:tabs>
                <w:tab w:val="left" w:pos="145"/>
                <w:tab w:val="left" w:pos="283"/>
              </w:tabs>
              <w:ind w:left="-35"/>
              <w:jc w:val="both"/>
              <w:rPr>
                <w:b/>
              </w:rPr>
            </w:pPr>
            <w:r w:rsidRPr="00B2602C">
              <w:rPr>
                <w:b/>
              </w:rPr>
              <w:t>Europos teismų praktika ir gamintojo atsakomybės principo teisinis veikimas. Gamintojo atsakomybės principas ir konkurencijos teisė. Aktualiausi teismų praktikos klausimai. Pakuotės sunaudotos savoms reikmėms problematika.</w:t>
            </w:r>
          </w:p>
          <w:p w:rsidR="00990F91" w:rsidRDefault="00B2602C" w:rsidP="00535F3C">
            <w:pPr>
              <w:tabs>
                <w:tab w:val="left" w:pos="145"/>
                <w:tab w:val="left" w:pos="283"/>
              </w:tabs>
              <w:ind w:left="-35"/>
              <w:jc w:val="both"/>
              <w:rPr>
                <w:i/>
              </w:rPr>
            </w:pPr>
            <w:r w:rsidRPr="00B2602C">
              <w:rPr>
                <w:i/>
              </w:rPr>
              <w:t xml:space="preserve">Lektorė </w:t>
            </w:r>
            <w:r>
              <w:rPr>
                <w:i/>
              </w:rPr>
              <w:t>Vilma Ramanauskaitė</w:t>
            </w:r>
          </w:p>
          <w:p w:rsidR="00B2602C" w:rsidRPr="00FA28F6" w:rsidRDefault="00B2602C" w:rsidP="00535F3C">
            <w:pPr>
              <w:tabs>
                <w:tab w:val="left" w:pos="145"/>
                <w:tab w:val="left" w:pos="283"/>
              </w:tabs>
              <w:ind w:left="-35"/>
              <w:jc w:val="both"/>
              <w:rPr>
                <w:i/>
                <w:sz w:val="10"/>
                <w:szCs w:val="10"/>
              </w:rPr>
            </w:pPr>
          </w:p>
        </w:tc>
      </w:tr>
      <w:tr w:rsidR="00FA28F6" w:rsidRPr="003E5139" w:rsidTr="00DF5C26">
        <w:tc>
          <w:tcPr>
            <w:tcW w:w="827" w:type="dxa"/>
          </w:tcPr>
          <w:p w:rsidR="00FA28F6" w:rsidRDefault="00FA28F6" w:rsidP="00990F91">
            <w:pPr>
              <w:jc w:val="both"/>
              <w:rPr>
                <w:i/>
                <w:color w:val="000000"/>
              </w:rPr>
            </w:pPr>
            <w:r>
              <w:rPr>
                <w:i/>
                <w:color w:val="000000"/>
              </w:rPr>
              <w:t>1</w:t>
            </w:r>
            <w:r w:rsidR="00990F91">
              <w:rPr>
                <w:i/>
                <w:color w:val="000000"/>
              </w:rPr>
              <w:t>7</w:t>
            </w:r>
            <w:r>
              <w:rPr>
                <w:i/>
                <w:color w:val="000000"/>
              </w:rPr>
              <w:t>.</w:t>
            </w:r>
            <w:r w:rsidR="00990F91">
              <w:rPr>
                <w:i/>
                <w:color w:val="000000"/>
              </w:rPr>
              <w:t>0</w:t>
            </w:r>
            <w:r>
              <w:rPr>
                <w:i/>
                <w:color w:val="000000"/>
              </w:rPr>
              <w:t>0</w:t>
            </w:r>
          </w:p>
        </w:tc>
        <w:tc>
          <w:tcPr>
            <w:tcW w:w="8992" w:type="dxa"/>
          </w:tcPr>
          <w:p w:rsidR="00FA28F6" w:rsidRPr="00FA28F6" w:rsidRDefault="00990F91" w:rsidP="00E60648">
            <w:pPr>
              <w:ind w:left="-35"/>
              <w:jc w:val="both"/>
              <w:rPr>
                <w:i/>
                <w:sz w:val="10"/>
                <w:szCs w:val="10"/>
              </w:rPr>
            </w:pPr>
            <w:r w:rsidRPr="003E5139">
              <w:rPr>
                <w:i/>
              </w:rPr>
              <w:t>Pirmos seminaro dienos pabaiga.</w:t>
            </w:r>
          </w:p>
        </w:tc>
      </w:tr>
      <w:tr w:rsidR="00101F13" w:rsidRPr="003E5139" w:rsidTr="00AF08F0">
        <w:tc>
          <w:tcPr>
            <w:tcW w:w="827" w:type="dxa"/>
          </w:tcPr>
          <w:p w:rsidR="00101F13" w:rsidRPr="003E5139" w:rsidRDefault="00101F13" w:rsidP="00AF08F0">
            <w:pPr>
              <w:jc w:val="both"/>
              <w:rPr>
                <w:b/>
                <w:color w:val="000000"/>
                <w:sz w:val="10"/>
                <w:szCs w:val="10"/>
              </w:rPr>
            </w:pPr>
          </w:p>
        </w:tc>
        <w:tc>
          <w:tcPr>
            <w:tcW w:w="8992" w:type="dxa"/>
          </w:tcPr>
          <w:p w:rsidR="00101F13" w:rsidRPr="003E5139" w:rsidRDefault="00101F13" w:rsidP="00AF08F0">
            <w:pPr>
              <w:ind w:left="-35"/>
              <w:jc w:val="both"/>
              <w:rPr>
                <w:b/>
                <w:sz w:val="10"/>
                <w:szCs w:val="10"/>
              </w:rPr>
            </w:pPr>
          </w:p>
        </w:tc>
      </w:tr>
    </w:tbl>
    <w:p w:rsidR="00101F13" w:rsidRDefault="00101F13"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B2602C" w:rsidRDefault="00B2602C" w:rsidP="001B2877">
      <w:pPr>
        <w:rPr>
          <w:color w:val="000000"/>
          <w:sz w:val="10"/>
          <w:szCs w:val="10"/>
          <w:u w:val="single"/>
        </w:rPr>
      </w:pPr>
    </w:p>
    <w:p w:rsidR="00070FD5" w:rsidRDefault="00070FD5" w:rsidP="001B2877">
      <w:pPr>
        <w:rPr>
          <w:color w:val="000000"/>
          <w:sz w:val="10"/>
          <w:szCs w:val="10"/>
          <w:u w:val="single"/>
        </w:rPr>
      </w:pPr>
    </w:p>
    <w:p w:rsidR="00070FD5" w:rsidRPr="00ED6B23" w:rsidRDefault="00070FD5" w:rsidP="001B2877">
      <w:pPr>
        <w:rPr>
          <w:color w:val="000000"/>
          <w:sz w:val="10"/>
          <w:szCs w:val="10"/>
          <w:u w:val="single"/>
        </w:rPr>
      </w:pPr>
    </w:p>
    <w:p w:rsidR="00101F13" w:rsidRDefault="00070FD5" w:rsidP="00ED6B23">
      <w:pPr>
        <w:jc w:val="center"/>
        <w:rPr>
          <w:color w:val="000000"/>
          <w:u w:val="single"/>
        </w:rPr>
      </w:pPr>
      <w:r>
        <w:rPr>
          <w:color w:val="000000"/>
          <w:u w:val="single"/>
        </w:rPr>
        <w:t>Penktadienis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Pr>
          <w:u w:val="single"/>
        </w:rPr>
        <w:t>vasario 2</w:t>
      </w:r>
      <w:r w:rsidR="00990F91">
        <w:rPr>
          <w:u w:val="single"/>
        </w:rPr>
        <w:t>3</w:t>
      </w:r>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tblPr>
      <w:tblGrid>
        <w:gridCol w:w="827"/>
        <w:gridCol w:w="9073"/>
      </w:tblGrid>
      <w:tr w:rsidR="00101F13" w:rsidRPr="003E5139" w:rsidTr="00EF630B">
        <w:trPr>
          <w:cantSplit/>
        </w:trPr>
        <w:tc>
          <w:tcPr>
            <w:tcW w:w="827" w:type="dxa"/>
          </w:tcPr>
          <w:p w:rsidR="00101F13" w:rsidRPr="001B2877" w:rsidRDefault="00101F13" w:rsidP="00EF630B">
            <w:pPr>
              <w:jc w:val="both"/>
              <w:rPr>
                <w:b/>
              </w:rPr>
            </w:pPr>
            <w:r w:rsidRPr="001B2877">
              <w:rPr>
                <w:b/>
              </w:rPr>
              <w:t>9.00</w:t>
            </w:r>
          </w:p>
        </w:tc>
        <w:tc>
          <w:tcPr>
            <w:tcW w:w="9073" w:type="dxa"/>
          </w:tcPr>
          <w:p w:rsidR="00B2602C" w:rsidRPr="00B2602C" w:rsidRDefault="00B2602C" w:rsidP="00B2602C">
            <w:pPr>
              <w:ind w:left="-35"/>
              <w:jc w:val="both"/>
              <w:rPr>
                <w:b/>
              </w:rPr>
            </w:pPr>
            <w:r w:rsidRPr="00B2602C">
              <w:rPr>
                <w:b/>
              </w:rPr>
              <w:t>Poveikio aplinkai vertinimo, poveikio visuomenės sveikatai vertinimo procesai, Sanitarinės apsaugos zonos (SAZ) nustatymas. Taršos leidimų, Taršos integruotos prevencijos ir kontrolės  (TIPK) leidimų išdavimo, panaikinimo ir kontrolės tvarka. Privalomi nurodymai ir dažniausi pažeidimai. Turintys teisę išrašyti gaminių ir (ar) pakuočių atliekų sutvarkymą įrodančius dokumentus atliekų tvarkytojų sąrašo sudarymas.</w:t>
            </w:r>
          </w:p>
          <w:p w:rsidR="00101F13" w:rsidRPr="00B2602C" w:rsidRDefault="00B2602C" w:rsidP="00B2602C">
            <w:pPr>
              <w:pStyle w:val="western"/>
              <w:spacing w:before="0" w:beforeAutospacing="0" w:after="0" w:afterAutospacing="0"/>
              <w:ind w:left="-34"/>
              <w:jc w:val="both"/>
              <w:rPr>
                <w:i/>
              </w:rPr>
            </w:pPr>
            <w:r w:rsidRPr="00B2602C">
              <w:rPr>
                <w:i/>
              </w:rPr>
              <w:t>Lektor</w:t>
            </w:r>
            <w:r>
              <w:rPr>
                <w:i/>
              </w:rPr>
              <w:t>iai</w:t>
            </w:r>
            <w:r w:rsidRPr="00B2602C">
              <w:rPr>
                <w:i/>
              </w:rPr>
              <w:t xml:space="preserve"> </w:t>
            </w:r>
            <w:r>
              <w:rPr>
                <w:i/>
              </w:rPr>
              <w:t xml:space="preserve">Lina </w:t>
            </w:r>
            <w:proofErr w:type="spellStart"/>
            <w:r>
              <w:rPr>
                <w:i/>
              </w:rPr>
              <w:t>Šleinotaitė</w:t>
            </w:r>
            <w:proofErr w:type="spellEnd"/>
            <w:r>
              <w:rPr>
                <w:i/>
              </w:rPr>
              <w:t xml:space="preserve"> – Budrienė, Vilma Ramanauskaitė, Jolanta </w:t>
            </w:r>
            <w:proofErr w:type="spellStart"/>
            <w:r>
              <w:rPr>
                <w:i/>
              </w:rPr>
              <w:t>Graudinytė</w:t>
            </w:r>
            <w:proofErr w:type="spellEnd"/>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A00291">
            <w:pPr>
              <w:jc w:val="both"/>
              <w:rPr>
                <w:i/>
              </w:rPr>
            </w:pPr>
            <w:r w:rsidRPr="001B2877">
              <w:rPr>
                <w:i/>
              </w:rPr>
              <w:t>10.30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A00291">
            <w:pPr>
              <w:jc w:val="both"/>
              <w:rPr>
                <w:b/>
              </w:rPr>
            </w:pPr>
            <w:r w:rsidRPr="001B2877">
              <w:rPr>
                <w:b/>
              </w:rPr>
              <w:t>10.45</w:t>
            </w:r>
          </w:p>
        </w:tc>
        <w:tc>
          <w:tcPr>
            <w:tcW w:w="9073" w:type="dxa"/>
          </w:tcPr>
          <w:p w:rsidR="00B2602C" w:rsidRPr="00B2602C" w:rsidRDefault="00B2602C" w:rsidP="00B2602C">
            <w:pPr>
              <w:tabs>
                <w:tab w:val="left" w:pos="145"/>
                <w:tab w:val="left" w:pos="283"/>
              </w:tabs>
              <w:ind w:left="-35"/>
              <w:jc w:val="both"/>
              <w:rPr>
                <w:b/>
              </w:rPr>
            </w:pPr>
            <w:r w:rsidRPr="00B2602C">
              <w:rPr>
                <w:b/>
              </w:rPr>
              <w:t xml:space="preserve">Vieninga gaminių, pakuočių ir atliekų apskaitos informacinė sistema (GPAIS) ir susiję aspektai. </w:t>
            </w:r>
          </w:p>
          <w:p w:rsidR="00B2602C" w:rsidRPr="00B2602C" w:rsidRDefault="00B2602C" w:rsidP="00B2602C">
            <w:pPr>
              <w:tabs>
                <w:tab w:val="left" w:pos="145"/>
                <w:tab w:val="left" w:pos="283"/>
              </w:tabs>
              <w:ind w:left="-35"/>
              <w:jc w:val="both"/>
              <w:rPr>
                <w:b/>
              </w:rPr>
            </w:pPr>
            <w:r w:rsidRPr="00B2602C">
              <w:rPr>
                <w:b/>
              </w:rPr>
              <w:t xml:space="preserve">Klausimų- atsakymų sesija. </w:t>
            </w:r>
          </w:p>
          <w:p w:rsidR="00990F91" w:rsidRDefault="00B2602C" w:rsidP="00070FD5">
            <w:pPr>
              <w:tabs>
                <w:tab w:val="left" w:pos="145"/>
                <w:tab w:val="left" w:pos="283"/>
              </w:tabs>
              <w:ind w:left="-35"/>
              <w:jc w:val="both"/>
              <w:rPr>
                <w:i/>
              </w:rPr>
            </w:pPr>
            <w:r w:rsidRPr="00B2602C">
              <w:rPr>
                <w:i/>
              </w:rPr>
              <w:t>Lektor</w:t>
            </w:r>
            <w:r>
              <w:rPr>
                <w:i/>
              </w:rPr>
              <w:t xml:space="preserve">iai Vilma Ramanauskaitė, Jolanta </w:t>
            </w:r>
            <w:proofErr w:type="spellStart"/>
            <w:r>
              <w:rPr>
                <w:i/>
              </w:rPr>
              <w:t>Graudinytė</w:t>
            </w:r>
            <w:proofErr w:type="spellEnd"/>
          </w:p>
          <w:p w:rsidR="00B2602C" w:rsidRPr="00990F91" w:rsidRDefault="00B2602C"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6C196B">
            <w:pPr>
              <w:jc w:val="both"/>
              <w:rPr>
                <w:i/>
              </w:rPr>
            </w:pPr>
            <w:r>
              <w:rPr>
                <w:i/>
              </w:rPr>
              <w:t>1</w:t>
            </w:r>
            <w:r w:rsidR="006C196B">
              <w:rPr>
                <w:i/>
              </w:rPr>
              <w:t>2</w:t>
            </w:r>
            <w:r>
              <w:rPr>
                <w:i/>
              </w:rPr>
              <w:t>.</w:t>
            </w:r>
            <w:r w:rsidR="006C196B">
              <w:rPr>
                <w:i/>
              </w:rPr>
              <w:t>15</w:t>
            </w:r>
          </w:p>
        </w:tc>
        <w:tc>
          <w:tcPr>
            <w:tcW w:w="9073" w:type="dxa"/>
          </w:tcPr>
          <w:p w:rsidR="00101F13" w:rsidRPr="001B2877" w:rsidRDefault="00990F91" w:rsidP="00884D13">
            <w:pPr>
              <w:tabs>
                <w:tab w:val="left" w:pos="145"/>
                <w:tab w:val="left" w:pos="283"/>
              </w:tabs>
              <w:ind w:left="-35"/>
              <w:jc w:val="both"/>
              <w:rPr>
                <w:i/>
                <w:iCs/>
              </w:rPr>
            </w:pPr>
            <w:r>
              <w:rPr>
                <w:i/>
              </w:rPr>
              <w:t>Seminaro pabaiga.</w:t>
            </w:r>
          </w:p>
        </w:tc>
      </w:tr>
    </w:tbl>
    <w:p w:rsidR="00FF269D" w:rsidRDefault="00FF269D" w:rsidP="00E22E0E">
      <w:pPr>
        <w:rPr>
          <w:color w:val="000000"/>
          <w:sz w:val="10"/>
          <w:szCs w:val="10"/>
          <w:u w:val="single"/>
        </w:rPr>
      </w:pPr>
    </w:p>
    <w:p w:rsidR="00B2602C" w:rsidRDefault="00B2602C" w:rsidP="00E22E0E">
      <w:pPr>
        <w:rPr>
          <w:color w:val="000000"/>
          <w:sz w:val="10"/>
          <w:szCs w:val="10"/>
          <w:u w:val="single"/>
        </w:rPr>
      </w:pPr>
    </w:p>
    <w:p w:rsidR="00B2602C" w:rsidRDefault="00B2602C" w:rsidP="00E22E0E">
      <w:pPr>
        <w:rPr>
          <w:color w:val="000000"/>
          <w:sz w:val="10"/>
          <w:szCs w:val="10"/>
          <w:u w:val="single"/>
        </w:rPr>
      </w:pPr>
    </w:p>
    <w:p w:rsidR="00B2602C" w:rsidRDefault="00B2602C" w:rsidP="00E22E0E">
      <w:pPr>
        <w:rPr>
          <w:color w:val="000000"/>
          <w:sz w:val="10"/>
          <w:szCs w:val="10"/>
          <w:u w:val="single"/>
        </w:rPr>
      </w:pPr>
    </w:p>
    <w:p w:rsidR="00B2602C" w:rsidRDefault="00B2602C" w:rsidP="00E22E0E">
      <w:pPr>
        <w:rPr>
          <w:color w:val="000000"/>
          <w:sz w:val="10"/>
          <w:szCs w:val="10"/>
          <w:u w:val="single"/>
        </w:rPr>
      </w:pPr>
    </w:p>
    <w:p w:rsidR="00B2602C" w:rsidRDefault="00B2602C" w:rsidP="00E22E0E">
      <w:pPr>
        <w:rPr>
          <w:color w:val="000000"/>
          <w:sz w:val="10"/>
          <w:szCs w:val="10"/>
          <w:u w:val="single"/>
        </w:rPr>
      </w:pPr>
    </w:p>
    <w:p w:rsidR="00B2602C" w:rsidRPr="006C196B" w:rsidRDefault="00B2602C"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FF269D" w:rsidRDefault="00101F13" w:rsidP="00990F91">
      <w:pPr>
        <w:ind w:left="-540" w:firstLine="540"/>
        <w:rPr>
          <w:rStyle w:val="Strong"/>
          <w:bCs/>
          <w:color w:val="000000"/>
          <w:sz w:val="20"/>
          <w:szCs w:val="20"/>
        </w:rPr>
      </w:pPr>
      <w:r w:rsidRPr="001B2877">
        <w:rPr>
          <w:rStyle w:val="Strong"/>
          <w:bCs/>
          <w:color w:val="000000"/>
          <w:sz w:val="20"/>
          <w:szCs w:val="20"/>
        </w:rPr>
        <w:t>Programa gali keistis.</w:t>
      </w: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B2602C" w:rsidRDefault="00B2602C" w:rsidP="00990F91">
      <w:pPr>
        <w:ind w:left="-540" w:firstLine="540"/>
        <w:rPr>
          <w:rStyle w:val="Strong"/>
          <w:bCs/>
          <w:color w:val="000000"/>
          <w:sz w:val="20"/>
          <w:szCs w:val="20"/>
        </w:rPr>
      </w:pPr>
    </w:p>
    <w:p w:rsidR="00ED6B23" w:rsidRPr="001B2877" w:rsidRDefault="00ED6B23" w:rsidP="006C196B">
      <w:pPr>
        <w:rPr>
          <w:rStyle w:val="Strong"/>
          <w:bCs/>
          <w:color w:val="000000"/>
          <w:sz w:val="10"/>
          <w:szCs w:val="10"/>
        </w:rPr>
      </w:pPr>
    </w:p>
    <w:tbl>
      <w:tblPr>
        <w:tblW w:w="9961" w:type="dxa"/>
        <w:tblInd w:w="-72" w:type="dxa"/>
        <w:tblCellMar>
          <w:left w:w="0" w:type="dxa"/>
          <w:right w:w="0" w:type="dxa"/>
        </w:tblCellMar>
        <w:tblLook w:val="000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8" w:history="1">
              <w:r w:rsidR="00DB27AA" w:rsidRPr="006C196B">
                <w:rPr>
                  <w:rStyle w:val="Hyperlink"/>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101F13" w:rsidRPr="006C196B" w:rsidRDefault="00101F13" w:rsidP="0009320E">
            <w:pPr>
              <w:jc w:val="center"/>
              <w:rPr>
                <w:color w:val="000000"/>
                <w:sz w:val="14"/>
                <w:szCs w:val="14"/>
              </w:rPr>
            </w:pPr>
            <w:r w:rsidRPr="006C196B">
              <w:rPr>
                <w:color w:val="000000"/>
                <w:sz w:val="14"/>
                <w:szCs w:val="14"/>
              </w:rPr>
              <w:t xml:space="preserve">tel. 8 700 29506, faks. 8 700 29506, el. paštas: </w:t>
            </w:r>
            <w:hyperlink r:id="rId9" w:history="1">
              <w:r w:rsidRPr="006C196B">
                <w:rPr>
                  <w:rStyle w:val="Hyperlink"/>
                  <w:sz w:val="14"/>
                  <w:szCs w:val="14"/>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F3C" w:rsidRDefault="00535F3C">
      <w:r>
        <w:separator/>
      </w:r>
    </w:p>
  </w:endnote>
  <w:endnote w:type="continuationSeparator" w:id="0">
    <w:p w:rsidR="00535F3C" w:rsidRDefault="00535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F3C" w:rsidRDefault="00535F3C">
      <w:r>
        <w:separator/>
      </w:r>
    </w:p>
  </w:footnote>
  <w:footnote w:type="continuationSeparator" w:id="0">
    <w:p w:rsidR="00535F3C" w:rsidRDefault="00535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F3C" w:rsidRDefault="00535F3C" w:rsidP="00EA07A2">
    <w:pPr>
      <w:pStyle w:val="Header"/>
      <w:jc w:val="center"/>
      <w:rPr>
        <w:rFonts w:ascii="Arial" w:hAnsi="Arial" w:cs="Arial"/>
        <w:b/>
        <w:shadow/>
      </w:rPr>
    </w:pPr>
    <w:r>
      <w:rPr>
        <w:rFonts w:ascii="Arial" w:hAnsi="Arial" w:cs="Arial"/>
        <w:b/>
        <w:shadow/>
      </w:rPr>
      <w:t>NACIONALINĖ TEISMŲ ADMINISTRACIJA</w:t>
    </w:r>
  </w:p>
  <w:p w:rsidR="00535F3C" w:rsidRPr="00EA07A2" w:rsidRDefault="00535F3C" w:rsidP="00EA07A2">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6BF6"/>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0F91"/>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02C"/>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1A3F"/>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004B0-CF39-43BB-8485-69DE2796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313</Words>
  <Characters>2584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39</cp:revision>
  <cp:lastPrinted>2015-07-08T07:49:00Z</cp:lastPrinted>
  <dcterms:created xsi:type="dcterms:W3CDTF">2017-01-06T07:57:00Z</dcterms:created>
  <dcterms:modified xsi:type="dcterms:W3CDTF">2018-01-19T05:47:00Z</dcterms:modified>
</cp:coreProperties>
</file>