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B51" w:rsidRDefault="00C85199" w:rsidP="00DF7745">
      <w:pPr>
        <w:pStyle w:val="Title"/>
        <w:rPr>
          <w:sz w:val="24"/>
        </w:rPr>
      </w:pPr>
      <w:r w:rsidRPr="00C85199">
        <w:rPr>
          <w:noProof/>
          <w:sz w:val="24"/>
          <w:lang w:eastAsia="lt-LT"/>
        </w:rPr>
        <w:drawing>
          <wp:inline distT="0" distB="0" distL="0" distR="0">
            <wp:extent cx="731520" cy="763270"/>
            <wp:effectExtent l="19050" t="0" r="0" b="0"/>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731520" cy="763270"/>
                    </a:xfrm>
                    <a:prstGeom prst="rect">
                      <a:avLst/>
                    </a:prstGeom>
                    <a:noFill/>
                    <a:ln w="9525">
                      <a:noFill/>
                      <a:miter lim="800000"/>
                      <a:headEnd/>
                      <a:tailEnd/>
                    </a:ln>
                  </pic:spPr>
                </pic:pic>
              </a:graphicData>
            </a:graphic>
          </wp:inline>
        </w:drawing>
      </w:r>
    </w:p>
    <w:p w:rsidR="00DF7745" w:rsidRPr="0075407E" w:rsidRDefault="00DF7745" w:rsidP="00DF7745">
      <w:pPr>
        <w:pStyle w:val="Title"/>
        <w:rPr>
          <w:sz w:val="24"/>
        </w:rPr>
      </w:pPr>
      <w:r w:rsidRPr="0075407E">
        <w:rPr>
          <w:sz w:val="24"/>
        </w:rPr>
        <w:t>TEISĖJŲ TARYBA</w:t>
      </w:r>
    </w:p>
    <w:p w:rsidR="00DF7745" w:rsidRPr="0075407E" w:rsidRDefault="00DF7745" w:rsidP="00DF7745">
      <w:pPr>
        <w:pStyle w:val="Title"/>
        <w:spacing w:line="360" w:lineRule="auto"/>
        <w:rPr>
          <w:sz w:val="24"/>
        </w:rPr>
      </w:pPr>
    </w:p>
    <w:p w:rsidR="00DF7745" w:rsidRPr="0075407E" w:rsidRDefault="00DF7745" w:rsidP="00DF7745">
      <w:pPr>
        <w:pStyle w:val="Title"/>
        <w:rPr>
          <w:sz w:val="24"/>
        </w:rPr>
      </w:pPr>
      <w:r w:rsidRPr="0075407E">
        <w:rPr>
          <w:sz w:val="24"/>
        </w:rPr>
        <w:t>NUTARIMAS</w:t>
      </w:r>
    </w:p>
    <w:p w:rsidR="00DF7745" w:rsidRPr="0075407E" w:rsidRDefault="00DF7745" w:rsidP="00DF7745">
      <w:pPr>
        <w:tabs>
          <w:tab w:val="left" w:pos="7938"/>
        </w:tabs>
        <w:ind w:left="1418" w:right="1700"/>
        <w:jc w:val="center"/>
      </w:pPr>
      <w:r w:rsidRPr="0075407E">
        <w:rPr>
          <w:b/>
          <w:caps/>
        </w:rPr>
        <w:t>DĖL</w:t>
      </w:r>
      <w:r w:rsidR="00357D70" w:rsidRPr="0075407E">
        <w:rPr>
          <w:b/>
          <w:caps/>
        </w:rPr>
        <w:t xml:space="preserve"> Teisėjų tarybos</w:t>
      </w:r>
      <w:r w:rsidR="00703347" w:rsidRPr="0075407E">
        <w:rPr>
          <w:b/>
          <w:caps/>
        </w:rPr>
        <w:t xml:space="preserve"> 2014 m. gruodžio 19 d. nutarimo</w:t>
      </w:r>
      <w:r w:rsidR="00A54336" w:rsidRPr="0075407E">
        <w:rPr>
          <w:b/>
          <w:caps/>
        </w:rPr>
        <w:t xml:space="preserve"> Nr. 13P-167</w:t>
      </w:r>
      <w:r w:rsidR="00357D70" w:rsidRPr="0075407E">
        <w:rPr>
          <w:b/>
          <w:caps/>
        </w:rPr>
        <w:t>-(7.1.2) „Dėl</w:t>
      </w:r>
      <w:r w:rsidRPr="0075407E">
        <w:rPr>
          <w:b/>
          <w:caps/>
        </w:rPr>
        <w:t xml:space="preserve"> PavyzdiniO Kompensavimo teisėjams už</w:t>
      </w:r>
      <w:r w:rsidR="005805FB" w:rsidRPr="0075407E">
        <w:rPr>
          <w:b/>
          <w:caps/>
        </w:rPr>
        <w:t xml:space="preserve"> viršvalandinį darbą,</w:t>
      </w:r>
      <w:r w:rsidRPr="0075407E">
        <w:rPr>
          <w:b/>
          <w:caps/>
        </w:rPr>
        <w:t xml:space="preserve"> darbą poilsio ir švenčių dienomis bei budėjimą tvarkos aprašO PATVIRTINIMO</w:t>
      </w:r>
      <w:r w:rsidR="00357D70" w:rsidRPr="0075407E">
        <w:rPr>
          <w:b/>
          <w:caps/>
        </w:rPr>
        <w:t>“ PAkeitimo</w:t>
      </w:r>
    </w:p>
    <w:p w:rsidR="00DF7745" w:rsidRPr="0075407E" w:rsidRDefault="00DF7745" w:rsidP="00DF7745">
      <w:pPr>
        <w:pStyle w:val="Title"/>
        <w:rPr>
          <w:sz w:val="24"/>
        </w:rPr>
      </w:pPr>
    </w:p>
    <w:p w:rsidR="00DF7745" w:rsidRPr="0075407E" w:rsidRDefault="00DF7745" w:rsidP="00DF7745">
      <w:pPr>
        <w:pStyle w:val="Date"/>
      </w:pPr>
      <w:r w:rsidRPr="0075407E">
        <w:t>201</w:t>
      </w:r>
      <w:r w:rsidR="008C418B" w:rsidRPr="0075407E">
        <w:t>8</w:t>
      </w:r>
      <w:r w:rsidRPr="0075407E">
        <w:t xml:space="preserve"> m.</w:t>
      </w:r>
      <w:r w:rsidR="00C85199">
        <w:t xml:space="preserve"> balandžio 27 </w:t>
      </w:r>
      <w:r w:rsidRPr="0075407E">
        <w:t>d. Nr. 13P</w:t>
      </w:r>
      <w:r w:rsidR="006903A2" w:rsidRPr="0075407E">
        <w:t>-</w:t>
      </w:r>
      <w:r w:rsidR="00230FBD">
        <w:t>39</w:t>
      </w:r>
      <w:r w:rsidRPr="0075407E">
        <w:t>-(7.1.2)</w:t>
      </w:r>
    </w:p>
    <w:p w:rsidR="00DF7745" w:rsidRPr="0075407E" w:rsidRDefault="00DF7745" w:rsidP="00DF7745">
      <w:pPr>
        <w:pStyle w:val="Date"/>
      </w:pPr>
      <w:r w:rsidRPr="0075407E">
        <w:t>Vilnius</w:t>
      </w:r>
    </w:p>
    <w:p w:rsidR="00DF7745" w:rsidRPr="0075407E" w:rsidRDefault="00DF7745" w:rsidP="00DF7745">
      <w:pPr>
        <w:pStyle w:val="Header"/>
        <w:tabs>
          <w:tab w:val="left" w:pos="1296"/>
        </w:tabs>
        <w:spacing w:line="360" w:lineRule="auto"/>
      </w:pPr>
    </w:p>
    <w:p w:rsidR="00357D70" w:rsidRPr="0075407E" w:rsidRDefault="00357D70" w:rsidP="007465CA">
      <w:pPr>
        <w:spacing w:line="360" w:lineRule="auto"/>
        <w:ind w:firstLine="720"/>
        <w:jc w:val="both"/>
        <w:rPr>
          <w:color w:val="000000"/>
          <w:shd w:val="clear" w:color="auto" w:fill="FFFFFF"/>
        </w:rPr>
      </w:pPr>
      <w:bookmarkStart w:id="0" w:name="pn4_219"/>
      <w:bookmarkStart w:id="1" w:name="pn4_220"/>
      <w:bookmarkStart w:id="2" w:name="pn4_221"/>
      <w:bookmarkStart w:id="3" w:name="pn4_222"/>
      <w:bookmarkStart w:id="4" w:name="pn4_223"/>
      <w:bookmarkStart w:id="5" w:name="pn4_224"/>
      <w:bookmarkEnd w:id="0"/>
      <w:bookmarkEnd w:id="1"/>
      <w:bookmarkEnd w:id="2"/>
      <w:bookmarkEnd w:id="3"/>
      <w:bookmarkEnd w:id="4"/>
      <w:bookmarkEnd w:id="5"/>
    </w:p>
    <w:p w:rsidR="0098427B" w:rsidRPr="0075407E" w:rsidRDefault="0098427B" w:rsidP="00357D70">
      <w:pPr>
        <w:spacing w:line="360" w:lineRule="auto"/>
        <w:ind w:firstLine="720"/>
        <w:jc w:val="both"/>
      </w:pPr>
      <w:r w:rsidRPr="0075407E">
        <w:t xml:space="preserve">Siekdama, kad </w:t>
      </w:r>
      <w:r w:rsidRPr="0075407E">
        <w:rPr>
          <w:color w:val="000000"/>
          <w:shd w:val="clear" w:color="auto" w:fill="FFFFFF"/>
        </w:rPr>
        <w:t xml:space="preserve">teismuose būtų tinkamai organizuojamas darbas ir užtikrinamas tiesioginių teismo funkcijų – teisingumo vykdymo – atlikimas, </w:t>
      </w:r>
      <w:r w:rsidR="0075407E" w:rsidRPr="0075407E">
        <w:rPr>
          <w:color w:val="000000"/>
          <w:shd w:val="clear" w:color="auto" w:fill="FFFFFF"/>
        </w:rPr>
        <w:t xml:space="preserve">efektyviai </w:t>
      </w:r>
      <w:r w:rsidRPr="0075407E">
        <w:rPr>
          <w:color w:val="000000"/>
          <w:shd w:val="clear" w:color="auto" w:fill="FFFFFF"/>
        </w:rPr>
        <w:t>naudojamos valstybės biudžeto lėšos, va</w:t>
      </w:r>
      <w:r w:rsidR="00357D70" w:rsidRPr="0075407E">
        <w:t xml:space="preserve">dovaudamasi Lietuvos Respublikos teismų įstatymo 120 straipsnio 17 punktu, Teisėjų taryba </w:t>
      </w:r>
      <w:r w:rsidR="00523DFD">
        <w:t xml:space="preserve">           </w:t>
      </w:r>
      <w:r w:rsidR="00357D70" w:rsidRPr="0075407E">
        <w:t xml:space="preserve"> n u t a r i a:</w:t>
      </w:r>
    </w:p>
    <w:p w:rsidR="0098427B" w:rsidRPr="0075407E" w:rsidRDefault="00357D70" w:rsidP="0098427B">
      <w:pPr>
        <w:spacing w:line="360" w:lineRule="auto"/>
        <w:ind w:firstLine="720"/>
        <w:jc w:val="both"/>
      </w:pPr>
      <w:r w:rsidRPr="0075407E">
        <w:rPr>
          <w:color w:val="000000"/>
        </w:rPr>
        <w:t xml:space="preserve">1. Pakeisti </w:t>
      </w:r>
      <w:r w:rsidRPr="0075407E">
        <w:t>Pavyzdinį kompensavimo teisėjams už viršvalandinį darbą, darbą poilsio ir švenčių dienomis bei budėjimą tvarkos</w:t>
      </w:r>
      <w:r w:rsidRPr="0075407E">
        <w:rPr>
          <w:b/>
        </w:rPr>
        <w:t xml:space="preserve"> </w:t>
      </w:r>
      <w:r w:rsidRPr="0075407E">
        <w:t>aprašą</w:t>
      </w:r>
      <w:r w:rsidRPr="0075407E">
        <w:rPr>
          <w:color w:val="000000"/>
        </w:rPr>
        <w:t xml:space="preserve">, patvirtintą </w:t>
      </w:r>
      <w:r w:rsidRPr="0075407E">
        <w:t xml:space="preserve">Teisėjų tarybos 2014 m. gruodžio 19 </w:t>
      </w:r>
      <w:r w:rsidR="00A54336" w:rsidRPr="0075407E">
        <w:t>d. nutarimu Nr. 13P-167</w:t>
      </w:r>
      <w:r w:rsidRPr="0075407E">
        <w:t>-(7.1.2)</w:t>
      </w:r>
      <w:r w:rsidRPr="0075407E">
        <w:rPr>
          <w:color w:val="000000"/>
        </w:rPr>
        <w:t xml:space="preserve"> „Dėl Pavyzdinio kompensavimo teisėjams už </w:t>
      </w:r>
      <w:r w:rsidR="005805FB" w:rsidRPr="0075407E">
        <w:rPr>
          <w:color w:val="000000"/>
        </w:rPr>
        <w:t xml:space="preserve">viršvalandinį darbą, </w:t>
      </w:r>
      <w:r w:rsidRPr="0075407E">
        <w:rPr>
          <w:color w:val="000000"/>
        </w:rPr>
        <w:t>darbą poilsio ir švenčių dienomis bei budėjimą tvarkos aprašo patvirtinimo“, ir jį išdėstyti nauja redakcija (pridedama).</w:t>
      </w:r>
    </w:p>
    <w:p w:rsidR="00FF3562" w:rsidRDefault="00357D70" w:rsidP="00357D70">
      <w:pPr>
        <w:spacing w:line="360" w:lineRule="auto"/>
        <w:ind w:firstLine="720"/>
        <w:jc w:val="both"/>
      </w:pPr>
      <w:r w:rsidRPr="0075407E">
        <w:rPr>
          <w:color w:val="000000"/>
        </w:rPr>
        <w:t xml:space="preserve">2. </w:t>
      </w:r>
      <w:r w:rsidRPr="0075407E">
        <w:t>Rekomenduoti teismams</w:t>
      </w:r>
      <w:r w:rsidR="0098427B" w:rsidRPr="0075407E">
        <w:t>:</w:t>
      </w:r>
    </w:p>
    <w:p w:rsidR="0075407E" w:rsidRDefault="0098427B" w:rsidP="00357D70">
      <w:pPr>
        <w:spacing w:line="360" w:lineRule="auto"/>
        <w:ind w:firstLine="720"/>
        <w:jc w:val="both"/>
        <w:rPr>
          <w:color w:val="000000"/>
          <w:shd w:val="clear" w:color="auto" w:fill="FFFFFF"/>
        </w:rPr>
      </w:pPr>
      <w:r w:rsidRPr="0075407E">
        <w:t>2.1.</w:t>
      </w:r>
      <w:r w:rsidRPr="0075407E">
        <w:rPr>
          <w:color w:val="000000"/>
          <w:shd w:val="clear" w:color="auto" w:fill="FFFFFF"/>
        </w:rPr>
        <w:t xml:space="preserve"> </w:t>
      </w:r>
      <w:r w:rsidR="00FF3562">
        <w:rPr>
          <w:color w:val="000000"/>
          <w:shd w:val="clear" w:color="auto" w:fill="FFFFFF"/>
        </w:rPr>
        <w:t>b</w:t>
      </w:r>
      <w:r w:rsidRPr="0075407E">
        <w:rPr>
          <w:color w:val="000000"/>
          <w:shd w:val="clear" w:color="auto" w:fill="FFFFFF"/>
        </w:rPr>
        <w:t xml:space="preserve">udėjimus </w:t>
      </w:r>
      <w:r w:rsidR="00AE7FD1">
        <w:rPr>
          <w:color w:val="000000"/>
          <w:shd w:val="clear" w:color="auto" w:fill="FFFFFF"/>
        </w:rPr>
        <w:t xml:space="preserve">teismuose </w:t>
      </w:r>
      <w:r w:rsidRPr="0075407E">
        <w:rPr>
          <w:color w:val="000000"/>
          <w:shd w:val="clear" w:color="auto" w:fill="FFFFFF"/>
        </w:rPr>
        <w:t xml:space="preserve">organizuoti suderinus su policija, prokuratūra, </w:t>
      </w:r>
      <w:r w:rsidR="00523DFD">
        <w:t xml:space="preserve">budint teisme </w:t>
      </w:r>
      <w:r w:rsidR="00AE7FD1">
        <w:t xml:space="preserve">paprastai </w:t>
      </w:r>
      <w:r w:rsidRPr="0075407E">
        <w:rPr>
          <w:color w:val="000000"/>
          <w:shd w:val="clear" w:color="auto" w:fill="FFFFFF"/>
        </w:rPr>
        <w:t>antrą poilsio dieną arba antrą šventinę dieną</w:t>
      </w:r>
      <w:r w:rsidR="0075407E" w:rsidRPr="0075407E">
        <w:rPr>
          <w:color w:val="000000"/>
          <w:shd w:val="clear" w:color="auto" w:fill="FFFFFF"/>
        </w:rPr>
        <w:t xml:space="preserve"> (jei iš eilės eina daugiau nei viena šventinė diena), jei objektyviai įmanoma</w:t>
      </w:r>
      <w:r w:rsidR="00523DFD">
        <w:rPr>
          <w:color w:val="000000"/>
          <w:shd w:val="clear" w:color="auto" w:fill="FFFFFF"/>
        </w:rPr>
        <w:t>,</w:t>
      </w:r>
      <w:r w:rsidR="0075407E" w:rsidRPr="0075407E">
        <w:rPr>
          <w:color w:val="000000"/>
          <w:shd w:val="clear" w:color="auto" w:fill="FFFFFF"/>
        </w:rPr>
        <w:t xml:space="preserve"> ne ilgiau 2–4 </w:t>
      </w:r>
      <w:r w:rsidRPr="0075407E">
        <w:rPr>
          <w:color w:val="000000"/>
          <w:shd w:val="clear" w:color="auto" w:fill="FFFFFF"/>
        </w:rPr>
        <w:t>val</w:t>
      </w:r>
      <w:r w:rsidR="00523DFD">
        <w:rPr>
          <w:color w:val="000000"/>
          <w:shd w:val="clear" w:color="auto" w:fill="FFFFFF"/>
        </w:rPr>
        <w:t>andas</w:t>
      </w:r>
      <w:r w:rsidR="0075407E" w:rsidRPr="0075407E">
        <w:rPr>
          <w:color w:val="000000"/>
          <w:shd w:val="clear" w:color="auto" w:fill="FFFFFF"/>
        </w:rPr>
        <w:t>;</w:t>
      </w:r>
    </w:p>
    <w:p w:rsidR="006A5EE8" w:rsidRPr="00563362" w:rsidRDefault="006A5EE8" w:rsidP="006A5EE8">
      <w:pPr>
        <w:spacing w:line="360" w:lineRule="auto"/>
        <w:ind w:firstLine="720"/>
        <w:jc w:val="both"/>
        <w:rPr>
          <w:shd w:val="clear" w:color="auto" w:fill="FFFFFF"/>
        </w:rPr>
      </w:pPr>
      <w:r>
        <w:rPr>
          <w:color w:val="000000"/>
          <w:shd w:val="clear" w:color="auto" w:fill="FFFFFF"/>
        </w:rPr>
        <w:t xml:space="preserve">2.2. </w:t>
      </w:r>
      <w:r w:rsidRPr="00563362">
        <w:rPr>
          <w:shd w:val="clear" w:color="auto" w:fill="FFFFFF"/>
        </w:rPr>
        <w:t>budėjimus namuose poilsio ir švenčių dienomis organizuoti tik išimtiniais atvejais ir ne ilgiau 4 valandų per dieną;</w:t>
      </w:r>
    </w:p>
    <w:p w:rsidR="00426A0C" w:rsidRPr="0075407E" w:rsidRDefault="0098427B" w:rsidP="007465CA">
      <w:pPr>
        <w:spacing w:line="360" w:lineRule="auto"/>
        <w:ind w:firstLine="720"/>
        <w:jc w:val="both"/>
        <w:rPr>
          <w:color w:val="000000"/>
          <w:shd w:val="clear" w:color="auto" w:fill="FFFFFF"/>
        </w:rPr>
      </w:pPr>
      <w:r w:rsidRPr="0075407E">
        <w:rPr>
          <w:color w:val="000000"/>
          <w:shd w:val="clear" w:color="auto" w:fill="FFFFFF"/>
        </w:rPr>
        <w:t>2.</w:t>
      </w:r>
      <w:r w:rsidR="006A5EE8">
        <w:rPr>
          <w:color w:val="000000"/>
          <w:shd w:val="clear" w:color="auto" w:fill="FFFFFF"/>
        </w:rPr>
        <w:t>3</w:t>
      </w:r>
      <w:r w:rsidRPr="0075407E">
        <w:rPr>
          <w:color w:val="000000"/>
          <w:shd w:val="clear" w:color="auto" w:fill="FFFFFF"/>
        </w:rPr>
        <w:t>.</w:t>
      </w:r>
      <w:r w:rsidR="0075407E" w:rsidRPr="0075407E">
        <w:rPr>
          <w:color w:val="000000"/>
          <w:shd w:val="clear" w:color="auto" w:fill="FFFFFF"/>
        </w:rPr>
        <w:t xml:space="preserve"> </w:t>
      </w:r>
      <w:r w:rsidR="00FF3562">
        <w:rPr>
          <w:color w:val="000000"/>
          <w:shd w:val="clear" w:color="auto" w:fill="FFFFFF"/>
        </w:rPr>
        <w:t>o</w:t>
      </w:r>
      <w:r w:rsidR="0075407E" w:rsidRPr="0075407E">
        <w:rPr>
          <w:color w:val="000000"/>
          <w:shd w:val="clear" w:color="auto" w:fill="FFFFFF"/>
        </w:rPr>
        <w:t xml:space="preserve">rganizuoti teismo posėdžių </w:t>
      </w:r>
      <w:r w:rsidRPr="0075407E">
        <w:rPr>
          <w:color w:val="000000"/>
          <w:shd w:val="clear" w:color="auto" w:fill="FFFFFF"/>
        </w:rPr>
        <w:t>sekretor</w:t>
      </w:r>
      <w:r w:rsidR="0075407E" w:rsidRPr="0075407E">
        <w:rPr>
          <w:color w:val="000000"/>
          <w:shd w:val="clear" w:color="auto" w:fill="FFFFFF"/>
        </w:rPr>
        <w:t xml:space="preserve">ių </w:t>
      </w:r>
      <w:r w:rsidR="006A5EE8">
        <w:rPr>
          <w:color w:val="000000"/>
          <w:shd w:val="clear" w:color="auto" w:fill="FFFFFF"/>
        </w:rPr>
        <w:t xml:space="preserve">ir vertėjų </w:t>
      </w:r>
      <w:r w:rsidRPr="0075407E">
        <w:rPr>
          <w:color w:val="000000"/>
          <w:shd w:val="clear" w:color="auto" w:fill="FFFFFF"/>
        </w:rPr>
        <w:t>darb</w:t>
      </w:r>
      <w:r w:rsidR="0075407E" w:rsidRPr="0075407E">
        <w:rPr>
          <w:color w:val="000000"/>
          <w:shd w:val="clear" w:color="auto" w:fill="FFFFFF"/>
        </w:rPr>
        <w:t>ą</w:t>
      </w:r>
      <w:r w:rsidRPr="0075407E">
        <w:rPr>
          <w:color w:val="000000"/>
          <w:shd w:val="clear" w:color="auto" w:fill="FFFFFF"/>
        </w:rPr>
        <w:t xml:space="preserve"> poilsio bei švenčių dienomis ne tvirtinant iš anksto numatytą budėjimo grafiką, o teismo pirmininko įsakymu nustatant jiems darbą konkrečią poilsio ar šventinę dieną, atsižvelgus į iš anksto tvirtinamą teisėjų budėjimo grafiką. </w:t>
      </w:r>
    </w:p>
    <w:p w:rsidR="00DF7745" w:rsidRPr="008C418B" w:rsidRDefault="00DF7745" w:rsidP="00DF7745">
      <w:pPr>
        <w:pStyle w:val="Header"/>
        <w:tabs>
          <w:tab w:val="clear" w:pos="4153"/>
          <w:tab w:val="clear" w:pos="8306"/>
        </w:tabs>
      </w:pPr>
    </w:p>
    <w:tbl>
      <w:tblPr>
        <w:tblW w:w="0" w:type="auto"/>
        <w:tblLayout w:type="fixed"/>
        <w:tblLook w:val="0000" w:firstRow="0" w:lastRow="0" w:firstColumn="0" w:lastColumn="0" w:noHBand="0" w:noVBand="0"/>
      </w:tblPr>
      <w:tblGrid>
        <w:gridCol w:w="7196"/>
        <w:gridCol w:w="2490"/>
      </w:tblGrid>
      <w:tr w:rsidR="00DF7745" w:rsidRPr="008C418B" w:rsidTr="00123EF1">
        <w:tc>
          <w:tcPr>
            <w:tcW w:w="7196" w:type="dxa"/>
          </w:tcPr>
          <w:p w:rsidR="00DF7745" w:rsidRPr="008C418B" w:rsidRDefault="00DF7745" w:rsidP="00123EF1">
            <w:pPr>
              <w:tabs>
                <w:tab w:val="left" w:pos="7088"/>
              </w:tabs>
            </w:pPr>
            <w:r w:rsidRPr="008C418B">
              <w:t>Pirmininkas</w:t>
            </w:r>
          </w:p>
        </w:tc>
        <w:tc>
          <w:tcPr>
            <w:tcW w:w="2490" w:type="dxa"/>
          </w:tcPr>
          <w:p w:rsidR="00DF7745" w:rsidRPr="008C418B" w:rsidRDefault="00C85199" w:rsidP="00123EF1">
            <w:pPr>
              <w:tabs>
                <w:tab w:val="left" w:pos="7088"/>
              </w:tabs>
              <w:ind w:left="-108"/>
            </w:pPr>
            <w:r>
              <w:t>Rimvydas Norkus</w:t>
            </w:r>
          </w:p>
        </w:tc>
      </w:tr>
    </w:tbl>
    <w:p w:rsidR="00DF7745" w:rsidRPr="008C418B" w:rsidRDefault="00DF7745" w:rsidP="00DF7745">
      <w:pPr>
        <w:tabs>
          <w:tab w:val="left" w:pos="7088"/>
        </w:tabs>
      </w:pPr>
    </w:p>
    <w:p w:rsidR="00DF7745" w:rsidRPr="008C418B" w:rsidRDefault="00DF7745" w:rsidP="00DF7745">
      <w:pPr>
        <w:tabs>
          <w:tab w:val="left" w:pos="7088"/>
        </w:tabs>
      </w:pPr>
    </w:p>
    <w:tbl>
      <w:tblPr>
        <w:tblW w:w="9934" w:type="dxa"/>
        <w:tblInd w:w="-108" w:type="dxa"/>
        <w:tblLayout w:type="fixed"/>
        <w:tblLook w:val="0000" w:firstRow="0" w:lastRow="0" w:firstColumn="0" w:lastColumn="0" w:noHBand="0" w:noVBand="0"/>
      </w:tblPr>
      <w:tblGrid>
        <w:gridCol w:w="108"/>
        <w:gridCol w:w="7196"/>
        <w:gridCol w:w="2490"/>
        <w:gridCol w:w="140"/>
      </w:tblGrid>
      <w:tr w:rsidR="00DF7745" w:rsidRPr="00A86117" w:rsidTr="00230FBD">
        <w:trPr>
          <w:gridBefore w:val="1"/>
          <w:gridAfter w:val="1"/>
          <w:wBefore w:w="108" w:type="dxa"/>
          <w:wAfter w:w="140" w:type="dxa"/>
        </w:trPr>
        <w:tc>
          <w:tcPr>
            <w:tcW w:w="7196" w:type="dxa"/>
          </w:tcPr>
          <w:p w:rsidR="00DF7745" w:rsidRPr="008C418B" w:rsidRDefault="00DF7745" w:rsidP="00123EF1">
            <w:pPr>
              <w:tabs>
                <w:tab w:val="left" w:pos="7088"/>
              </w:tabs>
              <w:ind w:right="-108"/>
            </w:pPr>
            <w:r w:rsidRPr="008C418B">
              <w:t>Sekretorius</w:t>
            </w:r>
          </w:p>
        </w:tc>
        <w:tc>
          <w:tcPr>
            <w:tcW w:w="2490" w:type="dxa"/>
          </w:tcPr>
          <w:p w:rsidR="00DF7745" w:rsidRPr="00A86117" w:rsidRDefault="00C85199" w:rsidP="00123EF1">
            <w:pPr>
              <w:tabs>
                <w:tab w:val="left" w:pos="7088"/>
              </w:tabs>
              <w:ind w:left="-108"/>
            </w:pPr>
            <w:r>
              <w:t>Ramūnas Gadliauskas</w:t>
            </w:r>
          </w:p>
        </w:tc>
      </w:tr>
      <w:tr w:rsidR="00A0400D" w:rsidRPr="00A86117" w:rsidTr="00230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9934" w:type="dxa"/>
            <w:gridSpan w:val="4"/>
            <w:tcBorders>
              <w:top w:val="nil"/>
              <w:left w:val="nil"/>
              <w:bottom w:val="nil"/>
              <w:right w:val="nil"/>
            </w:tcBorders>
            <w:vAlign w:val="center"/>
          </w:tcPr>
          <w:p w:rsidR="00CA362A" w:rsidRDefault="00CA362A" w:rsidP="00123EF1">
            <w:pPr>
              <w:ind w:left="381"/>
            </w:pPr>
          </w:p>
          <w:p w:rsidR="00230FBD" w:rsidRDefault="00230FBD" w:rsidP="00230FBD">
            <w:pPr>
              <w:ind w:left="381"/>
            </w:pPr>
            <w:r>
              <w:t xml:space="preserve">                                                                                </w:t>
            </w:r>
            <w:r w:rsidR="00A0400D" w:rsidRPr="00A86117">
              <w:t xml:space="preserve">PATVIRTINTA </w:t>
            </w:r>
          </w:p>
          <w:p w:rsidR="00A0400D" w:rsidRDefault="00A0400D" w:rsidP="00230FBD">
            <w:pPr>
              <w:ind w:left="5184"/>
            </w:pPr>
            <w:r w:rsidRPr="00A86117">
              <w:t xml:space="preserve">Teisėjų </w:t>
            </w:r>
            <w:r w:rsidRPr="008F6B64">
              <w:t xml:space="preserve">tarybos </w:t>
            </w:r>
            <w:r w:rsidR="00C85199">
              <w:t>2018 m. balandžio 27</w:t>
            </w:r>
            <w:r w:rsidR="00230FBD">
              <w:t xml:space="preserve"> d.                                                                                                                                               </w:t>
            </w:r>
            <w:r w:rsidRPr="008F6B64">
              <w:t>nutarimu Nr. 13P-</w:t>
            </w:r>
            <w:r w:rsidR="00230FBD">
              <w:t>39</w:t>
            </w:r>
            <w:r w:rsidRPr="00A86117">
              <w:t>-(7.1.2)</w:t>
            </w:r>
          </w:p>
          <w:p w:rsidR="00230FBD" w:rsidRPr="00A86117" w:rsidRDefault="00230FBD" w:rsidP="00230FBD">
            <w:pPr>
              <w:ind w:left="381"/>
            </w:pPr>
          </w:p>
        </w:tc>
      </w:tr>
    </w:tbl>
    <w:p w:rsidR="00A0400D" w:rsidRPr="00A86117" w:rsidRDefault="00A0400D" w:rsidP="00A0400D">
      <w:pPr>
        <w:jc w:val="center"/>
        <w:rPr>
          <w:b/>
          <w:caps/>
        </w:rPr>
      </w:pPr>
      <w:bookmarkStart w:id="6" w:name="_GoBack"/>
      <w:bookmarkEnd w:id="6"/>
      <w:r w:rsidRPr="00A86117">
        <w:rPr>
          <w:b/>
          <w:caps/>
        </w:rPr>
        <w:t xml:space="preserve">Kompensavimo teisėjams už darbą poilsio ir švenčių dienomis </w:t>
      </w:r>
      <w:r w:rsidRPr="00712406">
        <w:rPr>
          <w:b/>
          <w:caps/>
        </w:rPr>
        <w:t xml:space="preserve">bei budėjimą </w:t>
      </w:r>
      <w:r w:rsidRPr="00A86117">
        <w:rPr>
          <w:b/>
          <w:caps/>
        </w:rPr>
        <w:t xml:space="preserve">tvarkos aprašas </w:t>
      </w:r>
    </w:p>
    <w:p w:rsidR="00A0400D" w:rsidRPr="00A86117" w:rsidRDefault="00A0400D" w:rsidP="00A0400D">
      <w:pPr>
        <w:jc w:val="center"/>
        <w:rPr>
          <w:b/>
          <w:caps/>
        </w:rPr>
      </w:pPr>
    </w:p>
    <w:p w:rsidR="00A0400D" w:rsidRPr="00A86117" w:rsidRDefault="00A0400D" w:rsidP="00A0400D">
      <w:pPr>
        <w:jc w:val="center"/>
        <w:rPr>
          <w:b/>
          <w:caps/>
        </w:rPr>
      </w:pPr>
    </w:p>
    <w:p w:rsidR="00A0400D" w:rsidRPr="00A86117" w:rsidRDefault="00A0400D" w:rsidP="00A0400D">
      <w:pPr>
        <w:jc w:val="center"/>
        <w:rPr>
          <w:b/>
          <w:caps/>
        </w:rPr>
      </w:pPr>
      <w:r w:rsidRPr="00A86117">
        <w:rPr>
          <w:b/>
          <w:caps/>
        </w:rPr>
        <w:t>I. BENDROSIOS NUOSTATOS</w:t>
      </w:r>
    </w:p>
    <w:p w:rsidR="00A0400D" w:rsidRPr="00A86117" w:rsidRDefault="00A0400D" w:rsidP="00A0400D">
      <w:pPr>
        <w:ind w:firstLine="851"/>
        <w:jc w:val="both"/>
        <w:rPr>
          <w:caps/>
        </w:rPr>
      </w:pPr>
    </w:p>
    <w:p w:rsidR="00A0400D" w:rsidRPr="00A86117" w:rsidRDefault="006A5EE8" w:rsidP="00A0400D">
      <w:pPr>
        <w:pStyle w:val="BodyText"/>
        <w:numPr>
          <w:ilvl w:val="0"/>
          <w:numId w:val="1"/>
        </w:numPr>
        <w:tabs>
          <w:tab w:val="clear" w:pos="1920"/>
          <w:tab w:val="left" w:pos="709"/>
          <w:tab w:val="num" w:pos="1134"/>
        </w:tabs>
        <w:spacing w:after="0"/>
        <w:ind w:left="0" w:firstLine="851"/>
        <w:jc w:val="both"/>
      </w:pPr>
      <w:r>
        <w:t>K</w:t>
      </w:r>
      <w:r w:rsidR="00A0400D" w:rsidRPr="00A86117">
        <w:t>ompensavimo teisėjams už darbą poilsio ir švenčių dienomis</w:t>
      </w:r>
      <w:r w:rsidR="00A0400D">
        <w:t xml:space="preserve"> </w:t>
      </w:r>
      <w:r w:rsidR="00A0400D" w:rsidRPr="00712406">
        <w:t>bei budėjimą</w:t>
      </w:r>
      <w:r w:rsidR="00A0400D" w:rsidRPr="00A86117">
        <w:t xml:space="preserve"> tvarkos</w:t>
      </w:r>
      <w:r w:rsidR="00A0400D" w:rsidRPr="00A86117">
        <w:rPr>
          <w:b/>
        </w:rPr>
        <w:t xml:space="preserve"> </w:t>
      </w:r>
      <w:r w:rsidR="00A0400D" w:rsidRPr="00A86117">
        <w:t xml:space="preserve">aprašas (toliau – Aprašas) </w:t>
      </w:r>
      <w:r w:rsidR="00A0400D">
        <w:t xml:space="preserve">nustato </w:t>
      </w:r>
      <w:r w:rsidR="00A0400D" w:rsidRPr="00A86117">
        <w:t xml:space="preserve">bendrosios kompetencijos ir specializuotų teismų teisėjų darbo poilsio ir švenčių dienomis </w:t>
      </w:r>
      <w:r w:rsidR="00A0400D">
        <w:t>bei</w:t>
      </w:r>
      <w:r w:rsidR="00A0400D" w:rsidRPr="00A86117">
        <w:t xml:space="preserve"> budėjimo </w:t>
      </w:r>
      <w:r w:rsidR="00A0400D" w:rsidRPr="00712406">
        <w:t>apskaitos</w:t>
      </w:r>
      <w:r w:rsidR="00A0400D" w:rsidRPr="00A86117">
        <w:t xml:space="preserve"> </w:t>
      </w:r>
      <w:r w:rsidR="00A0400D" w:rsidRPr="00712406">
        <w:t>taip pat kompensavimo</w:t>
      </w:r>
      <w:r w:rsidR="00A0400D">
        <w:t xml:space="preserve"> </w:t>
      </w:r>
      <w:r w:rsidR="00A0400D" w:rsidRPr="00712406">
        <w:t>už šį darbą</w:t>
      </w:r>
      <w:r w:rsidR="00A0400D">
        <w:t xml:space="preserve"> </w:t>
      </w:r>
      <w:r w:rsidR="00A0400D" w:rsidRPr="00A86117">
        <w:t>tvarką.</w:t>
      </w:r>
    </w:p>
    <w:p w:rsidR="00A0400D" w:rsidRDefault="00A0400D" w:rsidP="00A0400D">
      <w:pPr>
        <w:pStyle w:val="BodyText"/>
        <w:numPr>
          <w:ilvl w:val="0"/>
          <w:numId w:val="1"/>
        </w:numPr>
        <w:tabs>
          <w:tab w:val="clear" w:pos="1920"/>
          <w:tab w:val="left" w:pos="709"/>
          <w:tab w:val="num" w:pos="1134"/>
        </w:tabs>
        <w:spacing w:after="0"/>
        <w:ind w:left="0" w:firstLine="851"/>
        <w:jc w:val="both"/>
      </w:pPr>
      <w:r w:rsidRPr="00A86117">
        <w:t>Pagal šį Aprašą</w:t>
      </w:r>
      <w:r>
        <w:t xml:space="preserve"> </w:t>
      </w:r>
      <w:r w:rsidRPr="00712406">
        <w:t>nėra kompensuojama</w:t>
      </w:r>
      <w:r w:rsidRPr="00A86117">
        <w:t xml:space="preserve"> už Lietuvos Respublikos baudžiamojo proceso kodekse, Lietuvos Respublikos civilinio proceso kodekse bei kituose įstatymuose nurodytų teisėjo funkcijų, kurias buvo galima atlikti teismo vidaus tvarkos taisyklėse nustatytu darbo laiku, tačiau jos nebuvo atliktos </w:t>
      </w:r>
      <w:r w:rsidR="006A5EE8">
        <w:t>iki pasibaigiant</w:t>
      </w:r>
      <w:r w:rsidR="006A5EE8" w:rsidRPr="00A86117">
        <w:t xml:space="preserve"> </w:t>
      </w:r>
      <w:r w:rsidRPr="00A86117">
        <w:t xml:space="preserve">darbo dienai, </w:t>
      </w:r>
      <w:r w:rsidRPr="00712406">
        <w:t>atlikimą</w:t>
      </w:r>
      <w:r w:rsidRPr="00A86117">
        <w:t>. Šis Aprašas netaikomas darbo organizavimo teismuose, nepakankamo teisėjų skaičiaus ar kitoms teisėjų darbo krūvio problemoms spręsti.</w:t>
      </w:r>
    </w:p>
    <w:p w:rsidR="00A0400D" w:rsidRPr="007465CA" w:rsidRDefault="00A0400D" w:rsidP="00A0400D">
      <w:pPr>
        <w:pStyle w:val="BodyText"/>
        <w:numPr>
          <w:ilvl w:val="0"/>
          <w:numId w:val="1"/>
        </w:numPr>
        <w:tabs>
          <w:tab w:val="clear" w:pos="1920"/>
          <w:tab w:val="left" w:pos="709"/>
          <w:tab w:val="num" w:pos="1134"/>
        </w:tabs>
        <w:spacing w:after="0"/>
        <w:ind w:left="0" w:firstLine="851"/>
        <w:jc w:val="both"/>
      </w:pPr>
      <w:r w:rsidRPr="007465CA">
        <w:t xml:space="preserve">Siekdami efektyvaus </w:t>
      </w:r>
      <w:r w:rsidR="00160C9B">
        <w:t xml:space="preserve">teismo darbo organizavimo ir </w:t>
      </w:r>
      <w:r w:rsidRPr="007465CA">
        <w:t>darbo užmokesčiui skirtų lėšų naudojimo, teismų pirmininkai bendradarbiaudami su kitomis institucijomis (policija, prokuratūra) turi imtis organizacinių priemonių</w:t>
      </w:r>
      <w:r w:rsidR="008C418B">
        <w:t>,</w:t>
      </w:r>
      <w:r w:rsidRPr="007465CA">
        <w:t xml:space="preserve"> užtikrinančių, jog budėjimas būtų vykdomas kuo trumpesnį laiką</w:t>
      </w:r>
      <w:r w:rsidR="008C418B">
        <w:t xml:space="preserve">, paprastai </w:t>
      </w:r>
      <w:r w:rsidR="0075407E">
        <w:t xml:space="preserve">budint teisme </w:t>
      </w:r>
      <w:r w:rsidR="008C418B">
        <w:t>sekmadieniais ar antrą iš eilės einančią šventinę dieną</w:t>
      </w:r>
      <w:r w:rsidRPr="007465CA">
        <w:t xml:space="preserve"> ir tik išimtiniais atvejais būtų </w:t>
      </w:r>
      <w:r w:rsidR="00160C9B">
        <w:t>budima namuose</w:t>
      </w:r>
      <w:r w:rsidRPr="007465CA">
        <w:t>.</w:t>
      </w:r>
    </w:p>
    <w:p w:rsidR="00A0400D" w:rsidRPr="00A86117" w:rsidRDefault="00A0400D" w:rsidP="00A0400D">
      <w:pPr>
        <w:pStyle w:val="BodyText"/>
        <w:numPr>
          <w:ilvl w:val="0"/>
          <w:numId w:val="1"/>
        </w:numPr>
        <w:tabs>
          <w:tab w:val="left" w:pos="709"/>
          <w:tab w:val="left" w:pos="1134"/>
        </w:tabs>
        <w:spacing w:after="0"/>
        <w:ind w:left="0" w:firstLine="851"/>
        <w:jc w:val="both"/>
      </w:pPr>
      <w:r w:rsidRPr="00A86117">
        <w:t>Šiame Apraše vartojamos sąvokos:</w:t>
      </w:r>
    </w:p>
    <w:p w:rsidR="00A0400D" w:rsidRPr="00A86117" w:rsidRDefault="00A0400D" w:rsidP="00A0400D">
      <w:pPr>
        <w:pStyle w:val="BodyText"/>
        <w:tabs>
          <w:tab w:val="left" w:pos="709"/>
          <w:tab w:val="left" w:pos="1276"/>
          <w:tab w:val="left" w:pos="1560"/>
        </w:tabs>
        <w:spacing w:after="0"/>
        <w:ind w:firstLine="851"/>
        <w:jc w:val="both"/>
      </w:pPr>
      <w:r w:rsidRPr="00A86117">
        <w:rPr>
          <w:b/>
        </w:rPr>
        <w:t>Budėjimas</w:t>
      </w:r>
      <w:r w:rsidRPr="00A86117">
        <w:t xml:space="preserve"> – </w:t>
      </w:r>
      <w:r w:rsidRPr="00A86117">
        <w:rPr>
          <w:color w:val="000000"/>
          <w:lang w:eastAsia="lt-LT"/>
        </w:rPr>
        <w:t xml:space="preserve">teisėjo buvimas teisme arba namuose pagal teismo pirmininko ar jo įgalioto teisėjo patvirtintą </w:t>
      </w:r>
      <w:r w:rsidRPr="00A86117">
        <w:t xml:space="preserve">teisėjų budėjimo </w:t>
      </w:r>
      <w:r w:rsidRPr="00A86117">
        <w:rPr>
          <w:color w:val="000000"/>
          <w:lang w:eastAsia="lt-LT"/>
        </w:rPr>
        <w:t>grafiką poilsio ir švenčių dienomis, kad būtų užtikrintas neatidėliotinų</w:t>
      </w:r>
      <w:r w:rsidR="006A5EE8">
        <w:rPr>
          <w:color w:val="000000"/>
          <w:lang w:eastAsia="lt-LT"/>
        </w:rPr>
        <w:t xml:space="preserve"> procesinių</w:t>
      </w:r>
      <w:r w:rsidRPr="00A86117">
        <w:rPr>
          <w:color w:val="000000"/>
          <w:lang w:eastAsia="lt-LT"/>
        </w:rPr>
        <w:t xml:space="preserve"> veiksmų, </w:t>
      </w:r>
      <w:r w:rsidRPr="00A86117">
        <w:t>kurių negalima atlikti teismo vidaus tvarkos taisyklėse nustatytu darbo laiku,</w:t>
      </w:r>
      <w:r w:rsidRPr="00A86117">
        <w:rPr>
          <w:color w:val="000000"/>
          <w:lang w:eastAsia="lt-LT"/>
        </w:rPr>
        <w:t xml:space="preserve"> atlikimas</w:t>
      </w:r>
      <w:r w:rsidRPr="00A86117">
        <w:t xml:space="preserve">. </w:t>
      </w:r>
    </w:p>
    <w:p w:rsidR="00A0400D" w:rsidRPr="00A86117" w:rsidRDefault="00A0400D" w:rsidP="00A0400D">
      <w:pPr>
        <w:pStyle w:val="BodyText"/>
        <w:tabs>
          <w:tab w:val="left" w:pos="709"/>
          <w:tab w:val="left" w:pos="1276"/>
          <w:tab w:val="left" w:pos="1560"/>
        </w:tabs>
        <w:spacing w:after="0"/>
        <w:ind w:firstLine="851"/>
        <w:jc w:val="both"/>
        <w:rPr>
          <w:color w:val="000000"/>
        </w:rPr>
      </w:pPr>
      <w:r w:rsidRPr="00A86117">
        <w:rPr>
          <w:b/>
        </w:rPr>
        <w:t>Darbas poilsio ir švenčių dienomis</w:t>
      </w:r>
      <w:r w:rsidRPr="00A86117">
        <w:t xml:space="preserve"> – teismo pirmininko nustatyta tvarka teisėjo </w:t>
      </w:r>
      <w:r w:rsidRPr="006E581F">
        <w:t xml:space="preserve">dirbamas </w:t>
      </w:r>
      <w:r w:rsidRPr="00A86117">
        <w:t>darbas, atliekamas poilsio ar šventės dieną ne pagal teismo pirmininko</w:t>
      </w:r>
      <w:r>
        <w:t xml:space="preserve"> </w:t>
      </w:r>
      <w:r w:rsidRPr="00A86117">
        <w:rPr>
          <w:color w:val="000000"/>
          <w:lang w:eastAsia="lt-LT"/>
        </w:rPr>
        <w:t>ar jo įgalioto teisėjo</w:t>
      </w:r>
      <w:r w:rsidRPr="00A86117">
        <w:t xml:space="preserve"> nustatytą budėjimo grafiką </w:t>
      </w:r>
      <w:r w:rsidRPr="00A86117">
        <w:rPr>
          <w:color w:val="000000"/>
          <w:lang w:eastAsia="lt-LT"/>
        </w:rPr>
        <w:t xml:space="preserve">ir </w:t>
      </w:r>
      <w:r w:rsidRPr="00A86117">
        <w:rPr>
          <w:color w:val="000000"/>
        </w:rPr>
        <w:t xml:space="preserve">šio darbo iš anksto nebuvo galima suplanuoti ir numatyti bei dėl teisinių ir (ar) faktinių kliūčių negalima šių veiksmų atlikti kitu laiku ar atidėti kitai dienai. </w:t>
      </w:r>
    </w:p>
    <w:p w:rsidR="00A0400D" w:rsidRPr="00A86117" w:rsidRDefault="00A0400D" w:rsidP="00A0400D">
      <w:pPr>
        <w:pStyle w:val="BodyText"/>
        <w:tabs>
          <w:tab w:val="left" w:pos="709"/>
          <w:tab w:val="left" w:pos="1276"/>
          <w:tab w:val="left" w:pos="1560"/>
        </w:tabs>
        <w:spacing w:after="0"/>
        <w:ind w:firstLine="851"/>
        <w:jc w:val="both"/>
        <w:rPr>
          <w:color w:val="000000"/>
        </w:rPr>
      </w:pPr>
      <w:r w:rsidRPr="00A86117">
        <w:rPr>
          <w:color w:val="000000"/>
        </w:rPr>
        <w:t xml:space="preserve"> </w:t>
      </w:r>
    </w:p>
    <w:p w:rsidR="00A0400D" w:rsidRPr="00A86117" w:rsidRDefault="00A0400D" w:rsidP="00A0400D">
      <w:pPr>
        <w:pStyle w:val="BodyText"/>
        <w:tabs>
          <w:tab w:val="left" w:pos="709"/>
        </w:tabs>
        <w:spacing w:after="0"/>
        <w:jc w:val="both"/>
      </w:pPr>
    </w:p>
    <w:p w:rsidR="00A0400D" w:rsidRPr="00A86117" w:rsidRDefault="00A0400D" w:rsidP="00A0400D">
      <w:pPr>
        <w:pStyle w:val="BodyText"/>
        <w:tabs>
          <w:tab w:val="left" w:pos="709"/>
        </w:tabs>
        <w:spacing w:after="0"/>
        <w:ind w:firstLine="851"/>
        <w:jc w:val="center"/>
        <w:rPr>
          <w:b/>
        </w:rPr>
      </w:pPr>
      <w:r w:rsidRPr="00A86117">
        <w:rPr>
          <w:b/>
        </w:rPr>
        <w:t>II. DARBO POILSIO IR ŠVENČIŲ DIENOMIS BEI BUDĖJIMO APSKAITA</w:t>
      </w:r>
    </w:p>
    <w:p w:rsidR="00A0400D" w:rsidRPr="00A86117" w:rsidRDefault="00A0400D" w:rsidP="00A0400D">
      <w:pPr>
        <w:pStyle w:val="BodyText"/>
        <w:tabs>
          <w:tab w:val="left" w:pos="709"/>
          <w:tab w:val="left" w:pos="1080"/>
        </w:tabs>
        <w:spacing w:after="0"/>
        <w:ind w:firstLine="851"/>
        <w:jc w:val="both"/>
      </w:pPr>
    </w:p>
    <w:p w:rsidR="00A0400D" w:rsidRPr="00A86117" w:rsidRDefault="00A0400D" w:rsidP="00A0400D">
      <w:pPr>
        <w:pStyle w:val="BodyText"/>
        <w:numPr>
          <w:ilvl w:val="0"/>
          <w:numId w:val="1"/>
        </w:numPr>
        <w:tabs>
          <w:tab w:val="left" w:pos="709"/>
          <w:tab w:val="left" w:pos="1134"/>
        </w:tabs>
        <w:spacing w:after="0"/>
        <w:ind w:left="0" w:firstLine="851"/>
        <w:jc w:val="both"/>
      </w:pPr>
      <w:r w:rsidRPr="00A86117">
        <w:t>Tikslus teisėjo pagal nustatytą tvarką dirbt</w:t>
      </w:r>
      <w:r w:rsidR="00426A0C">
        <w:t>o</w:t>
      </w:r>
      <w:r w:rsidRPr="00A86117">
        <w:t xml:space="preserve"> darbo poilsio ir švenčių dienomis bei budėjimo laikas žymimas </w:t>
      </w:r>
      <w:r w:rsidRPr="00712406">
        <w:t xml:space="preserve">šio Aprašo priede nurodytos </w:t>
      </w:r>
      <w:r w:rsidRPr="00A86117">
        <w:t>formos Teisėjų darbo poilsio ir švenčių dienomis bei budėjimo apskaitos žurnale (toliau – Žurnalas).</w:t>
      </w:r>
    </w:p>
    <w:p w:rsidR="00A0400D" w:rsidRPr="000F759E" w:rsidRDefault="00A0400D" w:rsidP="00A0400D">
      <w:pPr>
        <w:pStyle w:val="BodyText"/>
        <w:numPr>
          <w:ilvl w:val="0"/>
          <w:numId w:val="1"/>
        </w:numPr>
        <w:tabs>
          <w:tab w:val="left" w:pos="709"/>
          <w:tab w:val="left" w:pos="1134"/>
        </w:tabs>
        <w:spacing w:after="0"/>
        <w:ind w:left="0" w:firstLine="851"/>
        <w:jc w:val="both"/>
      </w:pPr>
      <w:r w:rsidRPr="000F759E">
        <w:t>Informaciją apie darbą poilsio ir švenčių dienomis bei budėjimus Žurnale įrašo pats teisėjas.</w:t>
      </w:r>
      <w:r w:rsidR="000F759E" w:rsidRPr="000F759E">
        <w:t xml:space="preserve"> Teisėjo Žurnalo įrašuose nurodytą darbo laiką patvirtina teismo pirmininkas arba jo įgaliotas skyriaus pirmininkas ar pirmininko pavaduotojas rezoliucija, </w:t>
      </w:r>
      <w:r w:rsidR="000F759E" w:rsidRPr="00563362">
        <w:t>pripažindamas, kad</w:t>
      </w:r>
      <w:r w:rsidR="00563362">
        <w:t xml:space="preserve"> už</w:t>
      </w:r>
      <w:r w:rsidR="000F759E" w:rsidRPr="00563362">
        <w:t xml:space="preserve"> įraše nurodyt</w:t>
      </w:r>
      <w:r w:rsidR="00563362">
        <w:t xml:space="preserve">ą </w:t>
      </w:r>
      <w:r w:rsidR="000F759E" w:rsidRPr="00563362">
        <w:t>darb</w:t>
      </w:r>
      <w:r w:rsidR="00563362">
        <w:t>ą</w:t>
      </w:r>
      <w:r w:rsidR="000F759E" w:rsidRPr="00563362">
        <w:t xml:space="preserve"> kompensuo</w:t>
      </w:r>
      <w:r w:rsidR="00563362">
        <w:t xml:space="preserve">tina </w:t>
      </w:r>
      <w:r w:rsidR="000F759E" w:rsidRPr="00563362">
        <w:t>šio Aprašo nustatyta tvarka</w:t>
      </w:r>
      <w:r w:rsidR="00563362">
        <w:t>.</w:t>
      </w:r>
      <w:r w:rsidR="000F759E" w:rsidRPr="000F759E" w:rsidDel="000F759E">
        <w:t xml:space="preserve"> </w:t>
      </w:r>
      <w:r w:rsidRPr="000F759E">
        <w:rPr>
          <w:color w:val="000000"/>
        </w:rPr>
        <w:t xml:space="preserve">Teismo pirmininkas arba jo įgaliotas skyriaus pirmininkas ar pirmininko pavaduotojas gali pareikalauti iš teisėjo pateikti papildomos informacijos apie Žurnale nurodytus procesinius veiksmus. </w:t>
      </w:r>
    </w:p>
    <w:p w:rsidR="00A0400D" w:rsidRPr="000F759E" w:rsidRDefault="005578C7" w:rsidP="00A0400D">
      <w:pPr>
        <w:pStyle w:val="BodyText"/>
        <w:numPr>
          <w:ilvl w:val="0"/>
          <w:numId w:val="1"/>
        </w:numPr>
        <w:tabs>
          <w:tab w:val="left" w:pos="709"/>
          <w:tab w:val="left" w:pos="1134"/>
        </w:tabs>
        <w:spacing w:after="0"/>
        <w:ind w:left="0" w:firstLine="851"/>
        <w:jc w:val="both"/>
      </w:pPr>
      <w:r>
        <w:t xml:space="preserve">Teismo tarnautojas, atsakingas už bendrojo teismo darbuotojų darbo laiko apskaitos žiniaraščio pildymą, remdamasis Žurnalu kiekvieno mėnesio pabaigoje užpildo Teisėjų darbo poilsio ir švenčių dienomis bei budėjimų žiniaraštį (toliau – Papildomas žiniaraštis) ir prideda jį prie bendrojo teismo darbuotojų darbo laiko apskaitos žiniaraščio </w:t>
      </w:r>
      <w:r w:rsidRPr="005578C7">
        <w:t xml:space="preserve">arba duomenis apie budėjimą ir darbą poilsio ir švenčių dienomis įrašo į bendrą teismo darbuotojų darbo laiko apskaitos žiniaraštį, jeigu teisme Papildomas žiniaraštis nėra pildomas. Į Papildomą žiniaraštį arba bendrą teismo darbuotojų darbo </w:t>
      </w:r>
      <w:r w:rsidRPr="005578C7">
        <w:lastRenderedPageBreak/>
        <w:t>laiko apskaitos žiniaraštį</w:t>
      </w:r>
      <w:r>
        <w:t xml:space="preserve"> neįtraukiamas Žurnalo įrašuose nurodytas laikas, jei jis nėra patvirtintas teismo pirmininko arba jo įgalioto skyriaus pirmininko ar pirmininko pavaduotojo rezoliucija, pripažinus, kad įraše nurodytas darbas nepriskirtinas darbui, už kurį kompensuojama šio Aprašo nustatyta tvarka.</w:t>
      </w:r>
    </w:p>
    <w:p w:rsidR="00A0400D" w:rsidRPr="00A86117" w:rsidRDefault="00A0400D" w:rsidP="00A0400D">
      <w:pPr>
        <w:pStyle w:val="BodyText"/>
        <w:tabs>
          <w:tab w:val="left" w:pos="709"/>
          <w:tab w:val="left" w:pos="1080"/>
        </w:tabs>
        <w:spacing w:after="0"/>
        <w:ind w:firstLine="851"/>
        <w:jc w:val="both"/>
      </w:pPr>
    </w:p>
    <w:p w:rsidR="00A0400D" w:rsidRPr="00A86117" w:rsidRDefault="00A0400D" w:rsidP="00A0400D">
      <w:pPr>
        <w:pStyle w:val="BodyText"/>
        <w:tabs>
          <w:tab w:val="left" w:pos="709"/>
          <w:tab w:val="left" w:pos="1080"/>
        </w:tabs>
        <w:spacing w:after="0"/>
        <w:ind w:firstLine="851"/>
        <w:jc w:val="center"/>
        <w:rPr>
          <w:b/>
        </w:rPr>
      </w:pPr>
      <w:r w:rsidRPr="00A86117">
        <w:rPr>
          <w:b/>
        </w:rPr>
        <w:t xml:space="preserve">III. </w:t>
      </w:r>
      <w:r w:rsidRPr="00712406">
        <w:rPr>
          <w:b/>
        </w:rPr>
        <w:t>KOMPENSAVIMAS</w:t>
      </w:r>
      <w:r>
        <w:rPr>
          <w:b/>
        </w:rPr>
        <w:t xml:space="preserve"> </w:t>
      </w:r>
      <w:r w:rsidRPr="00A86117">
        <w:rPr>
          <w:b/>
        </w:rPr>
        <w:t xml:space="preserve">UŽ DARBĄ POILSIO IR ŠVENČIŲ DIENOMIS BEI </w:t>
      </w:r>
      <w:r>
        <w:rPr>
          <w:b/>
        </w:rPr>
        <w:t>BUDĖJIMĄ</w:t>
      </w:r>
    </w:p>
    <w:p w:rsidR="00A0400D" w:rsidRPr="00A86117" w:rsidRDefault="00A0400D" w:rsidP="00A0400D">
      <w:pPr>
        <w:pStyle w:val="BodyText"/>
        <w:tabs>
          <w:tab w:val="left" w:pos="709"/>
        </w:tabs>
        <w:spacing w:after="0"/>
        <w:jc w:val="both"/>
        <w:rPr>
          <w:b/>
        </w:rPr>
      </w:pPr>
    </w:p>
    <w:p w:rsidR="00A0400D" w:rsidRDefault="00A0400D" w:rsidP="00A0400D">
      <w:pPr>
        <w:pStyle w:val="BodyText"/>
        <w:tabs>
          <w:tab w:val="left" w:pos="709"/>
          <w:tab w:val="left" w:pos="1134"/>
        </w:tabs>
        <w:spacing w:after="0"/>
        <w:jc w:val="both"/>
      </w:pPr>
      <w:r>
        <w:tab/>
        <w:t xml:space="preserve">8. </w:t>
      </w:r>
      <w:r w:rsidRPr="00395F12">
        <w:t>Teisėjams už darbą poilsio ir švenčių dienomis bei budėjimą</w:t>
      </w:r>
      <w:r w:rsidR="004B5685">
        <w:t xml:space="preserve"> teisme</w:t>
      </w:r>
      <w:r w:rsidRPr="00395F12">
        <w:t xml:space="preserve">, jų pasirinkimu, </w:t>
      </w:r>
      <w:r w:rsidRPr="00EA77D3">
        <w:t xml:space="preserve">kompensuojama šio Aprašo </w:t>
      </w:r>
      <w:r w:rsidR="00531A19" w:rsidRPr="00EA77D3">
        <w:t xml:space="preserve">10 </w:t>
      </w:r>
      <w:r w:rsidRPr="00EA77D3">
        <w:t xml:space="preserve">punkte nustatyta tvarka apmokant už šį darbą arba šio Aprašo </w:t>
      </w:r>
      <w:r w:rsidR="00531A19" w:rsidRPr="00EA77D3">
        <w:t>11</w:t>
      </w:r>
      <w:r w:rsidR="00697EDA" w:rsidRPr="00EA77D3">
        <w:t xml:space="preserve"> </w:t>
      </w:r>
      <w:r w:rsidRPr="00EA77D3">
        <w:t>punkt</w:t>
      </w:r>
      <w:r w:rsidR="00531A19" w:rsidRPr="00EA77D3">
        <w:t>e</w:t>
      </w:r>
      <w:r w:rsidRPr="00EA77D3">
        <w:t xml:space="preserve"> nustatyta tvarka suteikiant</w:t>
      </w:r>
      <w:r w:rsidR="00D24B4D" w:rsidRPr="00EA77D3">
        <w:t xml:space="preserve"> </w:t>
      </w:r>
      <w:r w:rsidR="00697EDA" w:rsidRPr="00EA77D3">
        <w:t>papildomą poilsio laiką</w:t>
      </w:r>
      <w:r w:rsidR="004E5846" w:rsidRPr="00EA77D3">
        <w:t xml:space="preserve"> prie kasmetinių atostogų</w:t>
      </w:r>
      <w:r w:rsidRPr="00AF7E4D">
        <w:t>.</w:t>
      </w:r>
      <w:r w:rsidRPr="00395F12">
        <w:t xml:space="preserve"> </w:t>
      </w:r>
    </w:p>
    <w:p w:rsidR="00DC1D6C" w:rsidRPr="00DC1D6C" w:rsidRDefault="00DC1D6C" w:rsidP="00A0400D">
      <w:pPr>
        <w:pStyle w:val="BodyText"/>
        <w:tabs>
          <w:tab w:val="left" w:pos="709"/>
          <w:tab w:val="left" w:pos="1134"/>
        </w:tabs>
        <w:spacing w:after="0"/>
        <w:jc w:val="both"/>
        <w:rPr>
          <w:strike/>
          <w:vertAlign w:val="superscript"/>
        </w:rPr>
      </w:pPr>
      <w:r>
        <w:tab/>
      </w:r>
      <w:r w:rsidR="004E5846">
        <w:t>9</w:t>
      </w:r>
      <w:r w:rsidR="00B16D9D">
        <w:t xml:space="preserve">. </w:t>
      </w:r>
      <w:r>
        <w:rPr>
          <w:vertAlign w:val="superscript"/>
        </w:rPr>
        <w:t xml:space="preserve"> </w:t>
      </w:r>
      <w:r w:rsidRPr="00712406">
        <w:t>Apskaičiuojant piniginės kompensacijos dydį</w:t>
      </w:r>
      <w:r>
        <w:t xml:space="preserve"> bei suteikiant papildom</w:t>
      </w:r>
      <w:r w:rsidR="004E5846">
        <w:t xml:space="preserve">ą poilsio laiką prie kasmetinių </w:t>
      </w:r>
      <w:r>
        <w:t>atostogų</w:t>
      </w:r>
      <w:r w:rsidR="00BD6A4C">
        <w:t>,</w:t>
      </w:r>
      <w:r>
        <w:t xml:space="preserve"> </w:t>
      </w:r>
      <w:r w:rsidRPr="00712406">
        <w:t xml:space="preserve">budėjimas teisme prilyginamas darbo laikui, o budėjimas namuose </w:t>
      </w:r>
      <w:r>
        <w:t>nelaikomas darbo laiku</w:t>
      </w:r>
      <w:r w:rsidR="00427F72">
        <w:t xml:space="preserve"> (išskyrus, atvykus į teismą, faktiškai atliktų veiksmų laiką)</w:t>
      </w:r>
      <w:r w:rsidR="004B5685">
        <w:t xml:space="preserve"> ir už jį kompensuojama šio Aprašo </w:t>
      </w:r>
      <w:r w:rsidR="00531A19">
        <w:t xml:space="preserve">12 </w:t>
      </w:r>
      <w:r w:rsidR="004B5685">
        <w:t>punkte nustatyta tvarka</w:t>
      </w:r>
      <w:r>
        <w:t>.</w:t>
      </w:r>
    </w:p>
    <w:p w:rsidR="00A0400D" w:rsidRPr="00712406" w:rsidRDefault="00A0400D" w:rsidP="00A0400D">
      <w:pPr>
        <w:pStyle w:val="BodyText"/>
        <w:tabs>
          <w:tab w:val="left" w:pos="709"/>
          <w:tab w:val="left" w:pos="1134"/>
          <w:tab w:val="left" w:pos="1276"/>
        </w:tabs>
        <w:spacing w:after="0"/>
        <w:jc w:val="both"/>
      </w:pPr>
      <w:r w:rsidRPr="00712406">
        <w:tab/>
      </w:r>
      <w:r w:rsidR="004E5846">
        <w:t>10</w:t>
      </w:r>
      <w:r w:rsidRPr="00712406">
        <w:t xml:space="preserve">. Teisėjams, jų prašymu, už darbą </w:t>
      </w:r>
      <w:r w:rsidRPr="00712406">
        <w:rPr>
          <w:color w:val="000000"/>
          <w:shd w:val="clear" w:color="auto" w:fill="FFFFFF"/>
        </w:rPr>
        <w:t xml:space="preserve">poilsio ir švenčių dienomis bei </w:t>
      </w:r>
      <w:r w:rsidRPr="00712406">
        <w:t xml:space="preserve">budėjimą </w:t>
      </w:r>
      <w:r w:rsidR="00CF14AE">
        <w:t xml:space="preserve">teisme </w:t>
      </w:r>
      <w:r w:rsidRPr="00712406">
        <w:t>mokamos piniginės kompensacijos:</w:t>
      </w:r>
    </w:p>
    <w:p w:rsidR="00A0400D" w:rsidRPr="00FF3562" w:rsidRDefault="00A0400D" w:rsidP="00A0400D">
      <w:pPr>
        <w:pStyle w:val="BodyText"/>
        <w:tabs>
          <w:tab w:val="left" w:pos="709"/>
          <w:tab w:val="left" w:pos="1134"/>
          <w:tab w:val="left" w:pos="1276"/>
        </w:tabs>
        <w:spacing w:after="0"/>
        <w:jc w:val="both"/>
      </w:pPr>
      <w:r w:rsidRPr="00712406">
        <w:tab/>
      </w:r>
      <w:r w:rsidR="004E5846">
        <w:t>10</w:t>
      </w:r>
      <w:r w:rsidRPr="00712406">
        <w:t>.1</w:t>
      </w:r>
      <w:r w:rsidRPr="00FF3562">
        <w:t xml:space="preserve">. už darbą </w:t>
      </w:r>
      <w:r w:rsidRPr="00FF3562">
        <w:rPr>
          <w:color w:val="000000"/>
          <w:shd w:val="clear" w:color="auto" w:fill="FFFFFF"/>
        </w:rPr>
        <w:t xml:space="preserve">poilsio ir švenčių dieną bei </w:t>
      </w:r>
      <w:r w:rsidRPr="00FF3562">
        <w:t xml:space="preserve">budėjimą </w:t>
      </w:r>
      <w:r w:rsidR="00CF14AE" w:rsidRPr="00FF3562">
        <w:t xml:space="preserve">teisme </w:t>
      </w:r>
      <w:r w:rsidRPr="00FF3562">
        <w:t xml:space="preserve">švenčių dieną mokamas dvigubas teisėjo atlyginimas; </w:t>
      </w:r>
    </w:p>
    <w:p w:rsidR="00FF3562" w:rsidRDefault="00A0400D" w:rsidP="00FF3562">
      <w:pPr>
        <w:pStyle w:val="BodyText"/>
        <w:tabs>
          <w:tab w:val="left" w:pos="709"/>
          <w:tab w:val="left" w:pos="1134"/>
          <w:tab w:val="left" w:pos="1276"/>
        </w:tabs>
        <w:spacing w:after="0"/>
        <w:jc w:val="both"/>
      </w:pPr>
      <w:r w:rsidRPr="00FF3562">
        <w:tab/>
      </w:r>
      <w:r w:rsidR="007D596B" w:rsidRPr="00FF3562">
        <w:t>10</w:t>
      </w:r>
      <w:r w:rsidRPr="00FF3562">
        <w:t>.2. už budėjimą</w:t>
      </w:r>
      <w:r w:rsidR="00CF14AE" w:rsidRPr="00FF3562">
        <w:t xml:space="preserve"> teisme</w:t>
      </w:r>
      <w:r w:rsidRPr="00FF3562">
        <w:t xml:space="preserve"> poilsio dieną</w:t>
      </w:r>
      <w:r w:rsidRPr="00712406">
        <w:t>, mokama pusantro teisėjo atlyginimo</w:t>
      </w:r>
      <w:r w:rsidR="00FF3562">
        <w:t>.</w:t>
      </w:r>
      <w:r w:rsidRPr="00712406">
        <w:t xml:space="preserve"> </w:t>
      </w:r>
    </w:p>
    <w:p w:rsidR="00A0400D" w:rsidRPr="00712406" w:rsidRDefault="00FF3562" w:rsidP="00FF3562">
      <w:pPr>
        <w:pStyle w:val="BodyText"/>
        <w:tabs>
          <w:tab w:val="left" w:pos="709"/>
          <w:tab w:val="left" w:pos="1134"/>
          <w:tab w:val="left" w:pos="1276"/>
        </w:tabs>
        <w:spacing w:after="0"/>
        <w:jc w:val="both"/>
      </w:pPr>
      <w:r>
        <w:tab/>
      </w:r>
      <w:r w:rsidR="00531A19">
        <w:t>11</w:t>
      </w:r>
      <w:r w:rsidR="00A0400D" w:rsidRPr="00712406">
        <w:t>. Teisėjams, jų prašymu, už darbą poilsio ir švenčių dienomis bei budėjimą</w:t>
      </w:r>
      <w:r w:rsidR="007D596B">
        <w:t xml:space="preserve"> teisme</w:t>
      </w:r>
      <w:r w:rsidR="00A0400D" w:rsidRPr="00712406">
        <w:t xml:space="preserve"> kompensuojama suteikiant </w:t>
      </w:r>
      <w:r w:rsidR="00DC1D6C">
        <w:t>papildom</w:t>
      </w:r>
      <w:r w:rsidR="007D596B">
        <w:t>ą poilsio laiką prie kasmetinių</w:t>
      </w:r>
      <w:r w:rsidR="00DC1D6C">
        <w:t xml:space="preserve"> atostogų </w:t>
      </w:r>
      <w:r w:rsidR="00A0400D" w:rsidRPr="00712406">
        <w:t xml:space="preserve">ir mokant už </w:t>
      </w:r>
      <w:r w:rsidR="00DC1D6C">
        <w:t>j</w:t>
      </w:r>
      <w:r>
        <w:t>į</w:t>
      </w:r>
      <w:r w:rsidR="00A0400D" w:rsidRPr="00712406">
        <w:t xml:space="preserve"> teisėjui jo vidutinį darbo užmokestį (toliau – papildoma</w:t>
      </w:r>
      <w:r w:rsidR="004460B4">
        <w:t>s</w:t>
      </w:r>
      <w:r w:rsidR="00A0400D" w:rsidRPr="00712406">
        <w:t xml:space="preserve"> </w:t>
      </w:r>
      <w:r w:rsidR="004460B4">
        <w:t>poilsio laikas</w:t>
      </w:r>
      <w:r w:rsidR="00A0400D" w:rsidRPr="00712406">
        <w:t>):</w:t>
      </w:r>
    </w:p>
    <w:p w:rsidR="00A0400D" w:rsidRPr="00712406" w:rsidRDefault="00531A19" w:rsidP="00A0400D">
      <w:pPr>
        <w:ind w:firstLine="720"/>
        <w:jc w:val="both"/>
      </w:pPr>
      <w:r>
        <w:t>11</w:t>
      </w:r>
      <w:r w:rsidR="00A0400D" w:rsidRPr="00712406">
        <w:t xml:space="preserve">.1. </w:t>
      </w:r>
      <w:r w:rsidR="00FF3562" w:rsidRPr="00712406">
        <w:t>budėjim</w:t>
      </w:r>
      <w:r w:rsidR="00FF3562">
        <w:t>o</w:t>
      </w:r>
      <w:r w:rsidR="00FF3562" w:rsidRPr="00712406">
        <w:t xml:space="preserve"> teisme</w:t>
      </w:r>
      <w:r w:rsidR="00FF3562">
        <w:t xml:space="preserve"> švenčių dieną laikas</w:t>
      </w:r>
      <w:r w:rsidR="00FF3562" w:rsidRPr="00712406">
        <w:t xml:space="preserve"> bei darb</w:t>
      </w:r>
      <w:r w:rsidR="00FF3562">
        <w:t>o</w:t>
      </w:r>
      <w:r w:rsidR="00FF3562" w:rsidRPr="00712406">
        <w:t xml:space="preserve"> švenčių ar poilsio dieną</w:t>
      </w:r>
      <w:r w:rsidR="00FF3562">
        <w:t xml:space="preserve"> laikas</w:t>
      </w:r>
      <w:r w:rsidR="00FF3562" w:rsidRPr="00712406">
        <w:t xml:space="preserve">, </w:t>
      </w:r>
      <w:r w:rsidR="00FF3562">
        <w:t>padaugintas iš dviejų, pridedamas prie kasmetinių atostogų laiko</w:t>
      </w:r>
      <w:r w:rsidR="00FF3562" w:rsidRPr="00712406">
        <w:t>;</w:t>
      </w:r>
    </w:p>
    <w:p w:rsidR="00FF3562" w:rsidRDefault="00531A19" w:rsidP="00A0400D">
      <w:pPr>
        <w:ind w:firstLine="720"/>
        <w:jc w:val="both"/>
      </w:pPr>
      <w:r>
        <w:t>11</w:t>
      </w:r>
      <w:r w:rsidR="00A0400D" w:rsidRPr="00712406">
        <w:t xml:space="preserve">.2. </w:t>
      </w:r>
      <w:r w:rsidR="00FF3562">
        <w:t>budėjimo teisme poilsio dieną laikas, padaugintas iš pusantro karto, pridedamas prie kasmetinių atostogų laiko</w:t>
      </w:r>
      <w:r w:rsidR="00AE7FD1">
        <w:t>.</w:t>
      </w:r>
    </w:p>
    <w:p w:rsidR="00531A19" w:rsidRPr="00DC1D6C" w:rsidRDefault="00531A19" w:rsidP="00531A19">
      <w:pPr>
        <w:ind w:firstLine="720"/>
        <w:jc w:val="both"/>
      </w:pPr>
      <w:r>
        <w:t xml:space="preserve">12. Už budėjimą namuose teisėjams kompensuojama išmokant </w:t>
      </w:r>
      <w:r w:rsidR="006A5EE8">
        <w:t>1</w:t>
      </w:r>
      <w:r>
        <w:t xml:space="preserve"> proc. vidutinio darbo užmokesčio dydžio priemoką už </w:t>
      </w:r>
      <w:r w:rsidR="006A5EE8">
        <w:t>2</w:t>
      </w:r>
      <w:r>
        <w:t xml:space="preserve"> valandų budėjimą</w:t>
      </w:r>
      <w:r w:rsidR="00124233">
        <w:t xml:space="preserve"> namuose</w:t>
      </w:r>
      <w:r>
        <w:t>.</w:t>
      </w:r>
    </w:p>
    <w:p w:rsidR="00561A37" w:rsidRDefault="00531A19" w:rsidP="00561A37">
      <w:pPr>
        <w:ind w:firstLine="720"/>
        <w:jc w:val="both"/>
      </w:pPr>
      <w:r>
        <w:t>13</w:t>
      </w:r>
      <w:r w:rsidR="00A0400D" w:rsidRPr="00712406">
        <w:t>.</w:t>
      </w:r>
      <w:r w:rsidR="00A0400D">
        <w:rPr>
          <w:b/>
        </w:rPr>
        <w:t xml:space="preserve"> </w:t>
      </w:r>
      <w:r w:rsidR="00A0400D" w:rsidRPr="00052174">
        <w:t>Teisėjui suteikta</w:t>
      </w:r>
      <w:r w:rsidR="00F571F1">
        <w:t>s</w:t>
      </w:r>
      <w:r w:rsidR="00A0400D" w:rsidRPr="00052174">
        <w:t xml:space="preserve"> papildoma</w:t>
      </w:r>
      <w:r w:rsidR="00F571F1">
        <w:t>s</w:t>
      </w:r>
      <w:r w:rsidR="00A0400D" w:rsidRPr="00052174">
        <w:t xml:space="preserve"> </w:t>
      </w:r>
      <w:r w:rsidR="00F571F1">
        <w:t>poilsio laikas</w:t>
      </w:r>
      <w:r w:rsidR="00A0400D" w:rsidRPr="00052174">
        <w:t xml:space="preserve"> pažymima</w:t>
      </w:r>
      <w:r w:rsidR="00F571F1">
        <w:t>s</w:t>
      </w:r>
      <w:r w:rsidR="00A0400D" w:rsidRPr="00052174">
        <w:t xml:space="preserve"> Papildomame žiniaraštyje</w:t>
      </w:r>
      <w:r w:rsidR="00561A37">
        <w:t xml:space="preserve"> arba bendrame teismo darbuotojų darbo laiko apskaitos žiniaraštyje, jeigu teisme Papildomas žiniaraštis nėra pildomas</w:t>
      </w:r>
      <w:r w:rsidR="00A0400D" w:rsidRPr="00052174">
        <w:t xml:space="preserve">. </w:t>
      </w:r>
    </w:p>
    <w:p w:rsidR="00A0400D" w:rsidRPr="00712406" w:rsidRDefault="00A0400D" w:rsidP="00A0400D">
      <w:pPr>
        <w:ind w:firstLine="720"/>
        <w:jc w:val="both"/>
      </w:pPr>
      <w:r w:rsidRPr="00712406">
        <w:t>1</w:t>
      </w:r>
      <w:r w:rsidR="00531A19">
        <w:t>4</w:t>
      </w:r>
      <w:r w:rsidRPr="00712406">
        <w:t xml:space="preserve">. Per kalendorinius metus nepanaudotos papildomos </w:t>
      </w:r>
      <w:r w:rsidR="00C9758A">
        <w:t>atostogų</w:t>
      </w:r>
      <w:r w:rsidRPr="00712406">
        <w:t xml:space="preserve"> dienos už tais metais dirbtą darbą poilsio ir švenčių dienomis bei budėjimą yra perkeliamos į kitus kalendorinius metus. </w:t>
      </w:r>
    </w:p>
    <w:p w:rsidR="00A0400D" w:rsidRPr="00712406" w:rsidRDefault="00A0400D" w:rsidP="00A0400D">
      <w:pPr>
        <w:ind w:firstLine="720"/>
        <w:jc w:val="both"/>
      </w:pPr>
      <w:r w:rsidRPr="00712406">
        <w:t>1</w:t>
      </w:r>
      <w:r w:rsidR="00531A19">
        <w:t>5</w:t>
      </w:r>
      <w:r w:rsidRPr="00712406">
        <w:t>. Atleidžiant teisėją iš darbo už nepanaudot</w:t>
      </w:r>
      <w:r w:rsidR="002A05AF">
        <w:t>ą papildomą</w:t>
      </w:r>
      <w:r w:rsidRPr="00712406">
        <w:t xml:space="preserve"> </w:t>
      </w:r>
      <w:r w:rsidR="002A05AF">
        <w:t xml:space="preserve">poilsio laiką </w:t>
      </w:r>
      <w:r w:rsidRPr="00712406">
        <w:t>išmokama piniginė kompensacija. Jeigu teisėjui papildom</w:t>
      </w:r>
      <w:r w:rsidR="00EB3F28">
        <w:t xml:space="preserve">as poilsio laikas </w:t>
      </w:r>
      <w:r w:rsidRPr="00712406">
        <w:t>nebuvo suteikt</w:t>
      </w:r>
      <w:r w:rsidR="00EB3F28">
        <w:t>a</w:t>
      </w:r>
      <w:r w:rsidRPr="00712406">
        <w:t>s daugiau kaip už vienus kalendorinius metus, kompensacija išmokama už vis</w:t>
      </w:r>
      <w:r w:rsidR="00A142A1">
        <w:t>ą</w:t>
      </w:r>
      <w:r w:rsidRPr="00712406">
        <w:t xml:space="preserve"> nepanaudot</w:t>
      </w:r>
      <w:r w:rsidR="00A142A1">
        <w:t>ą</w:t>
      </w:r>
      <w:r w:rsidRPr="00712406">
        <w:t xml:space="preserve"> papildom</w:t>
      </w:r>
      <w:r w:rsidR="00A142A1">
        <w:t>ą</w:t>
      </w:r>
      <w:r w:rsidRPr="00712406">
        <w:t xml:space="preserve"> </w:t>
      </w:r>
      <w:r w:rsidR="00A142A1">
        <w:t>poilsio laiką</w:t>
      </w:r>
      <w:r w:rsidRPr="00712406">
        <w:t>. N</w:t>
      </w:r>
      <w:r w:rsidRPr="00712406">
        <w:rPr>
          <w:lang w:eastAsia="lt-LT"/>
        </w:rPr>
        <w:t xml:space="preserve">e vėliau kaip paskutinę teisėjo darbo dieną išmokamos </w:t>
      </w:r>
      <w:r w:rsidRPr="00712406">
        <w:t xml:space="preserve">piniginės kompensacijos </w:t>
      </w:r>
      <w:r w:rsidRPr="00712406">
        <w:rPr>
          <w:lang w:eastAsia="lt-LT"/>
        </w:rPr>
        <w:t>už nepanaudot</w:t>
      </w:r>
      <w:r w:rsidR="00A142A1">
        <w:rPr>
          <w:lang w:eastAsia="lt-LT"/>
        </w:rPr>
        <w:t>ą</w:t>
      </w:r>
      <w:r w:rsidRPr="00712406">
        <w:rPr>
          <w:lang w:eastAsia="lt-LT"/>
        </w:rPr>
        <w:t xml:space="preserve"> </w:t>
      </w:r>
      <w:r w:rsidRPr="00712406">
        <w:t>papildom</w:t>
      </w:r>
      <w:r w:rsidR="00A142A1">
        <w:t>ą</w:t>
      </w:r>
      <w:r w:rsidRPr="00712406">
        <w:t xml:space="preserve"> </w:t>
      </w:r>
      <w:r w:rsidR="00A142A1">
        <w:t>poilsio laiką</w:t>
      </w:r>
      <w:r w:rsidR="00A142A1">
        <w:rPr>
          <w:lang w:eastAsia="lt-LT"/>
        </w:rPr>
        <w:t xml:space="preserve"> dydis nustatomas nepanaudotą</w:t>
      </w:r>
      <w:r w:rsidRPr="00712406">
        <w:rPr>
          <w:lang w:eastAsia="lt-LT"/>
        </w:rPr>
        <w:t xml:space="preserve"> papildom</w:t>
      </w:r>
      <w:r w:rsidR="00A142A1">
        <w:rPr>
          <w:lang w:eastAsia="lt-LT"/>
        </w:rPr>
        <w:t>ą</w:t>
      </w:r>
      <w:r w:rsidRPr="00712406">
        <w:rPr>
          <w:lang w:eastAsia="lt-LT"/>
        </w:rPr>
        <w:t xml:space="preserve"> </w:t>
      </w:r>
      <w:r w:rsidR="00A142A1">
        <w:rPr>
          <w:lang w:eastAsia="lt-LT"/>
        </w:rPr>
        <w:t>poilsio laiko</w:t>
      </w:r>
      <w:r w:rsidRPr="00712406">
        <w:rPr>
          <w:lang w:eastAsia="lt-LT"/>
        </w:rPr>
        <w:t xml:space="preserve"> sumą padauginus iš teisėjo vidutinio darbo užmokesčio.</w:t>
      </w:r>
    </w:p>
    <w:p w:rsidR="00A0400D" w:rsidRPr="00A86117" w:rsidRDefault="00A0400D" w:rsidP="00A0400D">
      <w:pPr>
        <w:pStyle w:val="BodyText"/>
        <w:tabs>
          <w:tab w:val="left" w:pos="709"/>
          <w:tab w:val="left" w:pos="1418"/>
        </w:tabs>
        <w:spacing w:after="0"/>
        <w:jc w:val="both"/>
        <w:rPr>
          <w:strike/>
        </w:rPr>
      </w:pPr>
    </w:p>
    <w:p w:rsidR="00A0400D" w:rsidRPr="00A86117" w:rsidRDefault="00A0400D" w:rsidP="00A0400D">
      <w:pPr>
        <w:pStyle w:val="BodyText"/>
        <w:tabs>
          <w:tab w:val="left" w:pos="0"/>
          <w:tab w:val="left" w:pos="1080"/>
        </w:tabs>
        <w:spacing w:after="0"/>
        <w:jc w:val="center"/>
        <w:rPr>
          <w:b/>
        </w:rPr>
      </w:pPr>
      <w:r w:rsidRPr="00A86117">
        <w:rPr>
          <w:b/>
        </w:rPr>
        <w:t>IV. BAIGIAMOSIOS NUOSTATOS</w:t>
      </w:r>
    </w:p>
    <w:p w:rsidR="00A0400D" w:rsidRDefault="00A0400D" w:rsidP="00A0400D">
      <w:pPr>
        <w:pStyle w:val="BodyText"/>
        <w:tabs>
          <w:tab w:val="left" w:pos="709"/>
          <w:tab w:val="left" w:pos="1276"/>
        </w:tabs>
        <w:spacing w:after="0"/>
        <w:jc w:val="both"/>
      </w:pPr>
    </w:p>
    <w:p w:rsidR="00A0400D" w:rsidRPr="00A86117" w:rsidRDefault="00A0400D" w:rsidP="00A0400D">
      <w:pPr>
        <w:pStyle w:val="BodyText"/>
        <w:tabs>
          <w:tab w:val="left" w:pos="709"/>
          <w:tab w:val="left" w:pos="1276"/>
        </w:tabs>
        <w:spacing w:after="0"/>
        <w:jc w:val="both"/>
      </w:pPr>
      <w:r>
        <w:tab/>
      </w:r>
      <w:r w:rsidRPr="00712406">
        <w:t>1</w:t>
      </w:r>
      <w:r w:rsidR="00531A19">
        <w:t>6</w:t>
      </w:r>
      <w:r w:rsidRPr="00712406">
        <w:t>.</w:t>
      </w:r>
      <w:r>
        <w:t xml:space="preserve"> </w:t>
      </w:r>
      <w:r w:rsidRPr="00A86117">
        <w:t xml:space="preserve">Už </w:t>
      </w:r>
      <w:r w:rsidR="006A5EE8">
        <w:t xml:space="preserve"> teisingą</w:t>
      </w:r>
      <w:r w:rsidRPr="00A86117">
        <w:t xml:space="preserve"> duomenų apie darbo poilsio ir švenčių dienomis bei budėjimo tikslaus laiko pateikimą atsako teisėjai, o </w:t>
      </w:r>
      <w:r w:rsidR="006B1AA9">
        <w:t xml:space="preserve">teisingą </w:t>
      </w:r>
      <w:r w:rsidRPr="00A86117">
        <w:t>jų apskaitą – teismo pirmininkas.</w:t>
      </w:r>
    </w:p>
    <w:p w:rsidR="00A0400D" w:rsidRPr="00A86117" w:rsidRDefault="00A0400D" w:rsidP="00A0400D">
      <w:pPr>
        <w:pStyle w:val="BodyText"/>
        <w:tabs>
          <w:tab w:val="left" w:pos="0"/>
          <w:tab w:val="left" w:pos="1080"/>
        </w:tabs>
        <w:spacing w:after="0"/>
        <w:jc w:val="center"/>
      </w:pPr>
      <w:r w:rsidRPr="00A86117">
        <w:t>___________________</w:t>
      </w:r>
    </w:p>
    <w:p w:rsidR="00DF7745" w:rsidRDefault="00DF7745" w:rsidP="00DF7745">
      <w:pPr>
        <w:pStyle w:val="BodyText"/>
        <w:tabs>
          <w:tab w:val="left" w:pos="0"/>
          <w:tab w:val="left" w:pos="1080"/>
        </w:tabs>
        <w:spacing w:after="0"/>
        <w:jc w:val="center"/>
      </w:pPr>
    </w:p>
    <w:p w:rsidR="00210AB6" w:rsidRDefault="00210AB6" w:rsidP="00DF7745">
      <w:pPr>
        <w:pStyle w:val="BodyText"/>
        <w:tabs>
          <w:tab w:val="left" w:pos="0"/>
          <w:tab w:val="left" w:pos="1080"/>
        </w:tabs>
        <w:spacing w:after="0"/>
        <w:jc w:val="center"/>
      </w:pPr>
    </w:p>
    <w:p w:rsidR="00210AB6" w:rsidRDefault="00210AB6" w:rsidP="00DF7745">
      <w:pPr>
        <w:pStyle w:val="BodyText"/>
        <w:tabs>
          <w:tab w:val="left" w:pos="0"/>
          <w:tab w:val="left" w:pos="1080"/>
        </w:tabs>
        <w:spacing w:after="0"/>
        <w:jc w:val="center"/>
      </w:pPr>
    </w:p>
    <w:p w:rsidR="00A50CE9" w:rsidRDefault="00A50CE9" w:rsidP="00DF7745">
      <w:pPr>
        <w:pStyle w:val="BodyText"/>
        <w:tabs>
          <w:tab w:val="left" w:pos="0"/>
          <w:tab w:val="left" w:pos="1080"/>
        </w:tabs>
        <w:spacing w:after="0"/>
        <w:jc w:val="center"/>
        <w:sectPr w:rsidR="00A50CE9" w:rsidSect="00DA1E70">
          <w:pgSz w:w="11906" w:h="16838"/>
          <w:pgMar w:top="1134" w:right="567" w:bottom="1134" w:left="1701" w:header="567" w:footer="567" w:gutter="0"/>
          <w:pgNumType w:start="1"/>
          <w:cols w:space="1296"/>
          <w:titlePg/>
          <w:docGrid w:linePitch="360"/>
        </w:sectPr>
      </w:pPr>
    </w:p>
    <w:p w:rsidR="00210AB6" w:rsidRDefault="00210AB6" w:rsidP="00DF7745">
      <w:pPr>
        <w:pStyle w:val="BodyText"/>
        <w:tabs>
          <w:tab w:val="left" w:pos="0"/>
          <w:tab w:val="left" w:pos="1080"/>
        </w:tabs>
        <w:spacing w:after="0"/>
        <w:jc w:val="center"/>
      </w:pPr>
    </w:p>
    <w:p w:rsidR="00210AB6" w:rsidRDefault="00210AB6" w:rsidP="00DF7745">
      <w:pPr>
        <w:pStyle w:val="BodyText"/>
        <w:tabs>
          <w:tab w:val="left" w:pos="0"/>
          <w:tab w:val="left" w:pos="1080"/>
        </w:tabs>
        <w:spacing w:after="0"/>
        <w:jc w:val="center"/>
      </w:pPr>
    </w:p>
    <w:p w:rsidR="00210AB6" w:rsidRPr="00A86117" w:rsidRDefault="00210AB6" w:rsidP="00210AB6">
      <w:pPr>
        <w:ind w:left="10098"/>
        <w:rPr>
          <w:lang w:eastAsia="lt-LT"/>
        </w:rPr>
      </w:pPr>
      <w:r>
        <w:rPr>
          <w:lang w:eastAsia="lt-LT"/>
        </w:rPr>
        <w:t>K</w:t>
      </w:r>
      <w:r w:rsidRPr="001B75D8">
        <w:rPr>
          <w:lang w:eastAsia="lt-LT"/>
        </w:rPr>
        <w:t>ompensavimo teisėjams už darbą poilsio ir švenčių dienomis bei budėjimą tvarkos aprašo priedas</w:t>
      </w:r>
    </w:p>
    <w:p w:rsidR="00210AB6" w:rsidRPr="00A86117" w:rsidRDefault="00210AB6" w:rsidP="00210AB6">
      <w:pPr>
        <w:ind w:left="12240"/>
        <w:rPr>
          <w:lang w:eastAsia="lt-LT"/>
        </w:rPr>
      </w:pPr>
    </w:p>
    <w:p w:rsidR="00210AB6" w:rsidRPr="00A86117" w:rsidRDefault="00210AB6" w:rsidP="00210AB6">
      <w:pPr>
        <w:ind w:left="12240" w:hanging="12240"/>
        <w:jc w:val="center"/>
        <w:rPr>
          <w:b/>
          <w:lang w:eastAsia="lt-LT"/>
        </w:rPr>
      </w:pPr>
      <w:r w:rsidRPr="00A86117">
        <w:rPr>
          <w:b/>
          <w:lang w:eastAsia="lt-LT"/>
        </w:rPr>
        <w:t>(Žurnalo formos pavyzdys)</w:t>
      </w:r>
    </w:p>
    <w:p w:rsidR="00210AB6" w:rsidRPr="00A86117" w:rsidRDefault="00210AB6" w:rsidP="00210AB6">
      <w:pPr>
        <w:ind w:left="12240"/>
        <w:rPr>
          <w:lang w:eastAsia="lt-LT"/>
        </w:rPr>
      </w:pPr>
    </w:p>
    <w:p w:rsidR="00210AB6" w:rsidRPr="00A86117" w:rsidRDefault="00210AB6" w:rsidP="00210AB6">
      <w:pPr>
        <w:jc w:val="center"/>
        <w:rPr>
          <w:b/>
          <w:caps/>
          <w:lang w:eastAsia="lt-LT"/>
        </w:rPr>
      </w:pPr>
      <w:r w:rsidRPr="00A86117">
        <w:rPr>
          <w:b/>
          <w:caps/>
          <w:lang w:eastAsia="lt-LT"/>
        </w:rPr>
        <w:t>teisėjų darbo poilsio ir švenčių dienomis BEI budėjimo apskaitos žurnalas</w:t>
      </w:r>
    </w:p>
    <w:p w:rsidR="00210AB6" w:rsidRPr="00A86117" w:rsidRDefault="00210AB6" w:rsidP="00210AB6">
      <w:pPr>
        <w:ind w:left="12240"/>
        <w:rPr>
          <w:lang w:eastAsia="lt-LT"/>
        </w:rPr>
      </w:pPr>
    </w:p>
    <w:p w:rsidR="00210AB6" w:rsidRPr="00A86117" w:rsidRDefault="00210AB6" w:rsidP="00210AB6">
      <w:pPr>
        <w:jc w:val="center"/>
        <w:rPr>
          <w:lang w:eastAsia="lt-LT"/>
        </w:rPr>
      </w:pPr>
    </w:p>
    <w:p w:rsidR="00210AB6" w:rsidRPr="00A86117" w:rsidRDefault="00210AB6" w:rsidP="00210AB6">
      <w:pPr>
        <w:jc w:val="center"/>
        <w:rPr>
          <w:lang w:eastAsia="lt-LT"/>
        </w:rPr>
      </w:pPr>
    </w:p>
    <w:tbl>
      <w:tblPr>
        <w:tblW w:w="4352" w:type="pct"/>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59"/>
        <w:gridCol w:w="838"/>
        <w:gridCol w:w="1256"/>
        <w:gridCol w:w="1537"/>
        <w:gridCol w:w="2373"/>
        <w:gridCol w:w="1816"/>
        <w:gridCol w:w="2932"/>
      </w:tblGrid>
      <w:tr w:rsidR="00210AB6" w:rsidRPr="00A86117" w:rsidTr="005E245B">
        <w:tc>
          <w:tcPr>
            <w:tcW w:w="5000" w:type="pct"/>
            <w:gridSpan w:val="8"/>
            <w:tcBorders>
              <w:left w:val="single" w:sz="12" w:space="0" w:color="auto"/>
            </w:tcBorders>
            <w:shd w:val="clear" w:color="auto" w:fill="CCCCCC"/>
            <w:vAlign w:val="center"/>
          </w:tcPr>
          <w:p w:rsidR="00210AB6" w:rsidRPr="00A86117" w:rsidRDefault="00210AB6" w:rsidP="005E245B">
            <w:pPr>
              <w:jc w:val="center"/>
              <w:rPr>
                <w:b/>
                <w:sz w:val="20"/>
                <w:szCs w:val="20"/>
                <w:lang w:eastAsia="lt-LT"/>
              </w:rPr>
            </w:pPr>
            <w:r w:rsidRPr="00A86117">
              <w:rPr>
                <w:b/>
                <w:sz w:val="20"/>
                <w:szCs w:val="20"/>
                <w:lang w:eastAsia="lt-LT"/>
              </w:rPr>
              <w:t xml:space="preserve">Pildoma dirbant poilsio ir švenčių </w:t>
            </w:r>
            <w:r w:rsidRPr="0019416B">
              <w:rPr>
                <w:b/>
                <w:sz w:val="20"/>
                <w:szCs w:val="20"/>
                <w:lang w:eastAsia="lt-LT"/>
              </w:rPr>
              <w:t>dienomis</w:t>
            </w:r>
            <w:r w:rsidR="0022021F" w:rsidRPr="0019416B">
              <w:rPr>
                <w:b/>
                <w:sz w:val="20"/>
                <w:szCs w:val="20"/>
                <w:lang w:eastAsia="lt-LT"/>
              </w:rPr>
              <w:t xml:space="preserve"> bei budint</w:t>
            </w:r>
          </w:p>
        </w:tc>
      </w:tr>
      <w:tr w:rsidR="00210AB6" w:rsidRPr="00A86117" w:rsidTr="005E245B">
        <w:trPr>
          <w:trHeight w:val="965"/>
        </w:trPr>
        <w:tc>
          <w:tcPr>
            <w:tcW w:w="198" w:type="pct"/>
            <w:vMerge w:val="restart"/>
            <w:tcBorders>
              <w:left w:val="single" w:sz="12" w:space="0" w:color="auto"/>
            </w:tcBorders>
            <w:vAlign w:val="center"/>
          </w:tcPr>
          <w:p w:rsidR="00210AB6" w:rsidRPr="00A86117" w:rsidRDefault="00210AB6" w:rsidP="005E245B">
            <w:pPr>
              <w:jc w:val="center"/>
              <w:rPr>
                <w:b/>
                <w:sz w:val="18"/>
                <w:szCs w:val="18"/>
                <w:lang w:eastAsia="lt-LT"/>
              </w:rPr>
            </w:pPr>
            <w:r w:rsidRPr="00A86117">
              <w:rPr>
                <w:b/>
                <w:sz w:val="18"/>
                <w:szCs w:val="18"/>
                <w:lang w:eastAsia="lt-LT"/>
              </w:rPr>
              <w:t>Eil. Nr.</w:t>
            </w:r>
          </w:p>
        </w:tc>
        <w:tc>
          <w:tcPr>
            <w:tcW w:w="864" w:type="pct"/>
            <w:vMerge w:val="restart"/>
            <w:vAlign w:val="center"/>
          </w:tcPr>
          <w:p w:rsidR="00210AB6" w:rsidRPr="00A86117" w:rsidRDefault="00210AB6" w:rsidP="005E245B">
            <w:pPr>
              <w:jc w:val="center"/>
              <w:rPr>
                <w:b/>
                <w:sz w:val="18"/>
                <w:szCs w:val="18"/>
                <w:lang w:eastAsia="lt-LT"/>
              </w:rPr>
            </w:pPr>
            <w:r w:rsidRPr="00A86117">
              <w:rPr>
                <w:b/>
                <w:sz w:val="18"/>
                <w:szCs w:val="18"/>
                <w:lang w:eastAsia="lt-LT"/>
              </w:rPr>
              <w:t>Veiksmų, atliktų dirbant poilsio ir švenčių dienomis, aprašymas / budėjimai</w:t>
            </w:r>
          </w:p>
        </w:tc>
        <w:tc>
          <w:tcPr>
            <w:tcW w:w="307" w:type="pct"/>
            <w:vMerge w:val="restart"/>
            <w:shd w:val="clear" w:color="auto" w:fill="auto"/>
            <w:vAlign w:val="center"/>
          </w:tcPr>
          <w:p w:rsidR="00210AB6" w:rsidRPr="00A86117" w:rsidRDefault="00210AB6" w:rsidP="005E245B">
            <w:pPr>
              <w:jc w:val="center"/>
              <w:rPr>
                <w:b/>
                <w:sz w:val="18"/>
                <w:szCs w:val="18"/>
                <w:lang w:eastAsia="lt-LT"/>
              </w:rPr>
            </w:pPr>
            <w:r w:rsidRPr="00A86117">
              <w:rPr>
                <w:b/>
                <w:sz w:val="18"/>
                <w:szCs w:val="18"/>
                <w:lang w:eastAsia="lt-LT"/>
              </w:rPr>
              <w:t>Data</w:t>
            </w:r>
          </w:p>
        </w:tc>
        <w:tc>
          <w:tcPr>
            <w:tcW w:w="1023" w:type="pct"/>
            <w:gridSpan w:val="2"/>
            <w:vMerge w:val="restart"/>
            <w:shd w:val="clear" w:color="auto" w:fill="auto"/>
            <w:vAlign w:val="center"/>
          </w:tcPr>
          <w:p w:rsidR="00210AB6" w:rsidRPr="00A86117" w:rsidRDefault="00210AB6" w:rsidP="005E245B">
            <w:pPr>
              <w:jc w:val="center"/>
              <w:rPr>
                <w:b/>
                <w:sz w:val="18"/>
                <w:szCs w:val="18"/>
                <w:lang w:eastAsia="lt-LT"/>
              </w:rPr>
            </w:pPr>
            <w:r w:rsidRPr="00A86117">
              <w:rPr>
                <w:b/>
                <w:sz w:val="18"/>
                <w:szCs w:val="18"/>
                <w:lang w:eastAsia="lt-LT"/>
              </w:rPr>
              <w:t>Laikas</w:t>
            </w:r>
          </w:p>
        </w:tc>
        <w:tc>
          <w:tcPr>
            <w:tcW w:w="869" w:type="pct"/>
            <w:vMerge w:val="restart"/>
            <w:vAlign w:val="center"/>
          </w:tcPr>
          <w:p w:rsidR="00210AB6" w:rsidRPr="00A86117" w:rsidRDefault="00210AB6" w:rsidP="005E245B">
            <w:pPr>
              <w:jc w:val="center"/>
              <w:rPr>
                <w:b/>
                <w:sz w:val="18"/>
                <w:szCs w:val="18"/>
                <w:lang w:eastAsia="lt-LT"/>
              </w:rPr>
            </w:pPr>
            <w:r w:rsidRPr="00A86117">
              <w:rPr>
                <w:b/>
                <w:sz w:val="18"/>
                <w:szCs w:val="18"/>
                <w:lang w:eastAsia="lt-LT"/>
              </w:rPr>
              <w:t>Teisėjo vardas, pavardė</w:t>
            </w:r>
          </w:p>
        </w:tc>
        <w:tc>
          <w:tcPr>
            <w:tcW w:w="665" w:type="pct"/>
            <w:vMerge w:val="restart"/>
            <w:vAlign w:val="center"/>
          </w:tcPr>
          <w:p w:rsidR="00210AB6" w:rsidRPr="00A86117" w:rsidRDefault="00210AB6" w:rsidP="005E245B">
            <w:pPr>
              <w:jc w:val="center"/>
              <w:rPr>
                <w:b/>
                <w:sz w:val="18"/>
                <w:szCs w:val="18"/>
                <w:lang w:eastAsia="lt-LT"/>
              </w:rPr>
            </w:pPr>
            <w:r w:rsidRPr="00A86117">
              <w:rPr>
                <w:b/>
                <w:sz w:val="18"/>
                <w:szCs w:val="18"/>
                <w:lang w:eastAsia="lt-LT"/>
              </w:rPr>
              <w:t>Parašas</w:t>
            </w:r>
          </w:p>
        </w:tc>
        <w:tc>
          <w:tcPr>
            <w:tcW w:w="1074" w:type="pct"/>
            <w:vMerge w:val="restart"/>
            <w:vAlign w:val="center"/>
          </w:tcPr>
          <w:p w:rsidR="00210AB6" w:rsidRPr="00A86117" w:rsidRDefault="00210AB6" w:rsidP="005E245B">
            <w:pPr>
              <w:jc w:val="center"/>
              <w:rPr>
                <w:b/>
                <w:sz w:val="18"/>
                <w:szCs w:val="18"/>
                <w:lang w:eastAsia="lt-LT"/>
              </w:rPr>
            </w:pPr>
            <w:r w:rsidRPr="00A86117">
              <w:rPr>
                <w:b/>
                <w:sz w:val="18"/>
                <w:szCs w:val="18"/>
                <w:lang w:eastAsia="lt-LT"/>
              </w:rPr>
              <w:t xml:space="preserve">Teismo pirmininko </w:t>
            </w:r>
            <w:r>
              <w:rPr>
                <w:b/>
                <w:sz w:val="18"/>
                <w:szCs w:val="18"/>
                <w:lang w:eastAsia="lt-LT"/>
              </w:rPr>
              <w:t xml:space="preserve">ar jo įgalioto asmens </w:t>
            </w:r>
            <w:r w:rsidRPr="00A86117">
              <w:rPr>
                <w:b/>
                <w:sz w:val="18"/>
                <w:szCs w:val="18"/>
                <w:lang w:eastAsia="lt-LT"/>
              </w:rPr>
              <w:t>rezoliucija</w:t>
            </w:r>
          </w:p>
        </w:tc>
      </w:tr>
      <w:tr w:rsidR="00210AB6" w:rsidRPr="00A86117" w:rsidTr="005E245B">
        <w:trPr>
          <w:trHeight w:val="485"/>
        </w:trPr>
        <w:tc>
          <w:tcPr>
            <w:tcW w:w="198" w:type="pct"/>
            <w:vMerge/>
            <w:tcBorders>
              <w:left w:val="single" w:sz="12" w:space="0" w:color="auto"/>
            </w:tcBorders>
            <w:vAlign w:val="center"/>
          </w:tcPr>
          <w:p w:rsidR="00210AB6" w:rsidRPr="00A86117" w:rsidRDefault="00210AB6" w:rsidP="005E245B">
            <w:pPr>
              <w:jc w:val="center"/>
              <w:rPr>
                <w:sz w:val="18"/>
                <w:szCs w:val="18"/>
                <w:lang w:eastAsia="lt-LT"/>
              </w:rPr>
            </w:pPr>
          </w:p>
        </w:tc>
        <w:tc>
          <w:tcPr>
            <w:tcW w:w="864" w:type="pct"/>
            <w:vMerge/>
            <w:vAlign w:val="center"/>
          </w:tcPr>
          <w:p w:rsidR="00210AB6" w:rsidRPr="00A86117" w:rsidRDefault="00210AB6" w:rsidP="005E245B">
            <w:pPr>
              <w:jc w:val="center"/>
              <w:rPr>
                <w:sz w:val="18"/>
                <w:szCs w:val="18"/>
                <w:lang w:eastAsia="lt-LT"/>
              </w:rPr>
            </w:pPr>
          </w:p>
        </w:tc>
        <w:tc>
          <w:tcPr>
            <w:tcW w:w="307" w:type="pct"/>
            <w:vMerge/>
            <w:shd w:val="clear" w:color="auto" w:fill="auto"/>
            <w:vAlign w:val="center"/>
          </w:tcPr>
          <w:p w:rsidR="00210AB6" w:rsidRPr="00A86117" w:rsidRDefault="00210AB6" w:rsidP="005E245B">
            <w:pPr>
              <w:jc w:val="center"/>
              <w:rPr>
                <w:sz w:val="18"/>
                <w:szCs w:val="18"/>
                <w:lang w:eastAsia="lt-LT"/>
              </w:rPr>
            </w:pPr>
          </w:p>
        </w:tc>
        <w:tc>
          <w:tcPr>
            <w:tcW w:w="1023" w:type="pct"/>
            <w:gridSpan w:val="2"/>
            <w:vMerge/>
            <w:shd w:val="clear" w:color="auto" w:fill="auto"/>
            <w:vAlign w:val="center"/>
          </w:tcPr>
          <w:p w:rsidR="00210AB6" w:rsidRPr="00A86117" w:rsidRDefault="00210AB6" w:rsidP="005E245B">
            <w:pPr>
              <w:jc w:val="center"/>
              <w:rPr>
                <w:sz w:val="18"/>
                <w:szCs w:val="18"/>
                <w:lang w:eastAsia="lt-LT"/>
              </w:rPr>
            </w:pPr>
          </w:p>
        </w:tc>
        <w:tc>
          <w:tcPr>
            <w:tcW w:w="869" w:type="pct"/>
            <w:vMerge/>
            <w:vAlign w:val="center"/>
          </w:tcPr>
          <w:p w:rsidR="00210AB6" w:rsidRPr="00A86117" w:rsidRDefault="00210AB6" w:rsidP="005E245B">
            <w:pPr>
              <w:jc w:val="center"/>
              <w:rPr>
                <w:sz w:val="18"/>
                <w:szCs w:val="18"/>
                <w:lang w:eastAsia="lt-LT"/>
              </w:rPr>
            </w:pPr>
          </w:p>
        </w:tc>
        <w:tc>
          <w:tcPr>
            <w:tcW w:w="665" w:type="pct"/>
            <w:vMerge/>
            <w:vAlign w:val="center"/>
          </w:tcPr>
          <w:p w:rsidR="00210AB6" w:rsidRPr="00A86117" w:rsidRDefault="00210AB6" w:rsidP="005E245B">
            <w:pPr>
              <w:jc w:val="center"/>
              <w:rPr>
                <w:sz w:val="18"/>
                <w:szCs w:val="18"/>
                <w:lang w:eastAsia="lt-LT"/>
              </w:rPr>
            </w:pPr>
          </w:p>
        </w:tc>
        <w:tc>
          <w:tcPr>
            <w:tcW w:w="1074" w:type="pct"/>
            <w:vMerge/>
          </w:tcPr>
          <w:p w:rsidR="00210AB6" w:rsidRPr="00A86117" w:rsidRDefault="00210AB6" w:rsidP="005E245B">
            <w:pPr>
              <w:jc w:val="center"/>
              <w:rPr>
                <w:sz w:val="18"/>
                <w:szCs w:val="18"/>
                <w:lang w:eastAsia="lt-LT"/>
              </w:rPr>
            </w:pPr>
          </w:p>
        </w:tc>
      </w:tr>
      <w:tr w:rsidR="00210AB6" w:rsidRPr="00A86117" w:rsidTr="005E245B">
        <w:trPr>
          <w:trHeight w:val="485"/>
        </w:trPr>
        <w:tc>
          <w:tcPr>
            <w:tcW w:w="198" w:type="pct"/>
            <w:vMerge/>
            <w:tcBorders>
              <w:left w:val="single" w:sz="12" w:space="0" w:color="auto"/>
            </w:tcBorders>
            <w:vAlign w:val="center"/>
          </w:tcPr>
          <w:p w:rsidR="00210AB6" w:rsidRPr="00A86117" w:rsidRDefault="00210AB6" w:rsidP="005E245B">
            <w:pPr>
              <w:jc w:val="center"/>
              <w:rPr>
                <w:sz w:val="18"/>
                <w:szCs w:val="18"/>
                <w:lang w:eastAsia="lt-LT"/>
              </w:rPr>
            </w:pPr>
          </w:p>
        </w:tc>
        <w:tc>
          <w:tcPr>
            <w:tcW w:w="864" w:type="pct"/>
            <w:vMerge/>
            <w:vAlign w:val="center"/>
          </w:tcPr>
          <w:p w:rsidR="00210AB6" w:rsidRPr="00A86117" w:rsidRDefault="00210AB6" w:rsidP="005E245B">
            <w:pPr>
              <w:jc w:val="center"/>
              <w:rPr>
                <w:sz w:val="18"/>
                <w:szCs w:val="18"/>
                <w:lang w:eastAsia="lt-LT"/>
              </w:rPr>
            </w:pPr>
          </w:p>
        </w:tc>
        <w:tc>
          <w:tcPr>
            <w:tcW w:w="307" w:type="pct"/>
            <w:vMerge/>
            <w:shd w:val="clear" w:color="auto" w:fill="auto"/>
            <w:vAlign w:val="center"/>
          </w:tcPr>
          <w:p w:rsidR="00210AB6" w:rsidRPr="00A86117" w:rsidRDefault="00210AB6" w:rsidP="005E245B">
            <w:pPr>
              <w:jc w:val="center"/>
              <w:rPr>
                <w:b/>
                <w:sz w:val="18"/>
                <w:szCs w:val="18"/>
                <w:lang w:eastAsia="lt-LT"/>
              </w:rPr>
            </w:pPr>
          </w:p>
        </w:tc>
        <w:tc>
          <w:tcPr>
            <w:tcW w:w="460" w:type="pct"/>
            <w:shd w:val="clear" w:color="auto" w:fill="auto"/>
            <w:vAlign w:val="center"/>
          </w:tcPr>
          <w:p w:rsidR="00210AB6" w:rsidRPr="00A86117" w:rsidRDefault="00210AB6" w:rsidP="005E245B">
            <w:pPr>
              <w:jc w:val="center"/>
              <w:rPr>
                <w:b/>
                <w:sz w:val="18"/>
                <w:szCs w:val="18"/>
                <w:lang w:eastAsia="lt-LT"/>
              </w:rPr>
            </w:pPr>
            <w:r w:rsidRPr="00A86117">
              <w:rPr>
                <w:b/>
                <w:sz w:val="18"/>
                <w:szCs w:val="18"/>
                <w:lang w:eastAsia="lt-LT"/>
              </w:rPr>
              <w:t>Atvykimas</w:t>
            </w:r>
          </w:p>
        </w:tc>
        <w:tc>
          <w:tcPr>
            <w:tcW w:w="563" w:type="pct"/>
            <w:shd w:val="clear" w:color="auto" w:fill="auto"/>
            <w:vAlign w:val="center"/>
          </w:tcPr>
          <w:p w:rsidR="00210AB6" w:rsidRPr="00A86117" w:rsidRDefault="00210AB6" w:rsidP="005E245B">
            <w:pPr>
              <w:jc w:val="center"/>
              <w:rPr>
                <w:b/>
                <w:sz w:val="18"/>
                <w:szCs w:val="18"/>
                <w:lang w:eastAsia="lt-LT"/>
              </w:rPr>
            </w:pPr>
            <w:r w:rsidRPr="00A86117">
              <w:rPr>
                <w:b/>
                <w:sz w:val="18"/>
                <w:szCs w:val="18"/>
                <w:lang w:eastAsia="lt-LT"/>
              </w:rPr>
              <w:t>Išvykimas</w:t>
            </w:r>
          </w:p>
        </w:tc>
        <w:tc>
          <w:tcPr>
            <w:tcW w:w="869" w:type="pct"/>
            <w:vMerge/>
            <w:vAlign w:val="center"/>
          </w:tcPr>
          <w:p w:rsidR="00210AB6" w:rsidRPr="00A86117" w:rsidRDefault="00210AB6" w:rsidP="005E245B">
            <w:pPr>
              <w:jc w:val="center"/>
              <w:rPr>
                <w:sz w:val="18"/>
                <w:szCs w:val="18"/>
                <w:lang w:eastAsia="lt-LT"/>
              </w:rPr>
            </w:pPr>
          </w:p>
        </w:tc>
        <w:tc>
          <w:tcPr>
            <w:tcW w:w="665" w:type="pct"/>
            <w:vMerge/>
            <w:vAlign w:val="center"/>
          </w:tcPr>
          <w:p w:rsidR="00210AB6" w:rsidRPr="00A86117" w:rsidRDefault="00210AB6" w:rsidP="005E245B">
            <w:pPr>
              <w:jc w:val="center"/>
              <w:rPr>
                <w:sz w:val="18"/>
                <w:szCs w:val="18"/>
                <w:lang w:eastAsia="lt-LT"/>
              </w:rPr>
            </w:pPr>
          </w:p>
        </w:tc>
        <w:tc>
          <w:tcPr>
            <w:tcW w:w="1074" w:type="pct"/>
            <w:vMerge/>
          </w:tcPr>
          <w:p w:rsidR="00210AB6" w:rsidRPr="00A86117" w:rsidRDefault="00210AB6" w:rsidP="005E245B">
            <w:pPr>
              <w:jc w:val="center"/>
              <w:rPr>
                <w:sz w:val="18"/>
                <w:szCs w:val="18"/>
                <w:lang w:eastAsia="lt-LT"/>
              </w:rPr>
            </w:pPr>
          </w:p>
        </w:tc>
      </w:tr>
      <w:tr w:rsidR="00210AB6" w:rsidRPr="00A86117" w:rsidTr="005E245B">
        <w:tc>
          <w:tcPr>
            <w:tcW w:w="198" w:type="pct"/>
            <w:tcBorders>
              <w:left w:val="single" w:sz="12" w:space="0" w:color="auto"/>
            </w:tcBorders>
            <w:vAlign w:val="center"/>
          </w:tcPr>
          <w:p w:rsidR="00210AB6" w:rsidRPr="00A86117" w:rsidRDefault="00210AB6" w:rsidP="005E245B">
            <w:pPr>
              <w:jc w:val="center"/>
              <w:rPr>
                <w:sz w:val="18"/>
                <w:szCs w:val="18"/>
                <w:lang w:eastAsia="lt-LT"/>
              </w:rPr>
            </w:pPr>
            <w:r w:rsidRPr="00A86117">
              <w:rPr>
                <w:sz w:val="18"/>
                <w:szCs w:val="18"/>
                <w:lang w:eastAsia="lt-LT"/>
              </w:rPr>
              <w:t>1.</w:t>
            </w:r>
          </w:p>
        </w:tc>
        <w:tc>
          <w:tcPr>
            <w:tcW w:w="864" w:type="pct"/>
            <w:vAlign w:val="center"/>
          </w:tcPr>
          <w:p w:rsidR="00210AB6" w:rsidRPr="00A86117" w:rsidRDefault="00210AB6" w:rsidP="005E245B">
            <w:pPr>
              <w:jc w:val="center"/>
              <w:rPr>
                <w:sz w:val="18"/>
                <w:szCs w:val="18"/>
                <w:lang w:eastAsia="lt-LT"/>
              </w:rPr>
            </w:pPr>
          </w:p>
        </w:tc>
        <w:tc>
          <w:tcPr>
            <w:tcW w:w="307" w:type="pct"/>
            <w:shd w:val="clear" w:color="auto" w:fill="auto"/>
            <w:vAlign w:val="center"/>
          </w:tcPr>
          <w:p w:rsidR="00210AB6" w:rsidRPr="00A86117" w:rsidRDefault="00210AB6" w:rsidP="005E245B">
            <w:pPr>
              <w:jc w:val="center"/>
              <w:rPr>
                <w:sz w:val="18"/>
                <w:szCs w:val="18"/>
                <w:lang w:eastAsia="lt-LT"/>
              </w:rPr>
            </w:pPr>
          </w:p>
        </w:tc>
        <w:tc>
          <w:tcPr>
            <w:tcW w:w="460" w:type="pct"/>
            <w:shd w:val="clear" w:color="auto" w:fill="auto"/>
            <w:vAlign w:val="center"/>
          </w:tcPr>
          <w:p w:rsidR="00210AB6" w:rsidRPr="00A86117" w:rsidRDefault="00210AB6" w:rsidP="005E245B">
            <w:pPr>
              <w:jc w:val="center"/>
              <w:rPr>
                <w:sz w:val="18"/>
                <w:szCs w:val="18"/>
                <w:lang w:eastAsia="lt-LT"/>
              </w:rPr>
            </w:pPr>
          </w:p>
        </w:tc>
        <w:tc>
          <w:tcPr>
            <w:tcW w:w="563" w:type="pct"/>
            <w:shd w:val="clear" w:color="auto" w:fill="auto"/>
            <w:vAlign w:val="center"/>
          </w:tcPr>
          <w:p w:rsidR="00210AB6" w:rsidRPr="00A86117" w:rsidRDefault="00210AB6" w:rsidP="005E245B">
            <w:pPr>
              <w:jc w:val="center"/>
              <w:rPr>
                <w:sz w:val="18"/>
                <w:szCs w:val="18"/>
                <w:lang w:eastAsia="lt-LT"/>
              </w:rPr>
            </w:pPr>
          </w:p>
        </w:tc>
        <w:tc>
          <w:tcPr>
            <w:tcW w:w="869" w:type="pct"/>
            <w:vAlign w:val="center"/>
          </w:tcPr>
          <w:p w:rsidR="00210AB6" w:rsidRPr="00A86117" w:rsidRDefault="00210AB6" w:rsidP="005E245B">
            <w:pPr>
              <w:jc w:val="center"/>
              <w:rPr>
                <w:sz w:val="18"/>
                <w:szCs w:val="18"/>
                <w:lang w:eastAsia="lt-LT"/>
              </w:rPr>
            </w:pPr>
          </w:p>
        </w:tc>
        <w:tc>
          <w:tcPr>
            <w:tcW w:w="665" w:type="pct"/>
            <w:vAlign w:val="center"/>
          </w:tcPr>
          <w:p w:rsidR="00210AB6" w:rsidRPr="00A86117" w:rsidRDefault="00210AB6" w:rsidP="005E245B">
            <w:pPr>
              <w:jc w:val="center"/>
              <w:rPr>
                <w:sz w:val="18"/>
                <w:szCs w:val="18"/>
                <w:lang w:eastAsia="lt-LT"/>
              </w:rPr>
            </w:pPr>
          </w:p>
        </w:tc>
        <w:tc>
          <w:tcPr>
            <w:tcW w:w="1074" w:type="pct"/>
          </w:tcPr>
          <w:p w:rsidR="00210AB6" w:rsidRPr="00A86117" w:rsidRDefault="00210AB6" w:rsidP="005E245B">
            <w:pPr>
              <w:jc w:val="center"/>
              <w:rPr>
                <w:sz w:val="18"/>
                <w:szCs w:val="18"/>
                <w:lang w:eastAsia="lt-LT"/>
              </w:rPr>
            </w:pPr>
          </w:p>
        </w:tc>
      </w:tr>
    </w:tbl>
    <w:p w:rsidR="00210AB6" w:rsidRPr="00A86117" w:rsidRDefault="00210AB6" w:rsidP="00210AB6">
      <w:pPr>
        <w:jc w:val="center"/>
        <w:rPr>
          <w:lang w:eastAsia="lt-LT"/>
        </w:rPr>
      </w:pPr>
    </w:p>
    <w:p w:rsidR="00210AB6" w:rsidRPr="00676420" w:rsidRDefault="00210AB6" w:rsidP="00210AB6">
      <w:pPr>
        <w:jc w:val="center"/>
        <w:rPr>
          <w:lang w:eastAsia="lt-LT"/>
        </w:rPr>
      </w:pPr>
      <w:r w:rsidRPr="00A86117">
        <w:rPr>
          <w:lang w:eastAsia="lt-LT"/>
        </w:rPr>
        <w:t>_____________</w:t>
      </w:r>
    </w:p>
    <w:sectPr w:rsidR="00210AB6" w:rsidRPr="00676420" w:rsidSect="00123EF1">
      <w:pgSz w:w="16838" w:h="11906" w:orient="landscape"/>
      <w:pgMar w:top="1701" w:right="567" w:bottom="567" w:left="567"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361" w:rsidRDefault="00484361" w:rsidP="00632FA6">
      <w:r>
        <w:separator/>
      </w:r>
    </w:p>
  </w:endnote>
  <w:endnote w:type="continuationSeparator" w:id="0">
    <w:p w:rsidR="00484361" w:rsidRDefault="00484361" w:rsidP="0063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361" w:rsidRDefault="00484361" w:rsidP="00632FA6">
      <w:r>
        <w:separator/>
      </w:r>
    </w:p>
  </w:footnote>
  <w:footnote w:type="continuationSeparator" w:id="0">
    <w:p w:rsidR="00484361" w:rsidRDefault="00484361" w:rsidP="00632F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B0C"/>
    <w:multiLevelType w:val="multilevel"/>
    <w:tmpl w:val="A218F396"/>
    <w:lvl w:ilvl="0">
      <w:start w:val="1"/>
      <w:numFmt w:val="decimal"/>
      <w:lvlText w:val="%1."/>
      <w:lvlJc w:val="left"/>
      <w:pPr>
        <w:tabs>
          <w:tab w:val="num" w:pos="6598"/>
        </w:tabs>
        <w:ind w:left="6598" w:hanging="360"/>
      </w:pPr>
      <w:rPr>
        <w:strike w:val="0"/>
      </w:rPr>
    </w:lvl>
    <w:lvl w:ilvl="1">
      <w:start w:val="1"/>
      <w:numFmt w:val="decimal"/>
      <w:isLgl/>
      <w:lvlText w:val="%1.%2."/>
      <w:lvlJc w:val="left"/>
      <w:pPr>
        <w:ind w:left="6713" w:hanging="420"/>
      </w:pPr>
      <w:rPr>
        <w:rFonts w:hint="default"/>
      </w:rPr>
    </w:lvl>
    <w:lvl w:ilvl="2">
      <w:start w:val="1"/>
      <w:numFmt w:val="decimal"/>
      <w:isLgl/>
      <w:lvlText w:val="%1.%2.%3."/>
      <w:lvlJc w:val="left"/>
      <w:pPr>
        <w:ind w:left="6958" w:hanging="720"/>
      </w:pPr>
      <w:rPr>
        <w:rFonts w:hint="default"/>
      </w:rPr>
    </w:lvl>
    <w:lvl w:ilvl="3">
      <w:start w:val="1"/>
      <w:numFmt w:val="decimal"/>
      <w:isLgl/>
      <w:lvlText w:val="%1.%2.%3.%4."/>
      <w:lvlJc w:val="left"/>
      <w:pPr>
        <w:ind w:left="6958" w:hanging="720"/>
      </w:pPr>
      <w:rPr>
        <w:rFonts w:hint="default"/>
      </w:rPr>
    </w:lvl>
    <w:lvl w:ilvl="4">
      <w:start w:val="1"/>
      <w:numFmt w:val="decimal"/>
      <w:isLgl/>
      <w:lvlText w:val="%1.%2.%3.%4.%5."/>
      <w:lvlJc w:val="left"/>
      <w:pPr>
        <w:ind w:left="7318" w:hanging="1080"/>
      </w:pPr>
      <w:rPr>
        <w:rFonts w:hint="default"/>
      </w:rPr>
    </w:lvl>
    <w:lvl w:ilvl="5">
      <w:start w:val="1"/>
      <w:numFmt w:val="decimal"/>
      <w:isLgl/>
      <w:lvlText w:val="%1.%2.%3.%4.%5.%6."/>
      <w:lvlJc w:val="left"/>
      <w:pPr>
        <w:ind w:left="7318" w:hanging="1080"/>
      </w:pPr>
      <w:rPr>
        <w:rFonts w:hint="default"/>
      </w:rPr>
    </w:lvl>
    <w:lvl w:ilvl="6">
      <w:start w:val="1"/>
      <w:numFmt w:val="decimal"/>
      <w:isLgl/>
      <w:lvlText w:val="%1.%2.%3.%4.%5.%6.%7."/>
      <w:lvlJc w:val="left"/>
      <w:pPr>
        <w:ind w:left="7678" w:hanging="1440"/>
      </w:pPr>
      <w:rPr>
        <w:rFonts w:hint="default"/>
      </w:rPr>
    </w:lvl>
    <w:lvl w:ilvl="7">
      <w:start w:val="1"/>
      <w:numFmt w:val="decimal"/>
      <w:isLgl/>
      <w:lvlText w:val="%1.%2.%3.%4.%5.%6.%7.%8."/>
      <w:lvlJc w:val="left"/>
      <w:pPr>
        <w:ind w:left="7678" w:hanging="1440"/>
      </w:pPr>
      <w:rPr>
        <w:rFonts w:hint="default"/>
      </w:rPr>
    </w:lvl>
    <w:lvl w:ilvl="8">
      <w:start w:val="1"/>
      <w:numFmt w:val="decimal"/>
      <w:isLgl/>
      <w:lvlText w:val="%1.%2.%3.%4.%5.%6.%7.%8.%9."/>
      <w:lvlJc w:val="left"/>
      <w:pPr>
        <w:ind w:left="8038" w:hanging="1800"/>
      </w:pPr>
      <w:rPr>
        <w:rFonts w:hint="default"/>
      </w:rPr>
    </w:lvl>
  </w:abstractNum>
  <w:abstractNum w:abstractNumId="1" w15:restartNumberingAfterBreak="0">
    <w:nsid w:val="2157510E"/>
    <w:multiLevelType w:val="hybridMultilevel"/>
    <w:tmpl w:val="29DC407A"/>
    <w:lvl w:ilvl="0" w:tplc="50505DB8">
      <w:start w:val="1"/>
      <w:numFmt w:val="decimal"/>
      <w:lvlText w:val="%1."/>
      <w:lvlJc w:val="left"/>
      <w:pPr>
        <w:tabs>
          <w:tab w:val="num" w:pos="1920"/>
        </w:tabs>
        <w:ind w:left="1920" w:hanging="360"/>
      </w:pPr>
      <w:rPr>
        <w:strike w:val="0"/>
      </w:rPr>
    </w:lvl>
    <w:lvl w:ilvl="1" w:tplc="6030AA3C">
      <w:numFmt w:val="none"/>
      <w:lvlText w:val=""/>
      <w:lvlJc w:val="left"/>
      <w:pPr>
        <w:tabs>
          <w:tab w:val="num" w:pos="360"/>
        </w:tabs>
      </w:pPr>
    </w:lvl>
    <w:lvl w:ilvl="2" w:tplc="2CBEEEA6">
      <w:numFmt w:val="none"/>
      <w:lvlText w:val=""/>
      <w:lvlJc w:val="left"/>
      <w:pPr>
        <w:tabs>
          <w:tab w:val="num" w:pos="360"/>
        </w:tabs>
      </w:pPr>
    </w:lvl>
    <w:lvl w:ilvl="3" w:tplc="EAE4D2EA">
      <w:numFmt w:val="none"/>
      <w:lvlText w:val=""/>
      <w:lvlJc w:val="left"/>
      <w:pPr>
        <w:tabs>
          <w:tab w:val="num" w:pos="360"/>
        </w:tabs>
      </w:pPr>
    </w:lvl>
    <w:lvl w:ilvl="4" w:tplc="F3663818">
      <w:numFmt w:val="none"/>
      <w:lvlText w:val=""/>
      <w:lvlJc w:val="left"/>
      <w:pPr>
        <w:tabs>
          <w:tab w:val="num" w:pos="360"/>
        </w:tabs>
      </w:pPr>
    </w:lvl>
    <w:lvl w:ilvl="5" w:tplc="3E0A7922">
      <w:numFmt w:val="none"/>
      <w:lvlText w:val=""/>
      <w:lvlJc w:val="left"/>
      <w:pPr>
        <w:tabs>
          <w:tab w:val="num" w:pos="360"/>
        </w:tabs>
      </w:pPr>
    </w:lvl>
    <w:lvl w:ilvl="6" w:tplc="95CE98C0">
      <w:numFmt w:val="none"/>
      <w:lvlText w:val=""/>
      <w:lvlJc w:val="left"/>
      <w:pPr>
        <w:tabs>
          <w:tab w:val="num" w:pos="360"/>
        </w:tabs>
      </w:pPr>
    </w:lvl>
    <w:lvl w:ilvl="7" w:tplc="7AB00ED4">
      <w:numFmt w:val="none"/>
      <w:lvlText w:val=""/>
      <w:lvlJc w:val="left"/>
      <w:pPr>
        <w:tabs>
          <w:tab w:val="num" w:pos="360"/>
        </w:tabs>
      </w:pPr>
    </w:lvl>
    <w:lvl w:ilvl="8" w:tplc="1BEA36F6">
      <w:numFmt w:val="none"/>
      <w:lvlText w:val=""/>
      <w:lvlJc w:val="left"/>
      <w:pPr>
        <w:tabs>
          <w:tab w:val="num" w:pos="360"/>
        </w:tabs>
      </w:pPr>
    </w:lvl>
  </w:abstractNum>
  <w:abstractNum w:abstractNumId="2" w15:restartNumberingAfterBreak="0">
    <w:nsid w:val="40537091"/>
    <w:multiLevelType w:val="hybridMultilevel"/>
    <w:tmpl w:val="29DC407A"/>
    <w:lvl w:ilvl="0" w:tplc="50505DB8">
      <w:start w:val="1"/>
      <w:numFmt w:val="decimal"/>
      <w:lvlText w:val="%1."/>
      <w:lvlJc w:val="left"/>
      <w:pPr>
        <w:tabs>
          <w:tab w:val="num" w:pos="1920"/>
        </w:tabs>
        <w:ind w:left="1920" w:hanging="360"/>
      </w:pPr>
      <w:rPr>
        <w:strike w:val="0"/>
      </w:rPr>
    </w:lvl>
    <w:lvl w:ilvl="1" w:tplc="6030AA3C">
      <w:numFmt w:val="none"/>
      <w:lvlText w:val=""/>
      <w:lvlJc w:val="left"/>
      <w:pPr>
        <w:tabs>
          <w:tab w:val="num" w:pos="360"/>
        </w:tabs>
      </w:pPr>
    </w:lvl>
    <w:lvl w:ilvl="2" w:tplc="2CBEEEA6">
      <w:numFmt w:val="none"/>
      <w:lvlText w:val=""/>
      <w:lvlJc w:val="left"/>
      <w:pPr>
        <w:tabs>
          <w:tab w:val="num" w:pos="360"/>
        </w:tabs>
      </w:pPr>
    </w:lvl>
    <w:lvl w:ilvl="3" w:tplc="EAE4D2EA">
      <w:numFmt w:val="none"/>
      <w:lvlText w:val=""/>
      <w:lvlJc w:val="left"/>
      <w:pPr>
        <w:tabs>
          <w:tab w:val="num" w:pos="360"/>
        </w:tabs>
      </w:pPr>
    </w:lvl>
    <w:lvl w:ilvl="4" w:tplc="F3663818">
      <w:numFmt w:val="none"/>
      <w:lvlText w:val=""/>
      <w:lvlJc w:val="left"/>
      <w:pPr>
        <w:tabs>
          <w:tab w:val="num" w:pos="360"/>
        </w:tabs>
      </w:pPr>
    </w:lvl>
    <w:lvl w:ilvl="5" w:tplc="3E0A7922">
      <w:numFmt w:val="none"/>
      <w:lvlText w:val=""/>
      <w:lvlJc w:val="left"/>
      <w:pPr>
        <w:tabs>
          <w:tab w:val="num" w:pos="360"/>
        </w:tabs>
      </w:pPr>
    </w:lvl>
    <w:lvl w:ilvl="6" w:tplc="95CE98C0">
      <w:numFmt w:val="none"/>
      <w:lvlText w:val=""/>
      <w:lvlJc w:val="left"/>
      <w:pPr>
        <w:tabs>
          <w:tab w:val="num" w:pos="360"/>
        </w:tabs>
      </w:pPr>
    </w:lvl>
    <w:lvl w:ilvl="7" w:tplc="7AB00ED4">
      <w:numFmt w:val="none"/>
      <w:lvlText w:val=""/>
      <w:lvlJc w:val="left"/>
      <w:pPr>
        <w:tabs>
          <w:tab w:val="num" w:pos="360"/>
        </w:tabs>
      </w:pPr>
    </w:lvl>
    <w:lvl w:ilvl="8" w:tplc="1BEA36F6">
      <w:numFmt w:val="none"/>
      <w:lvlText w:val=""/>
      <w:lvlJc w:val="left"/>
      <w:pPr>
        <w:tabs>
          <w:tab w:val="num" w:pos="360"/>
        </w:tabs>
      </w:pPr>
    </w:lvl>
  </w:abstractNum>
  <w:abstractNum w:abstractNumId="3" w15:restartNumberingAfterBreak="0">
    <w:nsid w:val="72CD6C79"/>
    <w:multiLevelType w:val="hybridMultilevel"/>
    <w:tmpl w:val="98E631CA"/>
    <w:lvl w:ilvl="0" w:tplc="42C62FE4">
      <w:start w:val="1"/>
      <w:numFmt w:val="decimal"/>
      <w:lvlText w:val="%1."/>
      <w:lvlJc w:val="left"/>
      <w:pPr>
        <w:tabs>
          <w:tab w:val="num" w:pos="1920"/>
        </w:tabs>
        <w:ind w:left="1920" w:hanging="360"/>
      </w:pPr>
      <w:rPr>
        <w:rFonts w:hint="default"/>
        <w:strike w:val="0"/>
      </w:rPr>
    </w:lvl>
    <w:lvl w:ilvl="1" w:tplc="6030AA3C">
      <w:numFmt w:val="none"/>
      <w:lvlText w:val=""/>
      <w:lvlJc w:val="left"/>
      <w:pPr>
        <w:tabs>
          <w:tab w:val="num" w:pos="360"/>
        </w:tabs>
      </w:pPr>
    </w:lvl>
    <w:lvl w:ilvl="2" w:tplc="2CBEEEA6">
      <w:numFmt w:val="none"/>
      <w:lvlText w:val=""/>
      <w:lvlJc w:val="left"/>
      <w:pPr>
        <w:tabs>
          <w:tab w:val="num" w:pos="360"/>
        </w:tabs>
      </w:pPr>
    </w:lvl>
    <w:lvl w:ilvl="3" w:tplc="EAE4D2EA">
      <w:numFmt w:val="none"/>
      <w:lvlText w:val=""/>
      <w:lvlJc w:val="left"/>
      <w:pPr>
        <w:tabs>
          <w:tab w:val="num" w:pos="360"/>
        </w:tabs>
      </w:pPr>
    </w:lvl>
    <w:lvl w:ilvl="4" w:tplc="F3663818">
      <w:numFmt w:val="none"/>
      <w:lvlText w:val=""/>
      <w:lvlJc w:val="left"/>
      <w:pPr>
        <w:tabs>
          <w:tab w:val="num" w:pos="360"/>
        </w:tabs>
      </w:pPr>
    </w:lvl>
    <w:lvl w:ilvl="5" w:tplc="3E0A7922">
      <w:numFmt w:val="none"/>
      <w:lvlText w:val=""/>
      <w:lvlJc w:val="left"/>
      <w:pPr>
        <w:tabs>
          <w:tab w:val="num" w:pos="360"/>
        </w:tabs>
      </w:pPr>
    </w:lvl>
    <w:lvl w:ilvl="6" w:tplc="95CE98C0">
      <w:numFmt w:val="none"/>
      <w:lvlText w:val=""/>
      <w:lvlJc w:val="left"/>
      <w:pPr>
        <w:tabs>
          <w:tab w:val="num" w:pos="360"/>
        </w:tabs>
      </w:pPr>
    </w:lvl>
    <w:lvl w:ilvl="7" w:tplc="7AB00ED4">
      <w:numFmt w:val="none"/>
      <w:lvlText w:val=""/>
      <w:lvlJc w:val="left"/>
      <w:pPr>
        <w:tabs>
          <w:tab w:val="num" w:pos="360"/>
        </w:tabs>
      </w:pPr>
    </w:lvl>
    <w:lvl w:ilvl="8" w:tplc="1BEA36F6">
      <w:numFmt w:val="none"/>
      <w:lvlText w:val=""/>
      <w:lvlJc w:val="left"/>
      <w:pPr>
        <w:tabs>
          <w:tab w:val="num" w:pos="360"/>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45"/>
    <w:rsid w:val="00027EAD"/>
    <w:rsid w:val="00086E1A"/>
    <w:rsid w:val="000D212A"/>
    <w:rsid w:val="000F759E"/>
    <w:rsid w:val="00123EF1"/>
    <w:rsid w:val="00124233"/>
    <w:rsid w:val="00135F71"/>
    <w:rsid w:val="0015150E"/>
    <w:rsid w:val="0015204A"/>
    <w:rsid w:val="00160C9B"/>
    <w:rsid w:val="00163F89"/>
    <w:rsid w:val="0019416B"/>
    <w:rsid w:val="001955C2"/>
    <w:rsid w:val="001B75D8"/>
    <w:rsid w:val="001C0215"/>
    <w:rsid w:val="001D78B4"/>
    <w:rsid w:val="00210AB6"/>
    <w:rsid w:val="0022021F"/>
    <w:rsid w:val="002215CA"/>
    <w:rsid w:val="00226D07"/>
    <w:rsid w:val="00230FBD"/>
    <w:rsid w:val="0026676D"/>
    <w:rsid w:val="002772C3"/>
    <w:rsid w:val="002A05AF"/>
    <w:rsid w:val="002C6866"/>
    <w:rsid w:val="002E6A66"/>
    <w:rsid w:val="002F144B"/>
    <w:rsid w:val="002F555B"/>
    <w:rsid w:val="00330499"/>
    <w:rsid w:val="00344217"/>
    <w:rsid w:val="00352A25"/>
    <w:rsid w:val="00357D70"/>
    <w:rsid w:val="003812B3"/>
    <w:rsid w:val="003E5714"/>
    <w:rsid w:val="003E603C"/>
    <w:rsid w:val="003E7A79"/>
    <w:rsid w:val="004079D9"/>
    <w:rsid w:val="00426A0C"/>
    <w:rsid w:val="00427F72"/>
    <w:rsid w:val="004460B4"/>
    <w:rsid w:val="00484361"/>
    <w:rsid w:val="004B18E8"/>
    <w:rsid w:val="004B5685"/>
    <w:rsid w:val="004D4800"/>
    <w:rsid w:val="004E5846"/>
    <w:rsid w:val="004F3A9E"/>
    <w:rsid w:val="00504773"/>
    <w:rsid w:val="005054DC"/>
    <w:rsid w:val="00513E1F"/>
    <w:rsid w:val="00523DFD"/>
    <w:rsid w:val="00531A19"/>
    <w:rsid w:val="00553B51"/>
    <w:rsid w:val="005578C7"/>
    <w:rsid w:val="00561A37"/>
    <w:rsid w:val="00563362"/>
    <w:rsid w:val="005805FB"/>
    <w:rsid w:val="005A232A"/>
    <w:rsid w:val="005D2D2D"/>
    <w:rsid w:val="005E245B"/>
    <w:rsid w:val="005F4262"/>
    <w:rsid w:val="00632FA6"/>
    <w:rsid w:val="0064019A"/>
    <w:rsid w:val="006426FD"/>
    <w:rsid w:val="006512D0"/>
    <w:rsid w:val="006903A2"/>
    <w:rsid w:val="00697EDA"/>
    <w:rsid w:val="006A5EE8"/>
    <w:rsid w:val="006B1AA9"/>
    <w:rsid w:val="006B6624"/>
    <w:rsid w:val="006D067F"/>
    <w:rsid w:val="006D3BF6"/>
    <w:rsid w:val="006F6C9F"/>
    <w:rsid w:val="00703347"/>
    <w:rsid w:val="0070739C"/>
    <w:rsid w:val="007465CA"/>
    <w:rsid w:val="0075407E"/>
    <w:rsid w:val="00781BFE"/>
    <w:rsid w:val="00787332"/>
    <w:rsid w:val="007A4C95"/>
    <w:rsid w:val="007B5454"/>
    <w:rsid w:val="007C75B2"/>
    <w:rsid w:val="007D596B"/>
    <w:rsid w:val="007E69B2"/>
    <w:rsid w:val="00822F5E"/>
    <w:rsid w:val="00850E3C"/>
    <w:rsid w:val="008561CD"/>
    <w:rsid w:val="00873859"/>
    <w:rsid w:val="008C418B"/>
    <w:rsid w:val="00904EED"/>
    <w:rsid w:val="00917544"/>
    <w:rsid w:val="0098427B"/>
    <w:rsid w:val="009E12A1"/>
    <w:rsid w:val="009F40F5"/>
    <w:rsid w:val="00A0400D"/>
    <w:rsid w:val="00A142A1"/>
    <w:rsid w:val="00A50515"/>
    <w:rsid w:val="00A50CE9"/>
    <w:rsid w:val="00A53B6C"/>
    <w:rsid w:val="00A54336"/>
    <w:rsid w:val="00A70421"/>
    <w:rsid w:val="00A80F65"/>
    <w:rsid w:val="00AA0C34"/>
    <w:rsid w:val="00AB087F"/>
    <w:rsid w:val="00AB1CBC"/>
    <w:rsid w:val="00AE7FD1"/>
    <w:rsid w:val="00AF7BDA"/>
    <w:rsid w:val="00B06AB7"/>
    <w:rsid w:val="00B16D9D"/>
    <w:rsid w:val="00B32A37"/>
    <w:rsid w:val="00B3392C"/>
    <w:rsid w:val="00B50087"/>
    <w:rsid w:val="00B76357"/>
    <w:rsid w:val="00BA2365"/>
    <w:rsid w:val="00BB4B46"/>
    <w:rsid w:val="00BB61EE"/>
    <w:rsid w:val="00BC3972"/>
    <w:rsid w:val="00BD0EEC"/>
    <w:rsid w:val="00BD2A74"/>
    <w:rsid w:val="00BD657D"/>
    <w:rsid w:val="00BD6A4C"/>
    <w:rsid w:val="00BF152B"/>
    <w:rsid w:val="00C008BF"/>
    <w:rsid w:val="00C156BB"/>
    <w:rsid w:val="00C61457"/>
    <w:rsid w:val="00C70290"/>
    <w:rsid w:val="00C85199"/>
    <w:rsid w:val="00C87FBB"/>
    <w:rsid w:val="00C9758A"/>
    <w:rsid w:val="00CA362A"/>
    <w:rsid w:val="00CC6440"/>
    <w:rsid w:val="00CF14AE"/>
    <w:rsid w:val="00D24B4D"/>
    <w:rsid w:val="00D40F6C"/>
    <w:rsid w:val="00D87346"/>
    <w:rsid w:val="00DA1E70"/>
    <w:rsid w:val="00DC1D6C"/>
    <w:rsid w:val="00DF7745"/>
    <w:rsid w:val="00E128E0"/>
    <w:rsid w:val="00E12F4B"/>
    <w:rsid w:val="00E30C86"/>
    <w:rsid w:val="00E332EA"/>
    <w:rsid w:val="00E368DF"/>
    <w:rsid w:val="00E64086"/>
    <w:rsid w:val="00E6543C"/>
    <w:rsid w:val="00E86A78"/>
    <w:rsid w:val="00EA77D3"/>
    <w:rsid w:val="00EB0B7A"/>
    <w:rsid w:val="00EB3F28"/>
    <w:rsid w:val="00ED2CA9"/>
    <w:rsid w:val="00EE27E1"/>
    <w:rsid w:val="00EE5A79"/>
    <w:rsid w:val="00EF6EDB"/>
    <w:rsid w:val="00F25A05"/>
    <w:rsid w:val="00F42D21"/>
    <w:rsid w:val="00F42D76"/>
    <w:rsid w:val="00F571F1"/>
    <w:rsid w:val="00F75AB1"/>
    <w:rsid w:val="00F836A0"/>
    <w:rsid w:val="00FA5D36"/>
    <w:rsid w:val="00FB038B"/>
    <w:rsid w:val="00FE616B"/>
    <w:rsid w:val="00FF3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9AFE"/>
  <w15:docId w15:val="{2D6B708E-CA02-40DB-B02C-D6B1426D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745"/>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DF7745"/>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7745"/>
    <w:pPr>
      <w:tabs>
        <w:tab w:val="center" w:pos="4153"/>
        <w:tab w:val="right" w:pos="8306"/>
      </w:tabs>
    </w:pPr>
  </w:style>
  <w:style w:type="character" w:customStyle="1" w:styleId="HeaderChar">
    <w:name w:val="Header Char"/>
    <w:link w:val="Header"/>
    <w:uiPriority w:val="99"/>
    <w:rsid w:val="00DF7745"/>
    <w:rPr>
      <w:rFonts w:ascii="Times New Roman" w:eastAsia="Times New Roman" w:hAnsi="Times New Roman" w:cs="Times New Roman"/>
      <w:sz w:val="24"/>
      <w:szCs w:val="24"/>
    </w:rPr>
  </w:style>
  <w:style w:type="paragraph" w:styleId="Title">
    <w:name w:val="Title"/>
    <w:basedOn w:val="Heading1"/>
    <w:link w:val="TitleChar"/>
    <w:qFormat/>
    <w:rsid w:val="00DF7745"/>
    <w:pPr>
      <w:keepLines w:val="0"/>
      <w:spacing w:before="0"/>
      <w:ind w:left="1134" w:right="1134"/>
      <w:jc w:val="center"/>
    </w:pPr>
    <w:rPr>
      <w:rFonts w:ascii="Times New Roman" w:hAnsi="Times New Roman"/>
      <w:caps/>
      <w:color w:val="auto"/>
      <w:sz w:val="26"/>
      <w:szCs w:val="24"/>
    </w:rPr>
  </w:style>
  <w:style w:type="character" w:customStyle="1" w:styleId="TitleChar">
    <w:name w:val="Title Char"/>
    <w:link w:val="Title"/>
    <w:rsid w:val="00DF7745"/>
    <w:rPr>
      <w:rFonts w:ascii="Times New Roman" w:eastAsia="Times New Roman" w:hAnsi="Times New Roman" w:cs="Times New Roman"/>
      <w:b/>
      <w:bCs/>
      <w:caps/>
      <w:sz w:val="26"/>
      <w:szCs w:val="24"/>
    </w:rPr>
  </w:style>
  <w:style w:type="paragraph" w:styleId="Date">
    <w:name w:val="Date"/>
    <w:basedOn w:val="Header"/>
    <w:link w:val="DateChar"/>
    <w:rsid w:val="00DF7745"/>
    <w:pPr>
      <w:tabs>
        <w:tab w:val="clear" w:pos="4153"/>
        <w:tab w:val="clear" w:pos="8306"/>
      </w:tabs>
      <w:jc w:val="center"/>
    </w:pPr>
  </w:style>
  <w:style w:type="character" w:customStyle="1" w:styleId="DateChar">
    <w:name w:val="Date Char"/>
    <w:link w:val="Date"/>
    <w:rsid w:val="00DF7745"/>
    <w:rPr>
      <w:rFonts w:ascii="Times New Roman" w:eastAsia="Times New Roman" w:hAnsi="Times New Roman" w:cs="Times New Roman"/>
      <w:sz w:val="24"/>
      <w:szCs w:val="24"/>
    </w:rPr>
  </w:style>
  <w:style w:type="paragraph" w:styleId="BodyText">
    <w:name w:val="Body Text"/>
    <w:basedOn w:val="Normal"/>
    <w:link w:val="BodyTextChar"/>
    <w:rsid w:val="00DF7745"/>
    <w:pPr>
      <w:spacing w:after="120"/>
    </w:pPr>
  </w:style>
  <w:style w:type="character" w:customStyle="1" w:styleId="BodyTextChar">
    <w:name w:val="Body Text Char"/>
    <w:link w:val="BodyText"/>
    <w:rsid w:val="00DF7745"/>
    <w:rPr>
      <w:rFonts w:ascii="Times New Roman" w:eastAsia="Times New Roman" w:hAnsi="Times New Roman" w:cs="Times New Roman"/>
      <w:sz w:val="24"/>
      <w:szCs w:val="24"/>
    </w:rPr>
  </w:style>
  <w:style w:type="character" w:customStyle="1" w:styleId="Heading1Char">
    <w:name w:val="Heading 1 Char"/>
    <w:link w:val="Heading1"/>
    <w:uiPriority w:val="9"/>
    <w:rsid w:val="00DF774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EF6EDB"/>
    <w:rPr>
      <w:rFonts w:ascii="Tahoma" w:hAnsi="Tahoma"/>
      <w:sz w:val="16"/>
      <w:szCs w:val="16"/>
    </w:rPr>
  </w:style>
  <w:style w:type="character" w:customStyle="1" w:styleId="BalloonTextChar">
    <w:name w:val="Balloon Text Char"/>
    <w:link w:val="BalloonText"/>
    <w:uiPriority w:val="99"/>
    <w:semiHidden/>
    <w:rsid w:val="00EF6EDB"/>
    <w:rPr>
      <w:rFonts w:ascii="Tahoma" w:eastAsia="Times New Roman" w:hAnsi="Tahoma" w:cs="Tahoma"/>
      <w:sz w:val="16"/>
      <w:szCs w:val="16"/>
    </w:rPr>
  </w:style>
  <w:style w:type="character" w:customStyle="1" w:styleId="apple-converted-space">
    <w:name w:val="apple-converted-space"/>
    <w:basedOn w:val="DefaultParagraphFont"/>
    <w:rsid w:val="00BF152B"/>
  </w:style>
  <w:style w:type="character" w:styleId="Hyperlink">
    <w:name w:val="Hyperlink"/>
    <w:uiPriority w:val="99"/>
    <w:semiHidden/>
    <w:unhideWhenUsed/>
    <w:rsid w:val="00BF152B"/>
    <w:rPr>
      <w:color w:val="0000FF"/>
      <w:u w:val="single"/>
    </w:rPr>
  </w:style>
  <w:style w:type="paragraph" w:customStyle="1" w:styleId="CharChar1DiagramaDiagramaCharCharDiagramaDiagramaCharChar">
    <w:name w:val="Char Char1 Diagrama Diagrama Char Char Diagrama Diagrama Char Char"/>
    <w:basedOn w:val="Normal"/>
    <w:next w:val="Normal"/>
    <w:rsid w:val="00FB038B"/>
    <w:pPr>
      <w:spacing w:before="120" w:after="120"/>
      <w:jc w:val="center"/>
    </w:pPr>
    <w:rPr>
      <w:b/>
      <w:bCs/>
      <w:snapToGrid w:val="0"/>
      <w:u w:val="single"/>
      <w:lang w:eastAsia="en-GB"/>
    </w:rPr>
  </w:style>
  <w:style w:type="character" w:styleId="CommentReference">
    <w:name w:val="annotation reference"/>
    <w:uiPriority w:val="99"/>
    <w:semiHidden/>
    <w:unhideWhenUsed/>
    <w:rsid w:val="00CF14AE"/>
    <w:rPr>
      <w:sz w:val="16"/>
      <w:szCs w:val="16"/>
    </w:rPr>
  </w:style>
  <w:style w:type="paragraph" w:styleId="CommentText">
    <w:name w:val="annotation text"/>
    <w:basedOn w:val="Normal"/>
    <w:link w:val="CommentTextChar"/>
    <w:uiPriority w:val="99"/>
    <w:semiHidden/>
    <w:unhideWhenUsed/>
    <w:rsid w:val="00CF14AE"/>
    <w:rPr>
      <w:sz w:val="20"/>
      <w:szCs w:val="20"/>
    </w:rPr>
  </w:style>
  <w:style w:type="character" w:customStyle="1" w:styleId="CommentTextChar">
    <w:name w:val="Comment Text Char"/>
    <w:link w:val="CommentText"/>
    <w:uiPriority w:val="99"/>
    <w:semiHidden/>
    <w:rsid w:val="00CF14A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F14AE"/>
    <w:rPr>
      <w:b/>
      <w:bCs/>
    </w:rPr>
  </w:style>
  <w:style w:type="character" w:customStyle="1" w:styleId="CommentSubjectChar">
    <w:name w:val="Comment Subject Char"/>
    <w:link w:val="CommentSubject"/>
    <w:uiPriority w:val="99"/>
    <w:semiHidden/>
    <w:rsid w:val="00CF14AE"/>
    <w:rPr>
      <w:rFonts w:ascii="Times New Roman" w:eastAsia="Times New Roman" w:hAnsi="Times New Roman"/>
      <w:b/>
      <w:bCs/>
      <w:lang w:eastAsia="en-US"/>
    </w:rPr>
  </w:style>
  <w:style w:type="paragraph" w:styleId="Footer">
    <w:name w:val="footer"/>
    <w:basedOn w:val="Normal"/>
    <w:link w:val="FooterChar"/>
    <w:uiPriority w:val="99"/>
    <w:semiHidden/>
    <w:unhideWhenUsed/>
    <w:rsid w:val="00822F5E"/>
    <w:pPr>
      <w:tabs>
        <w:tab w:val="center" w:pos="4819"/>
        <w:tab w:val="right" w:pos="9638"/>
      </w:tabs>
    </w:pPr>
  </w:style>
  <w:style w:type="character" w:customStyle="1" w:styleId="FooterChar">
    <w:name w:val="Footer Char"/>
    <w:link w:val="Footer"/>
    <w:uiPriority w:val="99"/>
    <w:semiHidden/>
    <w:rsid w:val="00822F5E"/>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BAE21-7219-4417-93CC-6C3B483F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5733</Words>
  <Characters>3268</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Alina Dokutovičienė</cp:lastModifiedBy>
  <cp:revision>3</cp:revision>
  <cp:lastPrinted>2018-01-23T07:57:00Z</cp:lastPrinted>
  <dcterms:created xsi:type="dcterms:W3CDTF">2018-04-30T06:17:00Z</dcterms:created>
  <dcterms:modified xsi:type="dcterms:W3CDTF">2018-04-30T06:22:00Z</dcterms:modified>
</cp:coreProperties>
</file>