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4BB" w:rsidRPr="0088761E" w:rsidRDefault="003434BB" w:rsidP="003434BB">
      <w:pPr>
        <w:tabs>
          <w:tab w:val="center" w:pos="7001"/>
          <w:tab w:val="left" w:pos="8175"/>
          <w:tab w:val="left" w:pos="10800"/>
        </w:tabs>
        <w:jc w:val="center"/>
        <w:rPr>
          <w:b/>
          <w:color w:val="000000"/>
        </w:rPr>
      </w:pPr>
      <w:r w:rsidRPr="0088761E">
        <w:rPr>
          <w:b/>
          <w:color w:val="000000"/>
        </w:rPr>
        <w:t xml:space="preserve">TEISĖJŲ BENDRŲJŲ GEBĖJIMŲ MOKYMO PROGRAMA </w:t>
      </w:r>
    </w:p>
    <w:p w:rsidR="00D562DC" w:rsidRPr="0088761E" w:rsidRDefault="00D562DC" w:rsidP="00D562DC">
      <w:pPr>
        <w:jc w:val="center"/>
        <w:rPr>
          <w:b/>
          <w:color w:val="000000"/>
        </w:rPr>
      </w:pPr>
      <w:r w:rsidRPr="0088761E">
        <w:rPr>
          <w:b/>
          <w:color w:val="000000"/>
        </w:rPr>
        <w:t>„</w:t>
      </w:r>
      <w:r w:rsidR="002259D4">
        <w:rPr>
          <w:b/>
          <w:color w:val="000000"/>
        </w:rPr>
        <w:t>DARBO KULTŪRA IR ĮVAIZDIS TEISĖJO DARBE</w:t>
      </w:r>
      <w:r w:rsidRPr="0088761E">
        <w:rPr>
          <w:b/>
          <w:color w:val="000000"/>
        </w:rPr>
        <w:t>“</w:t>
      </w:r>
    </w:p>
    <w:p w:rsidR="00101F13" w:rsidRPr="00535F3C" w:rsidRDefault="00070FD5" w:rsidP="00070FD5">
      <w:pPr>
        <w:pStyle w:val="western"/>
        <w:spacing w:before="0" w:beforeAutospacing="0" w:after="0" w:afterAutospacing="0"/>
      </w:pPr>
      <w:r w:rsidRPr="0033192F">
        <w:rPr>
          <w:bCs/>
        </w:rPr>
        <w:t xml:space="preserve"> </w:t>
      </w:r>
      <w:r w:rsidR="00101F13" w:rsidRPr="0033192F">
        <w:rPr>
          <w:bCs/>
        </w:rPr>
        <w:t xml:space="preserve">(seminaro kodas – </w:t>
      </w:r>
      <w:r w:rsidR="00CC3CD0">
        <w:rPr>
          <w:bCs/>
        </w:rPr>
        <w:t>BG-</w:t>
      </w:r>
      <w:r w:rsidR="002259D4">
        <w:rPr>
          <w:bCs/>
        </w:rPr>
        <w:t>4</w:t>
      </w:r>
      <w:r w:rsidR="00261009">
        <w:rPr>
          <w:bCs/>
        </w:rPr>
        <w:t>/</w:t>
      </w:r>
      <w:r w:rsidR="00E31132">
        <w:rPr>
          <w:bCs/>
        </w:rPr>
        <w:t>P</w:t>
      </w:r>
      <w:r w:rsidR="00101F13" w:rsidRPr="0033192F">
        <w:rPr>
          <w:bCs/>
        </w:rPr>
        <w:t>)</w:t>
      </w:r>
    </w:p>
    <w:p w:rsidR="00101F13" w:rsidRPr="0033192F" w:rsidRDefault="00101F13" w:rsidP="00E41FE1">
      <w:pPr>
        <w:jc w:val="center"/>
        <w:rPr>
          <w:bCs/>
          <w:sz w:val="20"/>
          <w:szCs w:val="20"/>
        </w:rPr>
      </w:pPr>
    </w:p>
    <w:p w:rsidR="00101F13" w:rsidRPr="00C308E0" w:rsidRDefault="00101F13" w:rsidP="00CE5976">
      <w:pPr>
        <w:jc w:val="center"/>
        <w:rPr>
          <w:b/>
          <w:color w:val="000000"/>
          <w14:shadow w14:blurRad="50800" w14:dist="38100" w14:dir="2700000" w14:sx="100000" w14:sy="100000" w14:kx="0" w14:ky="0" w14:algn="tl">
            <w14:srgbClr w14:val="000000">
              <w14:alpha w14:val="60000"/>
            </w14:srgbClr>
          </w14:shadow>
        </w:rPr>
      </w:pPr>
      <w:r w:rsidRPr="00C308E0">
        <w:rPr>
          <w:b/>
          <w:color w:val="000000"/>
          <w14:shadow w14:blurRad="50800" w14:dist="38100" w14:dir="2700000" w14:sx="100000" w14:sy="100000" w14:kx="0" w14:ky="0" w14:algn="tl">
            <w14:srgbClr w14:val="000000">
              <w14:alpha w14:val="60000"/>
            </w14:srgbClr>
          </w14:shadow>
        </w:rPr>
        <w:t>P R O G R A M A</w:t>
      </w:r>
    </w:p>
    <w:p w:rsidR="00101F13" w:rsidRPr="0033192F" w:rsidRDefault="00101F13" w:rsidP="00265A1A">
      <w:pPr>
        <w:jc w:val="center"/>
        <w:rPr>
          <w:bCs/>
          <w:sz w:val="20"/>
          <w:szCs w:val="20"/>
        </w:rPr>
      </w:pPr>
    </w:p>
    <w:p w:rsidR="00101F13" w:rsidRPr="0033192F" w:rsidRDefault="00101F13" w:rsidP="00A60FD9">
      <w:pPr>
        <w:jc w:val="center"/>
        <w:rPr>
          <w:bCs/>
        </w:rPr>
      </w:pPr>
      <w:r w:rsidRPr="0033192F">
        <w:t>201</w:t>
      </w:r>
      <w:r w:rsidR="00535F3C">
        <w:t>8</w:t>
      </w:r>
      <w:r w:rsidRPr="0033192F">
        <w:t xml:space="preserve"> m.</w:t>
      </w:r>
      <w:r w:rsidR="00D562DC">
        <w:t xml:space="preserve"> </w:t>
      </w:r>
      <w:r w:rsidR="00E31132">
        <w:t xml:space="preserve">birželio </w:t>
      </w:r>
      <w:r w:rsidR="002259D4">
        <w:t>15</w:t>
      </w:r>
      <w:r w:rsidRPr="0033192F">
        <w:t xml:space="preserve"> d.</w:t>
      </w:r>
    </w:p>
    <w:p w:rsidR="00101F13" w:rsidRPr="003E5139" w:rsidRDefault="00E31132" w:rsidP="00F00F8D">
      <w:pPr>
        <w:ind w:right="-262"/>
        <w:jc w:val="center"/>
        <w:rPr>
          <w:color w:val="000000"/>
          <w:sz w:val="10"/>
          <w:szCs w:val="10"/>
        </w:rPr>
      </w:pPr>
      <w:r w:rsidRPr="00E31132">
        <w:rPr>
          <w:color w:val="000000"/>
        </w:rPr>
        <w:t>Panevėžio apylinkės teismo</w:t>
      </w:r>
      <w:r w:rsidR="00E2416A">
        <w:rPr>
          <w:color w:val="000000"/>
        </w:rPr>
        <w:t xml:space="preserve"> </w:t>
      </w:r>
      <w:r w:rsidR="00697B01">
        <w:rPr>
          <w:color w:val="000000"/>
        </w:rPr>
        <w:t>Panevėžio rūmai (</w:t>
      </w:r>
      <w:r w:rsidR="00697B01" w:rsidRPr="00E31132">
        <w:rPr>
          <w:color w:val="000000"/>
        </w:rPr>
        <w:t>Laisvės a. 17, Panevėžys</w:t>
      </w:r>
      <w:r w:rsidR="00697B01">
        <w:rPr>
          <w:color w:val="000000"/>
        </w:rPr>
        <w:t>)</w:t>
      </w:r>
      <w:r w:rsidR="00E2416A">
        <w:rPr>
          <w:color w:val="000000"/>
        </w:rPr>
        <w:t>, 301 salė, 3 aukš</w:t>
      </w:r>
      <w:r w:rsidR="0095511F">
        <w:rPr>
          <w:color w:val="000000"/>
        </w:rPr>
        <w:t>t</w:t>
      </w:r>
      <w:r w:rsidR="00E2416A">
        <w:rPr>
          <w:color w:val="000000"/>
        </w:rPr>
        <w:t>as</w:t>
      </w:r>
    </w:p>
    <w:tbl>
      <w:tblPr>
        <w:tblW w:w="10265" w:type="dxa"/>
        <w:tblInd w:w="-92" w:type="dxa"/>
        <w:tblLook w:val="01E0" w:firstRow="1" w:lastRow="1" w:firstColumn="1" w:lastColumn="1" w:noHBand="0" w:noVBand="0"/>
      </w:tblPr>
      <w:tblGrid>
        <w:gridCol w:w="10265"/>
      </w:tblGrid>
      <w:tr w:rsidR="00101F13" w:rsidRPr="003E5139" w:rsidTr="00DB27AA">
        <w:tc>
          <w:tcPr>
            <w:tcW w:w="10265" w:type="dxa"/>
          </w:tcPr>
          <w:p w:rsidR="00697B01" w:rsidRDefault="00697B01" w:rsidP="002259D4">
            <w:pPr>
              <w:pStyle w:val="Body"/>
              <w:rPr>
                <w:i/>
                <w:iCs/>
              </w:rPr>
            </w:pPr>
          </w:p>
          <w:p w:rsidR="002259D4" w:rsidRPr="00A37CDF" w:rsidRDefault="002259D4" w:rsidP="002259D4">
            <w:pPr>
              <w:pStyle w:val="Body"/>
            </w:pPr>
            <w:proofErr w:type="spellStart"/>
            <w:r w:rsidRPr="00A37CDF">
              <w:rPr>
                <w:i/>
                <w:iCs/>
              </w:rPr>
              <w:t>Lektorė</w:t>
            </w:r>
            <w:proofErr w:type="spellEnd"/>
          </w:p>
          <w:p w:rsidR="002259D4" w:rsidRPr="00A37CDF" w:rsidRDefault="002259D4" w:rsidP="002259D4">
            <w:pPr>
              <w:pStyle w:val="Body"/>
              <w:tabs>
                <w:tab w:val="left" w:pos="283"/>
              </w:tabs>
              <w:rPr>
                <w:b/>
                <w:bCs/>
                <w:i/>
                <w:iCs/>
              </w:rPr>
            </w:pPr>
            <w:r w:rsidRPr="00A37CDF">
              <w:rPr>
                <w:b/>
                <w:bCs/>
                <w:i/>
                <w:iCs/>
                <w:lang w:val="it-IT"/>
              </w:rPr>
              <w:t>Donata Varnelien</w:t>
            </w:r>
            <w:r w:rsidRPr="00A37CDF">
              <w:rPr>
                <w:b/>
                <w:bCs/>
                <w:i/>
                <w:iCs/>
              </w:rPr>
              <w:t>ė</w:t>
            </w:r>
          </w:p>
          <w:p w:rsidR="002259D4" w:rsidRDefault="002259D4" w:rsidP="002259D4">
            <w:pPr>
              <w:pStyle w:val="Body"/>
              <w:tabs>
                <w:tab w:val="left" w:pos="283"/>
              </w:tabs>
              <w:rPr>
                <w:i/>
                <w:iCs/>
              </w:rPr>
            </w:pPr>
            <w:r w:rsidRPr="00A37CDF">
              <w:rPr>
                <w:i/>
                <w:iCs/>
              </w:rPr>
              <w:t>Mokymų ir konsultacijų kompanijos „</w:t>
            </w:r>
            <w:r w:rsidRPr="00A37CDF">
              <w:rPr>
                <w:i/>
                <w:iCs/>
                <w:lang w:val="lt-LT"/>
              </w:rPr>
              <w:t>TMD partners</w:t>
            </w:r>
            <w:r w:rsidRPr="00A37CDF">
              <w:rPr>
                <w:i/>
                <w:iCs/>
              </w:rPr>
              <w:t>“ konsultantė</w:t>
            </w:r>
          </w:p>
          <w:p w:rsidR="0027790F" w:rsidRPr="002259D4" w:rsidRDefault="0027790F" w:rsidP="0027790F">
            <w:pPr>
              <w:tabs>
                <w:tab w:val="left" w:pos="-92"/>
                <w:tab w:val="left" w:pos="283"/>
              </w:tabs>
              <w:rPr>
                <w:i/>
                <w:lang w:val="de-DE"/>
              </w:rPr>
            </w:pPr>
          </w:p>
          <w:p w:rsidR="00ED6B23" w:rsidRPr="00ED6B23" w:rsidRDefault="00ED6B23" w:rsidP="00FA28F6">
            <w:pPr>
              <w:tabs>
                <w:tab w:val="left" w:pos="-92"/>
                <w:tab w:val="left" w:pos="283"/>
              </w:tabs>
              <w:rPr>
                <w:i/>
                <w:sz w:val="10"/>
                <w:szCs w:val="10"/>
              </w:rPr>
            </w:pPr>
          </w:p>
        </w:tc>
      </w:tr>
    </w:tbl>
    <w:p w:rsidR="00101F13" w:rsidRPr="00E22E0E" w:rsidRDefault="00101F13" w:rsidP="00E22E0E">
      <w:pPr>
        <w:rPr>
          <w:color w:val="000000"/>
          <w:sz w:val="4"/>
          <w:szCs w:val="4"/>
          <w:u w:val="single"/>
        </w:rPr>
      </w:pPr>
    </w:p>
    <w:p w:rsidR="00101F13" w:rsidRPr="003E5139" w:rsidRDefault="00101F13" w:rsidP="00404B41">
      <w:pPr>
        <w:rPr>
          <w:color w:val="000000"/>
          <w:sz w:val="20"/>
          <w:szCs w:val="20"/>
          <w:u w:val="single"/>
        </w:rPr>
      </w:pPr>
    </w:p>
    <w:tbl>
      <w:tblPr>
        <w:tblW w:w="9678" w:type="dxa"/>
        <w:tblInd w:w="-72" w:type="dxa"/>
        <w:tblLayout w:type="fixed"/>
        <w:tblLook w:val="01E0" w:firstRow="1" w:lastRow="1" w:firstColumn="1" w:lastColumn="1" w:noHBand="0" w:noVBand="0"/>
      </w:tblPr>
      <w:tblGrid>
        <w:gridCol w:w="1456"/>
        <w:gridCol w:w="8222"/>
      </w:tblGrid>
      <w:tr w:rsidR="00101F13" w:rsidRPr="003E5139" w:rsidTr="00261009">
        <w:tc>
          <w:tcPr>
            <w:tcW w:w="1456" w:type="dxa"/>
          </w:tcPr>
          <w:p w:rsidR="00101F13" w:rsidRPr="003E5139" w:rsidRDefault="00645CE6" w:rsidP="00561C13">
            <w:pPr>
              <w:jc w:val="both"/>
              <w:rPr>
                <w:color w:val="000000"/>
              </w:rPr>
            </w:pPr>
            <w:r>
              <w:rPr>
                <w:color w:val="000000"/>
              </w:rPr>
              <w:t>8:3</w:t>
            </w:r>
            <w:r w:rsidR="00101F13" w:rsidRPr="003E5139">
              <w:rPr>
                <w:color w:val="000000"/>
              </w:rPr>
              <w:t>0</w:t>
            </w:r>
            <w:r w:rsidR="00261009">
              <w:rPr>
                <w:color w:val="000000"/>
              </w:rPr>
              <w:t xml:space="preserve"> –9:</w:t>
            </w:r>
            <w:r>
              <w:rPr>
                <w:color w:val="000000"/>
              </w:rPr>
              <w:t>0</w:t>
            </w:r>
            <w:r w:rsidR="00261009">
              <w:rPr>
                <w:color w:val="000000"/>
              </w:rPr>
              <w:t>0</w:t>
            </w:r>
            <w:r w:rsidR="00101F13" w:rsidRPr="003E5139">
              <w:rPr>
                <w:color w:val="000000"/>
              </w:rPr>
              <w:t xml:space="preserve"> </w:t>
            </w:r>
          </w:p>
          <w:p w:rsidR="00101F13" w:rsidRPr="00ED6B23" w:rsidRDefault="00101F13" w:rsidP="00561C13">
            <w:pPr>
              <w:jc w:val="both"/>
              <w:rPr>
                <w:b/>
                <w:color w:val="000000"/>
                <w:sz w:val="10"/>
                <w:szCs w:val="10"/>
              </w:rPr>
            </w:pPr>
          </w:p>
          <w:p w:rsidR="00101F13" w:rsidRPr="003E5139" w:rsidRDefault="002259D4" w:rsidP="00645CE6">
            <w:pPr>
              <w:jc w:val="both"/>
              <w:rPr>
                <w:b/>
                <w:color w:val="000000"/>
                <w:sz w:val="20"/>
                <w:szCs w:val="20"/>
              </w:rPr>
            </w:pPr>
            <w:r>
              <w:rPr>
                <w:b/>
                <w:color w:val="000000"/>
              </w:rPr>
              <w:t>09</w:t>
            </w:r>
            <w:r w:rsidR="00645CE6">
              <w:rPr>
                <w:b/>
                <w:color w:val="000000"/>
              </w:rPr>
              <w:t>:0</w:t>
            </w:r>
            <w:r>
              <w:rPr>
                <w:b/>
                <w:color w:val="000000"/>
              </w:rPr>
              <w:t>0–1</w:t>
            </w:r>
            <w:r w:rsidR="00645CE6">
              <w:rPr>
                <w:b/>
                <w:color w:val="000000"/>
              </w:rPr>
              <w:t>0</w:t>
            </w:r>
            <w:r>
              <w:rPr>
                <w:b/>
                <w:color w:val="000000"/>
              </w:rPr>
              <w:t>:</w:t>
            </w:r>
            <w:r w:rsidR="00645CE6">
              <w:rPr>
                <w:b/>
                <w:color w:val="000000"/>
              </w:rPr>
              <w:t>30</w:t>
            </w:r>
          </w:p>
        </w:tc>
        <w:tc>
          <w:tcPr>
            <w:tcW w:w="822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201491" w:rsidRPr="00C36A7F" w:rsidRDefault="002259D4" w:rsidP="00645CE6">
            <w:pPr>
              <w:pStyle w:val="western"/>
              <w:spacing w:before="0" w:beforeAutospacing="0" w:after="0" w:afterAutospacing="0"/>
              <w:ind w:left="-34"/>
              <w:jc w:val="both"/>
              <w:rPr>
                <w:b/>
              </w:rPr>
            </w:pPr>
            <w:r w:rsidRPr="002259D4">
              <w:rPr>
                <w:b/>
                <w:lang w:eastAsia="lt-LT"/>
              </w:rPr>
              <w:t>Esminiai darbo kultūros principai teisėjo darbe. Nuo ko priklauso mūsų rezultatai, kurių siekiame? Kaip mūsų turimos nuostatos į save, į proceso dalyvius, į kolegas</w:t>
            </w:r>
            <w:r w:rsidR="00261009">
              <w:rPr>
                <w:b/>
                <w:lang w:eastAsia="lt-LT"/>
              </w:rPr>
              <w:t>,</w:t>
            </w:r>
            <w:r w:rsidRPr="002259D4">
              <w:rPr>
                <w:b/>
                <w:lang w:eastAsia="lt-LT"/>
              </w:rPr>
              <w:t xml:space="preserve"> į atstovaujamą organizaciją virsta </w:t>
            </w:r>
            <w:r w:rsidR="00261009">
              <w:rPr>
                <w:b/>
                <w:lang w:eastAsia="lt-LT"/>
              </w:rPr>
              <w:t>„</w:t>
            </w:r>
            <w:r w:rsidRPr="002259D4">
              <w:rPr>
                <w:b/>
                <w:lang w:eastAsia="lt-LT"/>
              </w:rPr>
              <w:t>save išpildančiomis pranašystėmis”?</w:t>
            </w:r>
          </w:p>
        </w:tc>
      </w:tr>
      <w:tr w:rsidR="00101F13" w:rsidRPr="003E5139" w:rsidTr="00261009">
        <w:tc>
          <w:tcPr>
            <w:tcW w:w="1456" w:type="dxa"/>
          </w:tcPr>
          <w:p w:rsidR="00101F13" w:rsidRPr="003E5139" w:rsidRDefault="00101F13" w:rsidP="00D17BD5">
            <w:pPr>
              <w:jc w:val="both"/>
              <w:rPr>
                <w:b/>
                <w:color w:val="000000"/>
                <w:sz w:val="10"/>
                <w:szCs w:val="10"/>
              </w:rPr>
            </w:pPr>
          </w:p>
        </w:tc>
        <w:tc>
          <w:tcPr>
            <w:tcW w:w="8222" w:type="dxa"/>
          </w:tcPr>
          <w:p w:rsidR="00101F13" w:rsidRPr="003E5139" w:rsidRDefault="00101F13" w:rsidP="00535F3C">
            <w:pPr>
              <w:jc w:val="both"/>
              <w:rPr>
                <w:i/>
                <w:color w:val="000000"/>
                <w:sz w:val="10"/>
                <w:szCs w:val="10"/>
              </w:rPr>
            </w:pPr>
          </w:p>
        </w:tc>
      </w:tr>
      <w:tr w:rsidR="00101F13" w:rsidRPr="003E5139" w:rsidTr="00261009">
        <w:tc>
          <w:tcPr>
            <w:tcW w:w="1456" w:type="dxa"/>
          </w:tcPr>
          <w:p w:rsidR="00101F13" w:rsidRPr="003E5139" w:rsidRDefault="00101F13" w:rsidP="00645CE6">
            <w:pPr>
              <w:jc w:val="both"/>
              <w:rPr>
                <w:i/>
                <w:color w:val="000000"/>
              </w:rPr>
            </w:pPr>
            <w:r>
              <w:rPr>
                <w:i/>
                <w:color w:val="000000"/>
              </w:rPr>
              <w:t>1</w:t>
            </w:r>
            <w:r w:rsidR="00645CE6">
              <w:rPr>
                <w:i/>
                <w:color w:val="000000"/>
              </w:rPr>
              <w:t>0:3</w:t>
            </w:r>
            <w:r w:rsidRPr="003E5139">
              <w:rPr>
                <w:i/>
                <w:color w:val="000000"/>
              </w:rPr>
              <w:t>0</w:t>
            </w:r>
            <w:r w:rsidR="002259D4">
              <w:rPr>
                <w:i/>
                <w:color w:val="000000"/>
              </w:rPr>
              <w:t>–1</w:t>
            </w:r>
            <w:r w:rsidR="00645CE6">
              <w:rPr>
                <w:i/>
                <w:color w:val="000000"/>
              </w:rPr>
              <w:t>0</w:t>
            </w:r>
            <w:r w:rsidR="002259D4">
              <w:rPr>
                <w:i/>
                <w:color w:val="000000"/>
              </w:rPr>
              <w:t>:</w:t>
            </w:r>
            <w:r w:rsidR="00645CE6">
              <w:rPr>
                <w:i/>
                <w:color w:val="000000"/>
              </w:rPr>
              <w:t>40</w:t>
            </w:r>
          </w:p>
        </w:tc>
        <w:tc>
          <w:tcPr>
            <w:tcW w:w="8222" w:type="dxa"/>
          </w:tcPr>
          <w:p w:rsidR="00101F13" w:rsidRPr="003E5139" w:rsidRDefault="00101F13" w:rsidP="00E60648">
            <w:pPr>
              <w:tabs>
                <w:tab w:val="left" w:pos="-100"/>
              </w:tabs>
              <w:ind w:left="-35"/>
              <w:rPr>
                <w:i/>
              </w:rPr>
            </w:pPr>
            <w:r w:rsidRPr="003E5139">
              <w:rPr>
                <w:i/>
              </w:rPr>
              <w:t>Pertrauka</w:t>
            </w:r>
          </w:p>
          <w:p w:rsidR="00101F13" w:rsidRPr="003E5139" w:rsidRDefault="00101F13" w:rsidP="00E60648">
            <w:pPr>
              <w:ind w:left="-35"/>
              <w:jc w:val="both"/>
              <w:rPr>
                <w:i/>
                <w:color w:val="000000"/>
                <w:sz w:val="10"/>
                <w:szCs w:val="10"/>
              </w:rPr>
            </w:pPr>
          </w:p>
        </w:tc>
      </w:tr>
      <w:tr w:rsidR="00101F13" w:rsidRPr="003E5139" w:rsidTr="00261009">
        <w:tc>
          <w:tcPr>
            <w:tcW w:w="1456" w:type="dxa"/>
          </w:tcPr>
          <w:p w:rsidR="00101F13" w:rsidRPr="00201491" w:rsidRDefault="00101F13" w:rsidP="00645CE6">
            <w:pPr>
              <w:jc w:val="both"/>
              <w:rPr>
                <w:b/>
                <w:color w:val="000000"/>
              </w:rPr>
            </w:pPr>
            <w:r>
              <w:rPr>
                <w:b/>
                <w:color w:val="000000"/>
              </w:rPr>
              <w:t>1</w:t>
            </w:r>
            <w:r w:rsidR="00645CE6">
              <w:rPr>
                <w:b/>
                <w:color w:val="000000"/>
              </w:rPr>
              <w:t>0:40</w:t>
            </w:r>
            <w:r w:rsidR="002259D4">
              <w:rPr>
                <w:b/>
                <w:color w:val="000000"/>
              </w:rPr>
              <w:t>–12:</w:t>
            </w:r>
            <w:r w:rsidR="00645CE6">
              <w:rPr>
                <w:b/>
                <w:color w:val="000000"/>
              </w:rPr>
              <w:t>1</w:t>
            </w:r>
            <w:r w:rsidR="002259D4">
              <w:rPr>
                <w:b/>
                <w:color w:val="000000"/>
              </w:rPr>
              <w:t>0</w:t>
            </w:r>
          </w:p>
        </w:tc>
        <w:tc>
          <w:tcPr>
            <w:tcW w:w="8222" w:type="dxa"/>
          </w:tcPr>
          <w:p w:rsidR="00FA28F6" w:rsidRPr="003434BB" w:rsidRDefault="002259D4" w:rsidP="002259D4">
            <w:pPr>
              <w:tabs>
                <w:tab w:val="left" w:pos="145"/>
                <w:tab w:val="left" w:pos="283"/>
              </w:tabs>
              <w:ind w:left="-35"/>
              <w:jc w:val="both"/>
              <w:rPr>
                <w:b/>
              </w:rPr>
            </w:pPr>
            <w:r w:rsidRPr="002259D4">
              <w:rPr>
                <w:b/>
              </w:rPr>
              <w:t>Dalykinis įvaizdis ir apranga. Kaip neverbalinės kalbos ir išvaizdos pagalba formuoti pozityvų ir norimą įspūdį, komunikuoti empatiją.</w:t>
            </w:r>
          </w:p>
        </w:tc>
      </w:tr>
      <w:tr w:rsidR="00101F13" w:rsidRPr="003E5139" w:rsidTr="00261009">
        <w:tc>
          <w:tcPr>
            <w:tcW w:w="1456" w:type="dxa"/>
          </w:tcPr>
          <w:p w:rsidR="00101F13" w:rsidRPr="003E5139" w:rsidRDefault="00101F13" w:rsidP="00A00291">
            <w:pPr>
              <w:jc w:val="both"/>
              <w:rPr>
                <w:b/>
                <w:color w:val="000000"/>
                <w:sz w:val="10"/>
                <w:szCs w:val="10"/>
              </w:rPr>
            </w:pPr>
          </w:p>
        </w:tc>
        <w:tc>
          <w:tcPr>
            <w:tcW w:w="8222" w:type="dxa"/>
          </w:tcPr>
          <w:p w:rsidR="00101F13" w:rsidRPr="003E5139" w:rsidRDefault="00101F13" w:rsidP="00E60648">
            <w:pPr>
              <w:ind w:left="-35"/>
              <w:jc w:val="both"/>
              <w:rPr>
                <w:b/>
                <w:sz w:val="10"/>
                <w:szCs w:val="10"/>
              </w:rPr>
            </w:pPr>
          </w:p>
        </w:tc>
      </w:tr>
      <w:tr w:rsidR="00101F13" w:rsidRPr="003E5139" w:rsidTr="00261009">
        <w:tc>
          <w:tcPr>
            <w:tcW w:w="1456" w:type="dxa"/>
          </w:tcPr>
          <w:p w:rsidR="00101F13" w:rsidRPr="003E5139" w:rsidRDefault="00101F13" w:rsidP="00645CE6">
            <w:pPr>
              <w:jc w:val="both"/>
              <w:rPr>
                <w:i/>
                <w:color w:val="000000"/>
              </w:rPr>
            </w:pPr>
            <w:r>
              <w:rPr>
                <w:i/>
                <w:color w:val="000000"/>
              </w:rPr>
              <w:t>1</w:t>
            </w:r>
            <w:r w:rsidR="002259D4">
              <w:rPr>
                <w:i/>
                <w:color w:val="000000"/>
              </w:rPr>
              <w:t>2:</w:t>
            </w:r>
            <w:r w:rsidR="00645CE6">
              <w:rPr>
                <w:i/>
                <w:color w:val="000000"/>
              </w:rPr>
              <w:t>10</w:t>
            </w:r>
            <w:r w:rsidR="002259D4">
              <w:rPr>
                <w:i/>
                <w:color w:val="000000"/>
              </w:rPr>
              <w:t>–13:</w:t>
            </w:r>
            <w:r w:rsidR="00645CE6">
              <w:rPr>
                <w:i/>
                <w:color w:val="000000"/>
              </w:rPr>
              <w:t>0</w:t>
            </w:r>
            <w:r w:rsidR="002259D4">
              <w:rPr>
                <w:i/>
                <w:color w:val="000000"/>
              </w:rPr>
              <w:t>0</w:t>
            </w:r>
          </w:p>
        </w:tc>
        <w:tc>
          <w:tcPr>
            <w:tcW w:w="8222" w:type="dxa"/>
          </w:tcPr>
          <w:p w:rsidR="00FA28F6" w:rsidRPr="003E5139" w:rsidRDefault="00FA28F6" w:rsidP="00FA28F6">
            <w:pPr>
              <w:tabs>
                <w:tab w:val="left" w:pos="-100"/>
              </w:tabs>
              <w:ind w:left="-35"/>
              <w:rPr>
                <w:i/>
              </w:rPr>
            </w:pPr>
            <w:r w:rsidRPr="003E5139">
              <w:rPr>
                <w:i/>
              </w:rPr>
              <w:t>P</w:t>
            </w:r>
            <w:r w:rsidR="00697B01">
              <w:rPr>
                <w:i/>
              </w:rPr>
              <w:t>ietų pe</w:t>
            </w:r>
            <w:r w:rsidRPr="003E5139">
              <w:rPr>
                <w:i/>
              </w:rPr>
              <w:t>rtrauka</w:t>
            </w:r>
          </w:p>
          <w:p w:rsidR="00101F13" w:rsidRPr="00FA28F6" w:rsidRDefault="00101F13" w:rsidP="00E60648">
            <w:pPr>
              <w:ind w:left="-35"/>
              <w:jc w:val="both"/>
              <w:rPr>
                <w:i/>
                <w:sz w:val="10"/>
                <w:szCs w:val="10"/>
              </w:rPr>
            </w:pPr>
          </w:p>
        </w:tc>
      </w:tr>
      <w:tr w:rsidR="00FA28F6" w:rsidRPr="003E5139" w:rsidTr="00261009">
        <w:tc>
          <w:tcPr>
            <w:tcW w:w="1456" w:type="dxa"/>
          </w:tcPr>
          <w:p w:rsidR="00FA28F6" w:rsidRPr="00FA28F6" w:rsidRDefault="002259D4" w:rsidP="00645CE6">
            <w:pPr>
              <w:jc w:val="both"/>
              <w:rPr>
                <w:b/>
                <w:color w:val="000000"/>
              </w:rPr>
            </w:pPr>
            <w:r>
              <w:rPr>
                <w:b/>
                <w:color w:val="000000"/>
              </w:rPr>
              <w:t>13.</w:t>
            </w:r>
            <w:r w:rsidR="00645CE6">
              <w:rPr>
                <w:b/>
                <w:color w:val="000000"/>
              </w:rPr>
              <w:t>0</w:t>
            </w:r>
            <w:r w:rsidR="00FA28F6" w:rsidRPr="00FA28F6">
              <w:rPr>
                <w:b/>
                <w:color w:val="000000"/>
              </w:rPr>
              <w:t>0</w:t>
            </w:r>
            <w:r>
              <w:rPr>
                <w:b/>
                <w:color w:val="000000"/>
              </w:rPr>
              <w:t>–1</w:t>
            </w:r>
            <w:r w:rsidR="00645CE6">
              <w:rPr>
                <w:b/>
                <w:color w:val="000000"/>
              </w:rPr>
              <w:t>4</w:t>
            </w:r>
            <w:r>
              <w:rPr>
                <w:b/>
                <w:color w:val="000000"/>
              </w:rPr>
              <w:t>:</w:t>
            </w:r>
            <w:r w:rsidR="00645CE6">
              <w:rPr>
                <w:b/>
                <w:color w:val="000000"/>
              </w:rPr>
              <w:t>3</w:t>
            </w:r>
            <w:r>
              <w:rPr>
                <w:b/>
                <w:color w:val="000000"/>
              </w:rPr>
              <w:t>0</w:t>
            </w:r>
          </w:p>
        </w:tc>
        <w:tc>
          <w:tcPr>
            <w:tcW w:w="8222" w:type="dxa"/>
          </w:tcPr>
          <w:p w:rsidR="00D562DC" w:rsidRPr="00FA28F6" w:rsidRDefault="002259D4" w:rsidP="00535F3C">
            <w:pPr>
              <w:tabs>
                <w:tab w:val="left" w:pos="145"/>
                <w:tab w:val="left" w:pos="283"/>
              </w:tabs>
              <w:ind w:left="-35"/>
              <w:jc w:val="both"/>
              <w:rPr>
                <w:i/>
                <w:sz w:val="10"/>
                <w:szCs w:val="10"/>
              </w:rPr>
            </w:pPr>
            <w:r w:rsidRPr="002259D4">
              <w:rPr>
                <w:b/>
              </w:rPr>
              <w:t>Profesinis gyvenimas: tarnybos etika, principai ir vertybės. Komunikacijos priemonės (viešieji pasisakymai, raštai, telefonas, el. paštas), elgesys socialiniuose tinkluose, tarnybinės pramogos. Kaip objektyvus turinys leidžia sukurti norimą žinutę? Kaip tam panaudoti naudos argumentus? Profesinių ir asmeninių etikos standartų suderinamumas. Praktinės užduotys.</w:t>
            </w:r>
          </w:p>
        </w:tc>
      </w:tr>
      <w:tr w:rsidR="00FA28F6" w:rsidRPr="003E5139" w:rsidTr="00261009">
        <w:tc>
          <w:tcPr>
            <w:tcW w:w="1456" w:type="dxa"/>
          </w:tcPr>
          <w:p w:rsidR="00FA28F6" w:rsidRDefault="002259D4" w:rsidP="00645CE6">
            <w:pPr>
              <w:jc w:val="both"/>
              <w:rPr>
                <w:i/>
                <w:color w:val="000000"/>
              </w:rPr>
            </w:pPr>
            <w:r>
              <w:rPr>
                <w:i/>
                <w:color w:val="000000"/>
              </w:rPr>
              <w:t>1</w:t>
            </w:r>
            <w:r w:rsidR="00645CE6">
              <w:rPr>
                <w:i/>
                <w:color w:val="000000"/>
              </w:rPr>
              <w:t>4:30</w:t>
            </w:r>
            <w:r>
              <w:rPr>
                <w:i/>
                <w:color w:val="000000"/>
              </w:rPr>
              <w:t>–1</w:t>
            </w:r>
            <w:r w:rsidR="00645CE6">
              <w:rPr>
                <w:i/>
                <w:color w:val="000000"/>
              </w:rPr>
              <w:t>4</w:t>
            </w:r>
            <w:r>
              <w:rPr>
                <w:i/>
                <w:color w:val="000000"/>
              </w:rPr>
              <w:t>:</w:t>
            </w:r>
            <w:r w:rsidR="00645CE6">
              <w:rPr>
                <w:i/>
                <w:color w:val="000000"/>
              </w:rPr>
              <w:t>4</w:t>
            </w:r>
            <w:r>
              <w:rPr>
                <w:i/>
                <w:color w:val="000000"/>
              </w:rPr>
              <w:t>0</w:t>
            </w:r>
          </w:p>
        </w:tc>
        <w:tc>
          <w:tcPr>
            <w:tcW w:w="8222" w:type="dxa"/>
          </w:tcPr>
          <w:p w:rsidR="00FA28F6" w:rsidRPr="003E5139" w:rsidRDefault="00FA28F6" w:rsidP="00FA28F6">
            <w:pPr>
              <w:tabs>
                <w:tab w:val="left" w:pos="-100"/>
              </w:tabs>
              <w:ind w:left="-35"/>
              <w:rPr>
                <w:i/>
              </w:rPr>
            </w:pPr>
            <w:r w:rsidRPr="003E5139">
              <w:rPr>
                <w:i/>
              </w:rPr>
              <w:t>Pertrauka</w:t>
            </w:r>
          </w:p>
          <w:p w:rsidR="00FA28F6" w:rsidRPr="00FA28F6" w:rsidRDefault="00FA28F6" w:rsidP="00E60648">
            <w:pPr>
              <w:ind w:left="-35"/>
              <w:jc w:val="both"/>
              <w:rPr>
                <w:i/>
                <w:sz w:val="10"/>
                <w:szCs w:val="10"/>
              </w:rPr>
            </w:pPr>
          </w:p>
        </w:tc>
      </w:tr>
      <w:tr w:rsidR="00FA28F6" w:rsidRPr="003E5139" w:rsidTr="00261009">
        <w:tc>
          <w:tcPr>
            <w:tcW w:w="1456" w:type="dxa"/>
          </w:tcPr>
          <w:p w:rsidR="00FA28F6" w:rsidRPr="00FA28F6" w:rsidRDefault="00FA28F6" w:rsidP="00645CE6">
            <w:pPr>
              <w:jc w:val="both"/>
              <w:rPr>
                <w:b/>
                <w:color w:val="000000"/>
              </w:rPr>
            </w:pPr>
            <w:r>
              <w:rPr>
                <w:b/>
                <w:color w:val="000000"/>
              </w:rPr>
              <w:t>1</w:t>
            </w:r>
            <w:r w:rsidR="00645CE6">
              <w:rPr>
                <w:b/>
                <w:color w:val="000000"/>
              </w:rPr>
              <w:t>4:40</w:t>
            </w:r>
            <w:r w:rsidR="002259D4">
              <w:rPr>
                <w:b/>
                <w:color w:val="000000"/>
              </w:rPr>
              <w:t>–16:</w:t>
            </w:r>
            <w:r w:rsidR="00645CE6">
              <w:rPr>
                <w:b/>
                <w:color w:val="000000"/>
              </w:rPr>
              <w:t>1</w:t>
            </w:r>
            <w:r w:rsidR="002259D4">
              <w:rPr>
                <w:b/>
                <w:color w:val="000000"/>
              </w:rPr>
              <w:t>0</w:t>
            </w:r>
          </w:p>
        </w:tc>
        <w:tc>
          <w:tcPr>
            <w:tcW w:w="8222" w:type="dxa"/>
          </w:tcPr>
          <w:p w:rsidR="00D562DC" w:rsidRDefault="002259D4" w:rsidP="00E60648">
            <w:pPr>
              <w:ind w:left="-35"/>
              <w:jc w:val="both"/>
              <w:rPr>
                <w:b/>
              </w:rPr>
            </w:pPr>
            <w:r w:rsidRPr="002259D4">
              <w:rPr>
                <w:b/>
              </w:rPr>
              <w:t>Teisėjo bendravimas su proceso dalyviais, kolegomis, komandos nariais. Bendravimo tikslas ir paskirtis. Bendravimas – būdas daryti įtaką kitų žm</w:t>
            </w:r>
            <w:r w:rsidR="00261009">
              <w:rPr>
                <w:b/>
              </w:rPr>
              <w:t>onių elgesiui. Dėl ko sakydami „</w:t>
            </w:r>
            <w:r w:rsidRPr="002259D4">
              <w:rPr>
                <w:b/>
              </w:rPr>
              <w:t>teisin</w:t>
            </w:r>
            <w:r w:rsidR="00261009">
              <w:rPr>
                <w:b/>
              </w:rPr>
              <w:t>gus” žodžius ne visada gauname „</w:t>
            </w:r>
            <w:r w:rsidRPr="002259D4">
              <w:rPr>
                <w:b/>
              </w:rPr>
              <w:t>teisingą” rezultatą? Pagrindiniai ir svarbiausi neverbalikos kanalai (gestai, kūno poza, mimika, balso parametrai). Praktinės užduotys.</w:t>
            </w:r>
          </w:p>
          <w:p w:rsidR="00261009" w:rsidRPr="00FA28F6" w:rsidRDefault="00261009" w:rsidP="00E60648">
            <w:pPr>
              <w:ind w:left="-35"/>
              <w:jc w:val="both"/>
              <w:rPr>
                <w:i/>
                <w:sz w:val="10"/>
                <w:szCs w:val="10"/>
              </w:rPr>
            </w:pPr>
          </w:p>
        </w:tc>
      </w:tr>
      <w:tr w:rsidR="00FA28F6" w:rsidRPr="003E5139" w:rsidTr="00261009">
        <w:tc>
          <w:tcPr>
            <w:tcW w:w="1456" w:type="dxa"/>
          </w:tcPr>
          <w:p w:rsidR="00FA28F6" w:rsidRDefault="00FA28F6" w:rsidP="00070FD5">
            <w:pPr>
              <w:jc w:val="both"/>
              <w:rPr>
                <w:i/>
                <w:color w:val="000000"/>
              </w:rPr>
            </w:pPr>
            <w:bookmarkStart w:id="0" w:name="_GoBack"/>
            <w:bookmarkEnd w:id="0"/>
          </w:p>
        </w:tc>
        <w:tc>
          <w:tcPr>
            <w:tcW w:w="8222" w:type="dxa"/>
          </w:tcPr>
          <w:p w:rsidR="00FA28F6" w:rsidRPr="003E5139" w:rsidRDefault="002259D4" w:rsidP="002259D4">
            <w:pPr>
              <w:ind w:left="-35"/>
              <w:jc w:val="both"/>
              <w:rPr>
                <w:i/>
              </w:rPr>
            </w:pPr>
            <w:r>
              <w:rPr>
                <w:i/>
              </w:rPr>
              <w:t>S</w:t>
            </w:r>
            <w:r w:rsidR="00FA28F6" w:rsidRPr="003E5139">
              <w:rPr>
                <w:i/>
              </w:rPr>
              <w:t>eminaro pabaiga.</w:t>
            </w:r>
            <w:r w:rsidR="00261009">
              <w:rPr>
                <w:i/>
              </w:rPr>
              <w:t xml:space="preserve"> Anketų pildymas</w:t>
            </w:r>
          </w:p>
        </w:tc>
      </w:tr>
    </w:tbl>
    <w:p w:rsidR="003434BB" w:rsidRDefault="003434BB" w:rsidP="001B2877">
      <w:pPr>
        <w:rPr>
          <w:color w:val="000000"/>
          <w:sz w:val="10"/>
          <w:szCs w:val="10"/>
          <w:u w:val="single"/>
        </w:rPr>
      </w:pPr>
    </w:p>
    <w:p w:rsidR="00070FD5" w:rsidRPr="00ED6B23" w:rsidRDefault="00070FD5" w:rsidP="001B2877">
      <w:pPr>
        <w:rPr>
          <w:color w:val="000000"/>
          <w:sz w:val="10"/>
          <w:szCs w:val="10"/>
          <w:u w:val="single"/>
        </w:rPr>
      </w:pPr>
    </w:p>
    <w:p w:rsidR="00FF269D" w:rsidRDefault="00101F13" w:rsidP="00D562DC">
      <w:pPr>
        <w:ind w:left="-540" w:firstLine="540"/>
        <w:rPr>
          <w:rStyle w:val="Strong"/>
          <w:bCs/>
          <w:color w:val="000000"/>
          <w:sz w:val="20"/>
          <w:szCs w:val="20"/>
        </w:rPr>
      </w:pPr>
      <w:r w:rsidRPr="001B2877">
        <w:rPr>
          <w:rStyle w:val="Strong"/>
          <w:bCs/>
          <w:color w:val="000000"/>
          <w:sz w:val="20"/>
          <w:szCs w:val="20"/>
        </w:rPr>
        <w:t>Programa gali keistis.</w:t>
      </w:r>
    </w:p>
    <w:p w:rsidR="00261009" w:rsidRDefault="00261009" w:rsidP="00D562DC">
      <w:pPr>
        <w:ind w:left="-540" w:firstLine="540"/>
        <w:rPr>
          <w:rStyle w:val="Strong"/>
          <w:bCs/>
          <w:color w:val="000000"/>
          <w:sz w:val="20"/>
          <w:szCs w:val="20"/>
        </w:rPr>
      </w:pPr>
    </w:p>
    <w:p w:rsidR="00261009" w:rsidRDefault="00261009" w:rsidP="00D562DC">
      <w:pPr>
        <w:ind w:left="-540" w:firstLine="540"/>
        <w:rPr>
          <w:rStyle w:val="Strong"/>
          <w:bCs/>
          <w:color w:val="000000"/>
          <w:sz w:val="20"/>
          <w:szCs w:val="20"/>
        </w:rPr>
      </w:pPr>
    </w:p>
    <w:p w:rsidR="00261009" w:rsidRDefault="00261009" w:rsidP="00D562DC">
      <w:pPr>
        <w:ind w:left="-540" w:firstLine="540"/>
        <w:rPr>
          <w:rStyle w:val="Strong"/>
          <w:bCs/>
          <w:color w:val="000000"/>
          <w:sz w:val="20"/>
          <w:szCs w:val="20"/>
        </w:rPr>
      </w:pPr>
    </w:p>
    <w:p w:rsidR="00261009" w:rsidRDefault="00261009" w:rsidP="00D562DC">
      <w:pPr>
        <w:ind w:left="-540" w:firstLine="540"/>
        <w:rPr>
          <w:rStyle w:val="Strong"/>
          <w:bCs/>
          <w:color w:val="000000"/>
          <w:sz w:val="20"/>
          <w:szCs w:val="20"/>
        </w:rPr>
      </w:pPr>
    </w:p>
    <w:p w:rsidR="00261009" w:rsidRDefault="00261009" w:rsidP="00D562DC">
      <w:pPr>
        <w:ind w:left="-540" w:firstLine="540"/>
        <w:rPr>
          <w:rStyle w:val="Strong"/>
          <w:bCs/>
          <w:color w:val="000000"/>
          <w:sz w:val="20"/>
          <w:szCs w:val="20"/>
        </w:rPr>
      </w:pPr>
    </w:p>
    <w:p w:rsidR="00261009" w:rsidRDefault="00261009" w:rsidP="00D562DC">
      <w:pPr>
        <w:ind w:left="-540" w:firstLine="540"/>
        <w:rPr>
          <w:rStyle w:val="Strong"/>
          <w:bCs/>
          <w:color w:val="000000"/>
          <w:sz w:val="20"/>
          <w:szCs w:val="20"/>
        </w:rPr>
      </w:pPr>
    </w:p>
    <w:p w:rsidR="00261009" w:rsidRDefault="00261009" w:rsidP="00D562DC">
      <w:pPr>
        <w:ind w:left="-540" w:firstLine="540"/>
        <w:rPr>
          <w:rStyle w:val="Strong"/>
          <w:bCs/>
          <w:color w:val="000000"/>
          <w:sz w:val="20"/>
          <w:szCs w:val="20"/>
        </w:rPr>
      </w:pPr>
    </w:p>
    <w:p w:rsidR="00ED6B23" w:rsidRPr="001B2877" w:rsidRDefault="00ED6B23" w:rsidP="006C196B">
      <w:pPr>
        <w:rPr>
          <w:rStyle w:val="Strong"/>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C36A7F" w:rsidRDefault="00101F13" w:rsidP="0009320E">
            <w:pPr>
              <w:ind w:left="72" w:hanging="72"/>
              <w:jc w:val="center"/>
              <w:rPr>
                <w:b/>
                <w:bCs/>
                <w:color w:val="000000"/>
                <w:sz w:val="14"/>
                <w:szCs w:val="14"/>
              </w:rPr>
            </w:pPr>
            <w:r w:rsidRPr="00C36A7F">
              <w:rPr>
                <w:b/>
                <w:bCs/>
                <w:color w:val="000000"/>
                <w:sz w:val="14"/>
                <w:szCs w:val="14"/>
              </w:rPr>
              <w:t xml:space="preserve">Seminaro organizatorius: </w:t>
            </w:r>
          </w:p>
          <w:p w:rsidR="00101F13" w:rsidRPr="00C36A7F" w:rsidRDefault="00101F13" w:rsidP="0009320E">
            <w:pPr>
              <w:ind w:left="72" w:hanging="72"/>
              <w:jc w:val="center"/>
              <w:rPr>
                <w:b/>
                <w:bCs/>
                <w:color w:val="000000"/>
                <w:sz w:val="14"/>
                <w:szCs w:val="14"/>
              </w:rPr>
            </w:pPr>
            <w:r w:rsidRPr="00C36A7F">
              <w:rPr>
                <w:b/>
                <w:bCs/>
                <w:color w:val="000000"/>
                <w:sz w:val="14"/>
                <w:szCs w:val="14"/>
              </w:rPr>
              <w:t>Nacionalinė teismų administracija</w:t>
            </w:r>
          </w:p>
          <w:p w:rsidR="00101F13" w:rsidRPr="00C36A7F" w:rsidRDefault="00101F13" w:rsidP="0009320E">
            <w:pPr>
              <w:ind w:left="72" w:right="-262" w:hanging="72"/>
              <w:jc w:val="center"/>
              <w:rPr>
                <w:sz w:val="14"/>
                <w:szCs w:val="14"/>
              </w:rPr>
            </w:pPr>
            <w:r w:rsidRPr="00C36A7F">
              <w:rPr>
                <w:b/>
                <w:bCs/>
                <w:color w:val="000000"/>
                <w:sz w:val="14"/>
                <w:szCs w:val="14"/>
              </w:rPr>
              <w:t>Kontaktai ir telefonai:</w:t>
            </w:r>
          </w:p>
          <w:p w:rsidR="00101F13" w:rsidRPr="00261009" w:rsidRDefault="00101F13" w:rsidP="00C36A7F">
            <w:pPr>
              <w:ind w:left="72" w:right="-108" w:hanging="72"/>
              <w:jc w:val="center"/>
              <w:rPr>
                <w:color w:val="000000"/>
                <w:sz w:val="14"/>
                <w:szCs w:val="14"/>
                <w:highlight w:val="yellow"/>
              </w:rPr>
            </w:pPr>
            <w:r w:rsidRPr="00C36A7F">
              <w:rPr>
                <w:color w:val="000000"/>
                <w:sz w:val="14"/>
                <w:szCs w:val="14"/>
              </w:rPr>
              <w:t xml:space="preserve">Dalyvių sąrašai, seminaro organizavimas: Mokymų ir tarptautinio bendradarbiavimo skyriaus </w:t>
            </w:r>
            <w:r w:rsidR="00C36A7F" w:rsidRPr="00C36A7F">
              <w:rPr>
                <w:color w:val="000000"/>
                <w:sz w:val="14"/>
                <w:szCs w:val="14"/>
              </w:rPr>
              <w:t>vyriausioji</w:t>
            </w:r>
            <w:r w:rsidR="00535F3C" w:rsidRPr="00C36A7F">
              <w:rPr>
                <w:color w:val="000000"/>
                <w:sz w:val="14"/>
                <w:szCs w:val="14"/>
              </w:rPr>
              <w:t xml:space="preserve"> </w:t>
            </w:r>
            <w:r w:rsidRPr="00C36A7F">
              <w:rPr>
                <w:color w:val="000000"/>
                <w:sz w:val="14"/>
                <w:szCs w:val="14"/>
              </w:rPr>
              <w:t xml:space="preserve">specialistė </w:t>
            </w:r>
            <w:r w:rsidR="00C36A7F" w:rsidRPr="00C36A7F">
              <w:rPr>
                <w:color w:val="000000"/>
                <w:sz w:val="14"/>
                <w:szCs w:val="14"/>
              </w:rPr>
              <w:t>Ilona Kovger</w:t>
            </w:r>
            <w:r w:rsidRPr="00C36A7F">
              <w:rPr>
                <w:color w:val="000000"/>
                <w:sz w:val="14"/>
                <w:szCs w:val="14"/>
              </w:rPr>
              <w:t xml:space="preserve"> tel. </w:t>
            </w:r>
            <w:r w:rsidR="00C36A7F" w:rsidRPr="00C36A7F">
              <w:rPr>
                <w:color w:val="000000"/>
                <w:sz w:val="14"/>
                <w:szCs w:val="14"/>
              </w:rPr>
              <w:t>2514128</w:t>
            </w:r>
            <w:r w:rsidRPr="00C36A7F">
              <w:rPr>
                <w:color w:val="000000"/>
                <w:sz w:val="14"/>
                <w:szCs w:val="14"/>
              </w:rPr>
              <w:t xml:space="preserve">, el. paštas: </w:t>
            </w:r>
            <w:hyperlink r:id="rId8" w:history="1">
              <w:r w:rsidR="00C36A7F" w:rsidRPr="00C36A7F">
                <w:rPr>
                  <w:rStyle w:val="Hyperlink"/>
                  <w:sz w:val="14"/>
                  <w:szCs w:val="14"/>
                </w:rPr>
                <w:t>ilona.kovger@teismai.lt</w:t>
              </w:r>
            </w:hyperlink>
          </w:p>
        </w:tc>
      </w:tr>
    </w:tbl>
    <w:p w:rsidR="00101F13" w:rsidRPr="003E5139" w:rsidRDefault="00101F13">
      <w:pPr>
        <w:rPr>
          <w:sz w:val="20"/>
          <w:szCs w:val="20"/>
        </w:rPr>
      </w:pPr>
    </w:p>
    <w:sectPr w:rsidR="00101F13" w:rsidRPr="003E5139" w:rsidSect="008773D2">
      <w:headerReference w:type="default" r:id="rId9"/>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A36" w:rsidRDefault="00996A36">
      <w:r>
        <w:separator/>
      </w:r>
    </w:p>
  </w:endnote>
  <w:endnote w:type="continuationSeparator" w:id="0">
    <w:p w:rsidR="00996A36" w:rsidRDefault="0099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A36" w:rsidRDefault="00996A36">
      <w:r>
        <w:separator/>
      </w:r>
    </w:p>
  </w:footnote>
  <w:footnote w:type="continuationSeparator" w:id="0">
    <w:p w:rsidR="00996A36" w:rsidRDefault="00996A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D4" w:rsidRPr="00C308E0" w:rsidRDefault="002259D4" w:rsidP="00EA07A2">
    <w:pPr>
      <w:pStyle w:val="Header"/>
      <w:jc w:val="center"/>
      <w:rPr>
        <w:rFonts w:ascii="Arial" w:hAnsi="Arial" w:cs="Arial"/>
        <w:b/>
        <w14:shadow w14:blurRad="50800" w14:dist="38100" w14:dir="2700000" w14:sx="100000" w14:sy="100000" w14:kx="0" w14:ky="0" w14:algn="tl">
          <w14:srgbClr w14:val="000000">
            <w14:alpha w14:val="60000"/>
          </w14:srgbClr>
        </w14:shadow>
      </w:rPr>
    </w:pPr>
    <w:r w:rsidRPr="00C308E0">
      <w:rPr>
        <w:rFonts w:ascii="Arial" w:hAnsi="Arial" w:cs="Arial"/>
        <w:b/>
        <w14:shadow w14:blurRad="50800" w14:dist="38100" w14:dir="2700000" w14:sx="100000" w14:sy="100000" w14:kx="0" w14:ky="0" w14:algn="tl">
          <w14:srgbClr w14:val="000000">
            <w14:alpha w14:val="60000"/>
          </w14:srgbClr>
        </w14:shadow>
      </w:rPr>
      <w:t>NACIONALINĖ TEISMŲ ADMINISTRACIJA</w:t>
    </w:r>
  </w:p>
  <w:p w:rsidR="002259D4" w:rsidRPr="00EA07A2" w:rsidRDefault="002259D4" w:rsidP="00EA07A2">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A7D27"/>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932"/>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59D4"/>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009"/>
    <w:rsid w:val="0026125C"/>
    <w:rsid w:val="0026355C"/>
    <w:rsid w:val="002638ED"/>
    <w:rsid w:val="00265A1A"/>
    <w:rsid w:val="002701B4"/>
    <w:rsid w:val="002718B3"/>
    <w:rsid w:val="00272081"/>
    <w:rsid w:val="0027330F"/>
    <w:rsid w:val="002746E2"/>
    <w:rsid w:val="0027790F"/>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0180"/>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4BB"/>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0C1B"/>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47F3A"/>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24909"/>
    <w:rsid w:val="0063056F"/>
    <w:rsid w:val="00630BB0"/>
    <w:rsid w:val="00631022"/>
    <w:rsid w:val="00634101"/>
    <w:rsid w:val="006400F2"/>
    <w:rsid w:val="00643697"/>
    <w:rsid w:val="006438D2"/>
    <w:rsid w:val="00645656"/>
    <w:rsid w:val="0064583B"/>
    <w:rsid w:val="00645AA1"/>
    <w:rsid w:val="00645BC7"/>
    <w:rsid w:val="00645CE6"/>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97B01"/>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3B01"/>
    <w:rsid w:val="008B40E0"/>
    <w:rsid w:val="008B4274"/>
    <w:rsid w:val="008B6C00"/>
    <w:rsid w:val="008B7FD9"/>
    <w:rsid w:val="008B7FF4"/>
    <w:rsid w:val="008C14D2"/>
    <w:rsid w:val="008C3059"/>
    <w:rsid w:val="008C46B2"/>
    <w:rsid w:val="008D204A"/>
    <w:rsid w:val="008D218D"/>
    <w:rsid w:val="008D2673"/>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1860"/>
    <w:rsid w:val="009041B4"/>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511F"/>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A36"/>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CDF"/>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08E0"/>
    <w:rsid w:val="00C31107"/>
    <w:rsid w:val="00C3442C"/>
    <w:rsid w:val="00C34B87"/>
    <w:rsid w:val="00C36A7F"/>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29CD"/>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3C90"/>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62DC"/>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16A"/>
    <w:rsid w:val="00E24A08"/>
    <w:rsid w:val="00E24F0E"/>
    <w:rsid w:val="00E2514D"/>
    <w:rsid w:val="00E26641"/>
    <w:rsid w:val="00E3004A"/>
    <w:rsid w:val="00E30FE4"/>
    <w:rsid w:val="00E31132"/>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203"/>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B8BCA"/>
  <w15:docId w15:val="{712D6F3F-234B-4F97-A81A-B9A08295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7F2"/>
    <w:rPr>
      <w:sz w:val="24"/>
      <w:szCs w:val="24"/>
    </w:rPr>
  </w:style>
  <w:style w:type="paragraph" w:styleId="Heading1">
    <w:name w:val="heading 1"/>
    <w:basedOn w:val="Normal"/>
    <w:next w:val="Normal"/>
    <w:link w:val="Heading1Char"/>
    <w:uiPriority w:val="99"/>
    <w:qFormat/>
    <w:rsid w:val="00E94C31"/>
    <w:pPr>
      <w:keepNext/>
      <w:jc w:val="center"/>
      <w:outlineLvl w:val="0"/>
    </w:pPr>
    <w:rPr>
      <w:b/>
    </w:rPr>
  </w:style>
  <w:style w:type="paragraph" w:styleId="Heading2">
    <w:name w:val="heading 2"/>
    <w:basedOn w:val="Normal"/>
    <w:next w:val="Normal"/>
    <w:link w:val="Heading2Char"/>
    <w:uiPriority w:val="99"/>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46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14624"/>
    <w:rPr>
      <w:rFonts w:ascii="Cambria" w:hAnsi="Cambria" w:cs="Times New Roman"/>
      <w:b/>
      <w:bCs/>
      <w:i/>
      <w:iCs/>
      <w:sz w:val="28"/>
      <w:szCs w:val="28"/>
    </w:rPr>
  </w:style>
  <w:style w:type="paragraph" w:styleId="BalloonText">
    <w:name w:val="Balloon Text"/>
    <w:basedOn w:val="Normal"/>
    <w:link w:val="BalloonTextChar"/>
    <w:uiPriority w:val="99"/>
    <w:semiHidden/>
    <w:rsid w:val="00E94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624"/>
    <w:rPr>
      <w:rFonts w:cs="Times New Roman"/>
      <w:sz w:val="2"/>
    </w:rPr>
  </w:style>
  <w:style w:type="character" w:styleId="Strong">
    <w:name w:val="Strong"/>
    <w:basedOn w:val="DefaultParagraphFont"/>
    <w:uiPriority w:val="99"/>
    <w:qFormat/>
    <w:rsid w:val="00761409"/>
    <w:rPr>
      <w:rFonts w:cs="Times New Roman"/>
      <w:b/>
    </w:rPr>
  </w:style>
  <w:style w:type="character" w:styleId="Hyperlink">
    <w:name w:val="Hyperlink"/>
    <w:basedOn w:val="DefaultParagraphFont"/>
    <w:uiPriority w:val="99"/>
    <w:rsid w:val="00E94C31"/>
    <w:rPr>
      <w:rFonts w:cs="Times New Roman"/>
      <w:color w:val="0000FF"/>
      <w:u w:val="single"/>
    </w:rPr>
  </w:style>
  <w:style w:type="table" w:styleId="TableGrid">
    <w:name w:val="Table Grid"/>
    <w:basedOn w:val="TableNorma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07A2"/>
    <w:pPr>
      <w:tabs>
        <w:tab w:val="center" w:pos="4819"/>
        <w:tab w:val="right" w:pos="9638"/>
      </w:tabs>
    </w:pPr>
  </w:style>
  <w:style w:type="character" w:customStyle="1" w:styleId="HeaderChar">
    <w:name w:val="Header Char"/>
    <w:basedOn w:val="DefaultParagraphFont"/>
    <w:link w:val="Header"/>
    <w:uiPriority w:val="99"/>
    <w:semiHidden/>
    <w:locked/>
    <w:rsid w:val="00014624"/>
    <w:rPr>
      <w:rFonts w:cs="Times New Roman"/>
      <w:sz w:val="24"/>
      <w:szCs w:val="24"/>
    </w:rPr>
  </w:style>
  <w:style w:type="paragraph" w:styleId="Footer">
    <w:name w:val="footer"/>
    <w:basedOn w:val="Normal"/>
    <w:link w:val="FooterChar"/>
    <w:uiPriority w:val="99"/>
    <w:rsid w:val="00EA07A2"/>
    <w:pPr>
      <w:tabs>
        <w:tab w:val="center" w:pos="4819"/>
        <w:tab w:val="right" w:pos="9638"/>
      </w:tabs>
    </w:pPr>
  </w:style>
  <w:style w:type="character" w:customStyle="1" w:styleId="FooterChar">
    <w:name w:val="Footer Char"/>
    <w:basedOn w:val="DefaultParagraphFont"/>
    <w:link w:val="Footer"/>
    <w:uiPriority w:val="99"/>
    <w:semiHidden/>
    <w:locked/>
    <w:rsid w:val="00014624"/>
    <w:rPr>
      <w:rFonts w:cs="Times New Roman"/>
      <w:sz w:val="24"/>
      <w:szCs w:val="24"/>
    </w:rPr>
  </w:style>
  <w:style w:type="paragraph" w:styleId="BodyText">
    <w:name w:val="Body Text"/>
    <w:basedOn w:val="Normal"/>
    <w:link w:val="BodyTextChar"/>
    <w:uiPriority w:val="99"/>
    <w:rsid w:val="00F63189"/>
    <w:pPr>
      <w:jc w:val="center"/>
    </w:pPr>
    <w:rPr>
      <w:szCs w:val="20"/>
    </w:rPr>
  </w:style>
  <w:style w:type="character" w:customStyle="1" w:styleId="BodyTextChar">
    <w:name w:val="Body Text Char"/>
    <w:basedOn w:val="DefaultParagraphFont"/>
    <w:link w:val="BodyText"/>
    <w:uiPriority w:val="99"/>
    <w:locked/>
    <w:rsid w:val="00F63189"/>
    <w:rPr>
      <w:rFonts w:cs="Times New Roman"/>
      <w:sz w:val="24"/>
      <w:lang w:val="lt-LT" w:eastAsia="lt-LT"/>
    </w:rPr>
  </w:style>
  <w:style w:type="paragraph" w:customStyle="1" w:styleId="msolistparagraph0">
    <w:name w:val="msolistparagraph"/>
    <w:basedOn w:val="Normal"/>
    <w:uiPriority w:val="99"/>
    <w:rsid w:val="008721FC"/>
    <w:pPr>
      <w:ind w:left="720"/>
    </w:pPr>
    <w:rPr>
      <w:rFonts w:ascii="Calibri" w:hAnsi="Calibri"/>
      <w:sz w:val="22"/>
      <w:szCs w:val="22"/>
      <w:lang w:val="en-US" w:eastAsia="en-US"/>
    </w:rPr>
  </w:style>
  <w:style w:type="paragraph" w:styleId="NormalWeb">
    <w:name w:val="Normal (Web)"/>
    <w:basedOn w:val="Normal"/>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Normal"/>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 w:type="paragraph" w:customStyle="1" w:styleId="Body">
    <w:name w:val="Body"/>
    <w:rsid w:val="002259D4"/>
    <w:pPr>
      <w:pBdr>
        <w:top w:val="nil"/>
        <w:left w:val="nil"/>
        <w:bottom w:val="nil"/>
        <w:right w:val="nil"/>
        <w:between w:val="nil"/>
        <w:bar w:val="nil"/>
      </w:pBdr>
    </w:pPr>
    <w:rPr>
      <w:rFonts w:eastAsia="Arial Unicode MS" w:cs="Arial Unicode MS"/>
      <w:color w:val="000000"/>
      <w:sz w:val="24"/>
      <w:szCs w:val="24"/>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kovger@teis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DCE58-741C-419E-B32A-66D4A0AC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235</Words>
  <Characters>1740</Characters>
  <Application>Microsoft Office Word</Application>
  <DocSecurity>0</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2010 m.</vt:lpstr>
      <vt:lpstr>2010 m.</vt:lpstr>
    </vt:vector>
  </TitlesOfParts>
  <Company>TM</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Venta Valcackiene</cp:lastModifiedBy>
  <cp:revision>7</cp:revision>
  <cp:lastPrinted>2017-12-11T12:37:00Z</cp:lastPrinted>
  <dcterms:created xsi:type="dcterms:W3CDTF">2018-03-15T08:55:00Z</dcterms:created>
  <dcterms:modified xsi:type="dcterms:W3CDTF">2018-03-15T09:48:00Z</dcterms:modified>
</cp:coreProperties>
</file>