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27B8" w:rsidRDefault="00E527B8" w:rsidP="00E527B8">
      <w:pPr>
        <w:pStyle w:val="Pavadinimas"/>
        <w:rPr>
          <w:b/>
        </w:rPr>
      </w:pPr>
      <w:r>
        <w:rPr>
          <w:b/>
        </w:rPr>
        <w:t>dėl Konsultacijos</w:t>
      </w:r>
    </w:p>
    <w:p w:rsidR="00E527B8" w:rsidRPr="000A188A" w:rsidRDefault="00E527B8" w:rsidP="00E527B8">
      <w:pPr>
        <w:pStyle w:val="Pavadinimas"/>
        <w:rPr>
          <w:b/>
        </w:rPr>
      </w:pPr>
    </w:p>
    <w:p w:rsidR="00E527B8" w:rsidRPr="00C255FD" w:rsidRDefault="00E527B8" w:rsidP="00E527B8">
      <w:pPr>
        <w:pStyle w:val="Sraopastraipa"/>
        <w:ind w:left="0" w:firstLine="851"/>
        <w:jc w:val="both"/>
        <w:rPr>
          <w:rFonts w:ascii="Times New Roman" w:hAnsi="Times New Roman"/>
          <w:i/>
          <w:sz w:val="24"/>
          <w:szCs w:val="24"/>
        </w:rPr>
      </w:pPr>
      <w:r w:rsidRPr="00D64E72">
        <w:rPr>
          <w:rFonts w:ascii="Times New Roman" w:hAnsi="Times New Roman"/>
          <w:sz w:val="24"/>
          <w:szCs w:val="24"/>
        </w:rPr>
        <w:t>Teisėjų etikos ir drausmės komisija (toliau – Komisija) 2018-05-25 posėdyje apsvarstė Jūsų              prašymą suteikti konsultaciją, ar:</w:t>
      </w:r>
      <w:r>
        <w:t xml:space="preserve"> </w:t>
      </w:r>
      <w:r w:rsidRPr="00D64E72">
        <w:rPr>
          <w:rFonts w:ascii="Times New Roman" w:hAnsi="Times New Roman"/>
        </w:rPr>
        <w:t>1)</w:t>
      </w:r>
      <w:r>
        <w:t xml:space="preserve"> </w:t>
      </w:r>
      <w:r w:rsidRPr="00C255FD">
        <w:rPr>
          <w:rFonts w:ascii="Times New Roman" w:hAnsi="Times New Roman"/>
          <w:sz w:val="24"/>
          <w:szCs w:val="24"/>
        </w:rPr>
        <w:t>tuo atveju, kai Vyriausioji tarnybinės etikos komisija yra priėmusi sprendimą, kuriuo pripažįstama, kad teisėjas yra pažeidęs Viešųjų ir privačių interesų derinimo valstybės tarnyboje įstatymą, teismo, kuriame dirba Įstatymą pažeidęs teisėjas, pirmininkas turi pagrindą spręsti klausimą dėl siūlymo kelti teisėjui drausmės bylą;</w:t>
      </w:r>
      <w:r>
        <w:rPr>
          <w:rFonts w:ascii="Times New Roman" w:hAnsi="Times New Roman"/>
          <w:sz w:val="24"/>
          <w:szCs w:val="24"/>
        </w:rPr>
        <w:t xml:space="preserve"> 2) ar</w:t>
      </w:r>
      <w:r w:rsidRPr="00C255FD">
        <w:rPr>
          <w:rFonts w:ascii="Times New Roman" w:hAnsi="Times New Roman"/>
          <w:sz w:val="24"/>
          <w:szCs w:val="24"/>
        </w:rPr>
        <w:t xml:space="preserve"> tuo atveju, kai Vyriausioji tarnybinės etikos komisija  yra priėmusi sprendimą, kuriuo pripažįstama, kad teisėjas yra pažeidęs Viešųjų ir privačių interesų derinimo valstybės tarnyboje įstatymą, teismo, kuriame dirba Įstatymą pažeidęs teisėjas, pirmininkas turėtų imtis teisėjų etikos požiūriu kitų vidinių administravimo priemonių teisėjui</w:t>
      </w:r>
      <w:bookmarkStart w:id="0" w:name="_GoBack"/>
      <w:bookmarkEnd w:id="0"/>
    </w:p>
    <w:p w:rsidR="00E527B8" w:rsidRDefault="00E527B8" w:rsidP="00E527B8">
      <w:pPr>
        <w:tabs>
          <w:tab w:val="left" w:pos="567"/>
        </w:tabs>
        <w:jc w:val="both"/>
      </w:pPr>
      <w:r>
        <w:tab/>
        <w:t xml:space="preserve">Komisija nusprendė </w:t>
      </w:r>
      <w:r w:rsidRPr="005631DD">
        <w:t xml:space="preserve">suteikti </w:t>
      </w:r>
      <w:r>
        <w:t>Klaipėdos apygardos teismui konsultaciją prašomu klausimu.</w:t>
      </w:r>
      <w:r w:rsidRPr="005631DD">
        <w:t xml:space="preserve"> </w:t>
      </w:r>
    </w:p>
    <w:p w:rsidR="00E527B8" w:rsidRPr="002E1164" w:rsidRDefault="00E527B8" w:rsidP="00E527B8">
      <w:pPr>
        <w:ind w:firstLine="737"/>
        <w:jc w:val="both"/>
      </w:pPr>
    </w:p>
    <w:p w:rsidR="00E527B8" w:rsidRPr="0026109C" w:rsidRDefault="00E527B8" w:rsidP="00E527B8">
      <w:pPr>
        <w:shd w:val="clear" w:color="auto" w:fill="FFFFFF"/>
        <w:contextualSpacing/>
        <w:jc w:val="both"/>
        <w:rPr>
          <w:i/>
        </w:rPr>
      </w:pPr>
      <w:r w:rsidRPr="0026109C">
        <w:rPr>
          <w:i/>
        </w:rPr>
        <w:t>Dėl Viešųjų ir privačių interesų derinimo valstybinėje tarnyboje interesų derinimo įstatymo (toliau ir – VPIDVTĮ) taikymo teisėjo veiklai</w:t>
      </w:r>
    </w:p>
    <w:p w:rsidR="00E527B8" w:rsidRPr="0026109C" w:rsidRDefault="00E527B8" w:rsidP="00E527B8">
      <w:pPr>
        <w:shd w:val="clear" w:color="auto" w:fill="FFFFFF"/>
        <w:contextualSpacing/>
        <w:jc w:val="both"/>
      </w:pPr>
    </w:p>
    <w:p w:rsidR="00E527B8" w:rsidRPr="0026109C" w:rsidRDefault="00E527B8" w:rsidP="00E527B8">
      <w:pPr>
        <w:shd w:val="clear" w:color="auto" w:fill="FFFFFF"/>
        <w:ind w:firstLine="720"/>
        <w:contextualSpacing/>
        <w:jc w:val="both"/>
      </w:pPr>
      <w:r w:rsidRPr="0026109C">
        <w:t xml:space="preserve">Konstituciniai valdžios įstaigų tarnavimo žmonėms ir valdžios galių ribojimo Konstitucija imperatyvai (Konstitucijos 5 str.) tuo pačiu nustato ir </w:t>
      </w:r>
      <w:proofErr w:type="spellStart"/>
      <w:r w:rsidRPr="0026109C">
        <w:t>įpareigojimus</w:t>
      </w:r>
      <w:proofErr w:type="spellEnd"/>
      <w:r w:rsidRPr="0026109C">
        <w:t xml:space="preserve"> asmenims, vykdantiems funkcijas įgyvendinant valstybės valdžią, valstybės tarnautojams, taip pat visiems kitiems asmenims, priimantiems visuomenei ir valstybei reikšmingus sprendimus, įskaitant ir teisėjus. Jie turi veikti Tautos ir Lietuvos valstybės interesais, jų veikla turi būti grindžiama viešuoju interesu ir negali iškelti savo asmeninių ar grupinių interesų virš viešojo intereso, negali naudotis savo statusu savo ar sau artimų asmenų ar kitų asmenų privačiai naudai gauti (plg. </w:t>
      </w:r>
      <w:proofErr w:type="spellStart"/>
      <w:r w:rsidRPr="0026109C">
        <w:rPr>
          <w:i/>
        </w:rPr>
        <w:t>inter</w:t>
      </w:r>
      <w:proofErr w:type="spellEnd"/>
      <w:r w:rsidRPr="0026109C">
        <w:rPr>
          <w:i/>
        </w:rPr>
        <w:t xml:space="preserve"> alia</w:t>
      </w:r>
      <w:r w:rsidRPr="0026109C">
        <w:t xml:space="preserve"> KT </w:t>
      </w:r>
      <w:smartTag w:uri="urn:schemas-microsoft-com:office:smarttags" w:element="metricconverter">
        <w:smartTagPr>
          <w:attr w:name="ProductID" w:val="2004 m"/>
        </w:smartTagPr>
        <w:r w:rsidRPr="0026109C">
          <w:t>2004 m</w:t>
        </w:r>
      </w:smartTag>
      <w:r w:rsidRPr="0026109C">
        <w:t xml:space="preserve">. liepos 1 d. nutarimą, </w:t>
      </w:r>
      <w:smartTag w:uri="urn:schemas-microsoft-com:office:smarttags" w:element="metricconverter">
        <w:smartTagPr>
          <w:attr w:name="ProductID" w:val="2005 m"/>
        </w:smartTagPr>
        <w:r w:rsidRPr="0026109C">
          <w:t>2005 m</w:t>
        </w:r>
      </w:smartTag>
      <w:r w:rsidRPr="0026109C">
        <w:t xml:space="preserve">. vasario 10 d. sprendimą, </w:t>
      </w:r>
      <w:smartTag w:uri="urn:schemas-microsoft-com:office:smarttags" w:element="metricconverter">
        <w:smartTagPr>
          <w:attr w:name="ProductID" w:val="2006 m"/>
        </w:smartTagPr>
        <w:r w:rsidRPr="0026109C">
          <w:t>2006 m</w:t>
        </w:r>
      </w:smartTag>
      <w:r w:rsidRPr="0026109C">
        <w:t xml:space="preserve">. gruodžio 21 d. nutarimą). </w:t>
      </w:r>
    </w:p>
    <w:p w:rsidR="00E527B8" w:rsidRDefault="00E527B8" w:rsidP="00E527B8">
      <w:pPr>
        <w:widowControl w:val="0"/>
        <w:tabs>
          <w:tab w:val="left" w:pos="720"/>
        </w:tabs>
        <w:ind w:firstLine="720"/>
        <w:jc w:val="both"/>
      </w:pPr>
      <w:r w:rsidRPr="0026109C">
        <w:rPr>
          <w:rStyle w:val="Emfaz"/>
        </w:rPr>
        <w:t>Šių konstitucinių imperatyvų įgyvendinimui skirtas Viešųjų ir privačiųjų interesų derinimo valstybinėje tarnyboje</w:t>
      </w:r>
      <w:r w:rsidRPr="0026109C">
        <w:rPr>
          <w:rStyle w:val="Puslapioinaosnuoroda"/>
        </w:rPr>
        <w:footnoteReference w:id="1"/>
      </w:r>
      <w:r w:rsidRPr="0026109C">
        <w:rPr>
          <w:rStyle w:val="Emfaz"/>
        </w:rPr>
        <w:t xml:space="preserve"> įstatymas. </w:t>
      </w:r>
      <w:r w:rsidRPr="00FB3836">
        <w:t>Šiuo įstatymu siekiama suderinti valstybinėje tarnyboje dirbančių asmenų privačius ir visuomenės viešuosius interesus, užtikrinti, ka</w:t>
      </w:r>
      <w:r w:rsidRPr="0026109C">
        <w:t xml:space="preserve">d priimant sprendimus pirmenybė būtų teikiama viešiesiems interesams, įtvirtinti priimamų sprendimų nešališkumą ir užkirsti kelią atsirasti bei plisti korupcijai valstybinėje tarnyboje (VPIDVTĮ 1 straipsnis). </w:t>
      </w:r>
    </w:p>
    <w:p w:rsidR="00E527B8" w:rsidRDefault="00E527B8" w:rsidP="00E527B8">
      <w:pPr>
        <w:shd w:val="clear" w:color="auto" w:fill="FFFFFF"/>
        <w:ind w:firstLine="680"/>
        <w:contextualSpacing/>
        <w:jc w:val="both"/>
      </w:pPr>
      <w:r w:rsidRPr="0026109C">
        <w:t xml:space="preserve">VPIDVTĮ (11 str. 1 d. 7 p., 15 str. 2 d.,) teisėjams yra taikomas su tam tikromis išlygomis, kadangi viešųjų interesų viršenybės užtikrinimo būdai nustatomi ir kituose teisėjų veiklą reglamentuojančiuose įstatymuose. Teisėjams kituose įstatymuose gali būti nustatyta ir kitų apribojimų ir draudimų, susijusių su VPIDVTĮ  ar kito teisės akto, reglamentuojančio tarnybinės etikos ir elgesio normas, reikalavimų pažeidimais. </w:t>
      </w:r>
    </w:p>
    <w:p w:rsidR="00E527B8" w:rsidRPr="0026109C" w:rsidRDefault="00E527B8" w:rsidP="00E527B8">
      <w:pPr>
        <w:shd w:val="clear" w:color="auto" w:fill="FFFFFF"/>
        <w:ind w:firstLine="680"/>
        <w:contextualSpacing/>
        <w:jc w:val="both"/>
      </w:pPr>
      <w:r w:rsidRPr="0026109C">
        <w:t>Viešųjų interesų viršenybės užtikrinimo būdai teisėjui vykdant pareigą vengti viešų ir privačių interesų reglamentuojama tiek procesiniuose įstatymuose, tiek Teisėjų etikos kodekse.</w:t>
      </w:r>
    </w:p>
    <w:p w:rsidR="00E527B8" w:rsidRDefault="00E527B8" w:rsidP="00E527B8">
      <w:pPr>
        <w:widowControl w:val="0"/>
        <w:tabs>
          <w:tab w:val="left" w:pos="720"/>
        </w:tabs>
        <w:ind w:firstLine="720"/>
        <w:jc w:val="both"/>
      </w:pPr>
      <w:r w:rsidRPr="0026109C">
        <w:t xml:space="preserve">Teisėjų etikos kodeksas (toliau – ir Kodeksas) nustato pagrindinius Lietuvos Respublikos teisėjų elgesio principus. Kodeksas reglamentuoja teisėjų elgesį tiesioginių pareigų atlikimo metu ir elgesį, nesusijusį su tiesioginių pareigų atlikimu. Kodekso tikslas – apibrėžti veiklos ir elgesio principus, kurių turi laikytis teisėjas, vykdydamas teisės aktuose nustatytas funkcijas ir laisvu nuo tiesioginių funkcijų vykdymo metu; įtvirtinti, kad teisingumas ir kitos bendrai priimtos žmogiškosios vertybės teismų veikloje turi prioritetą; didinti visuomenės pasitikėjimą teismais ir teisėjais, kelti jų autoritetą (Kodekso 1 ir 2 straipsniai). </w:t>
      </w:r>
      <w:r>
        <w:t>K</w:t>
      </w:r>
      <w:r w:rsidRPr="0026109C">
        <w:t xml:space="preserve">odekso 8 straipsnyje 2 punkte aiškiai ir konkrečiai nurodoma teisėjo pareiga vengti viešų ir privačių interesų konflikto. </w:t>
      </w:r>
    </w:p>
    <w:p w:rsidR="00E527B8" w:rsidRDefault="00E527B8" w:rsidP="00E527B8">
      <w:pPr>
        <w:widowControl w:val="0"/>
        <w:tabs>
          <w:tab w:val="left" w:pos="720"/>
        </w:tabs>
        <w:ind w:firstLine="720"/>
        <w:jc w:val="both"/>
      </w:pPr>
      <w:r w:rsidRPr="0026109C">
        <w:t xml:space="preserve">Bet to, Kodekso 15 straipsnio 1 ir 3 punkte formuluojama teisėjo elgesio taisyklė etikos </w:t>
      </w:r>
      <w:r w:rsidRPr="0026109C">
        <w:lastRenderedPageBreak/>
        <w:t xml:space="preserve">aspektu: nepažeisti Lietuvos Respublikos Konstitucijos, tarptautinių sutarčių, įstatymų bei kitų teisės aktų bei savo pareigas atlikti nepriekaištingai, laiku, profesionaliai ir dalykiškai. </w:t>
      </w:r>
    </w:p>
    <w:p w:rsidR="00E527B8" w:rsidRPr="0026109C" w:rsidRDefault="00E527B8" w:rsidP="00E527B8">
      <w:pPr>
        <w:widowControl w:val="0"/>
        <w:tabs>
          <w:tab w:val="left" w:pos="720"/>
        </w:tabs>
        <w:ind w:firstLine="720"/>
        <w:jc w:val="both"/>
      </w:pPr>
      <w:r w:rsidRPr="0026109C">
        <w:rPr>
          <w:rStyle w:val="Emfaz"/>
        </w:rPr>
        <w:t>Komisija</w:t>
      </w:r>
      <w:r>
        <w:rPr>
          <w:rStyle w:val="Emfaz"/>
        </w:rPr>
        <w:t>, teikdama konsultaciją,</w:t>
      </w:r>
      <w:r w:rsidRPr="0026109C">
        <w:rPr>
          <w:rStyle w:val="Emfaz"/>
        </w:rPr>
        <w:t xml:space="preserve"> nepasisako dėl V</w:t>
      </w:r>
      <w:r>
        <w:rPr>
          <w:rStyle w:val="Emfaz"/>
        </w:rPr>
        <w:t xml:space="preserve">yriausiosios tarnybinės etikos komisijos (toliau – VTEK) </w:t>
      </w:r>
      <w:r w:rsidRPr="0026109C">
        <w:rPr>
          <w:rStyle w:val="Emfaz"/>
        </w:rPr>
        <w:t xml:space="preserve">kompetencijos, procedūrų nagrinėjant </w:t>
      </w:r>
      <w:r w:rsidRPr="0026109C">
        <w:t>VPIDVTĮ pažeidimus</w:t>
      </w:r>
      <w:r>
        <w:t>.</w:t>
      </w:r>
    </w:p>
    <w:p w:rsidR="00E527B8" w:rsidRPr="0026109C" w:rsidRDefault="00E527B8" w:rsidP="00E527B8">
      <w:pPr>
        <w:widowControl w:val="0"/>
        <w:tabs>
          <w:tab w:val="left" w:pos="720"/>
        </w:tabs>
        <w:ind w:firstLine="720"/>
        <w:jc w:val="both"/>
      </w:pPr>
      <w:r>
        <w:t xml:space="preserve">Taip pat atkreipia dėmesį, kad Teisėjų etikos komisija </w:t>
      </w:r>
      <w:r w:rsidRPr="0026109C">
        <w:t>savo praktikoje jau yra pasisakiusi, kad VPIDVTĮ nuostatų laikymosi kontrolė Teisėjų etikos ir drausmės komisijai nepriskirta, teisėjų deklaracijų turinio tikrinimas ir vertinimas yra Vyriausiosios tarnybinės etikos komisijos kompetencija</w:t>
      </w:r>
      <w:r>
        <w:t xml:space="preserve"> (Teisėjų etikos ir drausmės komisijos 2018 m. kovo 26 d. sprendimas Nr. 18P-7, 2018 m. vasario 1 d. sprendimas Nr. 18P-3) </w:t>
      </w:r>
    </w:p>
    <w:p w:rsidR="00E527B8" w:rsidRPr="0026109C" w:rsidRDefault="00E527B8" w:rsidP="00E527B8">
      <w:pPr>
        <w:widowControl w:val="0"/>
        <w:tabs>
          <w:tab w:val="left" w:pos="720"/>
        </w:tabs>
        <w:ind w:firstLine="720"/>
        <w:jc w:val="both"/>
      </w:pPr>
    </w:p>
    <w:p w:rsidR="00E527B8" w:rsidRDefault="00E527B8" w:rsidP="00E527B8">
      <w:pPr>
        <w:widowControl w:val="0"/>
        <w:tabs>
          <w:tab w:val="left" w:pos="720"/>
        </w:tabs>
        <w:ind w:firstLine="720"/>
        <w:jc w:val="both"/>
      </w:pPr>
      <w:r w:rsidRPr="000C50EB">
        <w:rPr>
          <w:i/>
          <w:shd w:val="clear" w:color="auto" w:fill="FFFFFF"/>
        </w:rPr>
        <w:t xml:space="preserve">Dėl pagrindo kelti teisėjui drausmės bylą </w:t>
      </w:r>
      <w:r w:rsidRPr="000C50EB">
        <w:rPr>
          <w:i/>
        </w:rPr>
        <w:t>tuo atveju, kai Vyriausioji tarnybinės etikos komisija yra priėmusi sprendimą, kuriuo pripažįstama, kad teisėjas yra pažeidęs Viešųjų ir privačių interesų derinimo valstybės tarnyboje įstatymą</w:t>
      </w:r>
    </w:p>
    <w:p w:rsidR="00E527B8" w:rsidRPr="000C50EB" w:rsidRDefault="00E527B8" w:rsidP="00E527B8">
      <w:pPr>
        <w:widowControl w:val="0"/>
        <w:tabs>
          <w:tab w:val="left" w:pos="720"/>
        </w:tabs>
        <w:ind w:firstLine="720"/>
        <w:jc w:val="both"/>
      </w:pPr>
    </w:p>
    <w:p w:rsidR="00E527B8" w:rsidRPr="0026109C" w:rsidRDefault="00E527B8" w:rsidP="00E527B8">
      <w:pPr>
        <w:widowControl w:val="0"/>
        <w:tabs>
          <w:tab w:val="left" w:pos="720"/>
        </w:tabs>
        <w:ind w:firstLine="720"/>
        <w:jc w:val="both"/>
        <w:rPr>
          <w:b/>
        </w:rPr>
      </w:pPr>
      <w:r w:rsidRPr="000C50EB">
        <w:t>Lietuvos Respublikos teismų įstatymo 83 straipsnio 3 dalyje nustatyta, jog teisėjo vardą žeminantis poelgis</w:t>
      </w:r>
      <w:r w:rsidRPr="000C50EB">
        <w:softHyphen/>
        <w:t xml:space="preserve"> - tai su teisėjo garbe nesuderinamas ir Teisėjų etikos kodekso reikalavimų neatitinkantis poelgis, kuriuos pažeminamas teisėjo vardas  bei kenkiama teismo autoritetui; teisėjo vardą žeminančiu poelgiu pripažįstamas bet koks pareiginis nusižengimas – aiškiai aplaidus konkrečios teisėjo pareigos atlikimas arba jo neatlikimas be pateisinamos priežasties</w:t>
      </w:r>
      <w:r w:rsidRPr="0026109C">
        <w:rPr>
          <w:b/>
        </w:rPr>
        <w:t xml:space="preserve">. </w:t>
      </w:r>
    </w:p>
    <w:p w:rsidR="00E527B8" w:rsidRPr="000C50EB" w:rsidRDefault="00E527B8" w:rsidP="00E527B8">
      <w:pPr>
        <w:widowControl w:val="0"/>
        <w:tabs>
          <w:tab w:val="left" w:pos="720"/>
        </w:tabs>
        <w:jc w:val="both"/>
      </w:pPr>
      <w:r w:rsidRPr="000C50EB">
        <w:rPr>
          <w:color w:val="577295"/>
          <w:shd w:val="clear" w:color="auto" w:fill="FFFFFF"/>
        </w:rPr>
        <w:tab/>
      </w:r>
      <w:r w:rsidRPr="000C50EB">
        <w:rPr>
          <w:shd w:val="clear" w:color="auto" w:fill="FFFFFF"/>
        </w:rPr>
        <w:t>Lietuvos Respublikos Konstitucinis Teismas yra konstatav</w:t>
      </w:r>
      <w:r w:rsidRPr="000C50EB">
        <w:rPr>
          <w:rFonts w:hint="eastAsia"/>
          <w:shd w:val="clear" w:color="auto" w:fill="FFFFFF"/>
        </w:rPr>
        <w:t>ę</w:t>
      </w:r>
      <w:r w:rsidRPr="000C50EB">
        <w:rPr>
          <w:shd w:val="clear" w:color="auto" w:fill="FFFFFF"/>
        </w:rPr>
        <w:t>s, jog Konstitucijoje</w:t>
      </w:r>
      <w:r w:rsidRPr="000C50EB">
        <w:rPr>
          <w:rFonts w:hint="eastAsia"/>
          <w:shd w:val="clear" w:color="auto" w:fill="FFFFFF"/>
        </w:rPr>
        <w:t> </w:t>
      </w:r>
      <w:proofErr w:type="spellStart"/>
      <w:r w:rsidRPr="000C50EB">
        <w:rPr>
          <w:i/>
          <w:iCs/>
          <w:shd w:val="clear" w:color="auto" w:fill="FFFFFF"/>
        </w:rPr>
        <w:t>expressis</w:t>
      </w:r>
      <w:proofErr w:type="spellEnd"/>
      <w:r w:rsidRPr="000C50EB">
        <w:rPr>
          <w:i/>
          <w:iCs/>
          <w:shd w:val="clear" w:color="auto" w:fill="FFFFFF"/>
        </w:rPr>
        <w:t xml:space="preserve"> </w:t>
      </w:r>
      <w:proofErr w:type="spellStart"/>
      <w:r w:rsidRPr="000C50EB">
        <w:rPr>
          <w:i/>
          <w:iCs/>
          <w:shd w:val="clear" w:color="auto" w:fill="FFFFFF"/>
        </w:rPr>
        <w:t>verbis</w:t>
      </w:r>
      <w:proofErr w:type="spellEnd"/>
      <w:r w:rsidRPr="000C50EB">
        <w:rPr>
          <w:rFonts w:hint="eastAsia"/>
          <w:shd w:val="clear" w:color="auto" w:fill="FFFFFF"/>
        </w:rPr>
        <w:t> </w:t>
      </w:r>
      <w:r w:rsidRPr="000C50EB">
        <w:rPr>
          <w:shd w:val="clear" w:color="auto" w:fill="FFFFFF"/>
        </w:rPr>
        <w:t>n</w:t>
      </w:r>
      <w:r w:rsidRPr="000C50EB">
        <w:rPr>
          <w:rFonts w:hint="eastAsia"/>
          <w:shd w:val="clear" w:color="auto" w:fill="FFFFFF"/>
        </w:rPr>
        <w:t>ė</w:t>
      </w:r>
      <w:r w:rsidRPr="000C50EB">
        <w:rPr>
          <w:shd w:val="clear" w:color="auto" w:fill="FFFFFF"/>
        </w:rPr>
        <w:t>ra nustatyta, kokie teis</w:t>
      </w:r>
      <w:r w:rsidRPr="000C50EB">
        <w:rPr>
          <w:rFonts w:hint="eastAsia"/>
          <w:shd w:val="clear" w:color="auto" w:fill="FFFFFF"/>
        </w:rPr>
        <w:t>ė</w:t>
      </w:r>
      <w:r w:rsidRPr="000C50EB">
        <w:rPr>
          <w:shd w:val="clear" w:color="auto" w:fill="FFFFFF"/>
        </w:rPr>
        <w:t>jo poelgiai priskirtini prie toki</w:t>
      </w:r>
      <w:r w:rsidRPr="000C50EB">
        <w:rPr>
          <w:rFonts w:hint="eastAsia"/>
          <w:shd w:val="clear" w:color="auto" w:fill="FFFFFF"/>
        </w:rPr>
        <w:t>ų</w:t>
      </w:r>
      <w:r w:rsidRPr="000C50EB">
        <w:rPr>
          <w:shd w:val="clear" w:color="auto" w:fill="FFFFFF"/>
        </w:rPr>
        <w:t>, kuriais yra pa</w:t>
      </w:r>
      <w:r w:rsidRPr="000C50EB">
        <w:rPr>
          <w:rFonts w:hint="eastAsia"/>
          <w:shd w:val="clear" w:color="auto" w:fill="FFFFFF"/>
        </w:rPr>
        <w:t>ž</w:t>
      </w:r>
      <w:r w:rsidRPr="000C50EB">
        <w:rPr>
          <w:shd w:val="clear" w:color="auto" w:fill="FFFFFF"/>
        </w:rPr>
        <w:t>eminamas teis</w:t>
      </w:r>
      <w:r w:rsidRPr="000C50EB">
        <w:rPr>
          <w:rFonts w:hint="eastAsia"/>
          <w:shd w:val="clear" w:color="auto" w:fill="FFFFFF"/>
        </w:rPr>
        <w:t>ė</w:t>
      </w:r>
      <w:r w:rsidRPr="000C50EB">
        <w:rPr>
          <w:shd w:val="clear" w:color="auto" w:fill="FFFFFF"/>
        </w:rPr>
        <w:t>jo vardas; formuluot</w:t>
      </w:r>
      <w:r w:rsidRPr="000C50EB">
        <w:rPr>
          <w:rFonts w:hint="eastAsia"/>
          <w:shd w:val="clear" w:color="auto" w:fill="FFFFFF"/>
        </w:rPr>
        <w:t>ė</w:t>
      </w:r>
      <w:r w:rsidRPr="000C50EB">
        <w:rPr>
          <w:shd w:val="clear" w:color="auto" w:fill="FFFFFF"/>
        </w:rPr>
        <w:t xml:space="preserve"> </w:t>
      </w:r>
      <w:r w:rsidRPr="000C50EB">
        <w:rPr>
          <w:rFonts w:hint="eastAsia"/>
          <w:shd w:val="clear" w:color="auto" w:fill="FFFFFF"/>
        </w:rPr>
        <w:t>„</w:t>
      </w:r>
      <w:r w:rsidRPr="000C50EB">
        <w:rPr>
          <w:shd w:val="clear" w:color="auto" w:fill="FFFFFF"/>
        </w:rPr>
        <w:t>teis</w:t>
      </w:r>
      <w:r w:rsidRPr="000C50EB">
        <w:rPr>
          <w:rFonts w:hint="eastAsia"/>
          <w:shd w:val="clear" w:color="auto" w:fill="FFFFFF"/>
        </w:rPr>
        <w:t>ė</w:t>
      </w:r>
      <w:r w:rsidRPr="000C50EB">
        <w:rPr>
          <w:shd w:val="clear" w:color="auto" w:fill="FFFFFF"/>
        </w:rPr>
        <w:t>jo vard</w:t>
      </w:r>
      <w:r w:rsidRPr="000C50EB">
        <w:rPr>
          <w:rFonts w:hint="eastAsia"/>
          <w:shd w:val="clear" w:color="auto" w:fill="FFFFFF"/>
        </w:rPr>
        <w:t>ą</w:t>
      </w:r>
      <w:r w:rsidRPr="000C50EB">
        <w:rPr>
          <w:shd w:val="clear" w:color="auto" w:fill="FFFFFF"/>
        </w:rPr>
        <w:t xml:space="preserve"> pa</w:t>
      </w:r>
      <w:r w:rsidRPr="000C50EB">
        <w:rPr>
          <w:rFonts w:hint="eastAsia"/>
          <w:shd w:val="clear" w:color="auto" w:fill="FFFFFF"/>
        </w:rPr>
        <w:t>ž</w:t>
      </w:r>
      <w:r w:rsidRPr="000C50EB">
        <w:rPr>
          <w:shd w:val="clear" w:color="auto" w:fill="FFFFFF"/>
        </w:rPr>
        <w:t>eminantis poelgis</w:t>
      </w:r>
      <w:r w:rsidRPr="000C50EB">
        <w:rPr>
          <w:rFonts w:hint="eastAsia"/>
          <w:shd w:val="clear" w:color="auto" w:fill="FFFFFF"/>
        </w:rPr>
        <w:t>“</w:t>
      </w:r>
      <w:r w:rsidRPr="000C50EB">
        <w:rPr>
          <w:shd w:val="clear" w:color="auto" w:fill="FFFFFF"/>
        </w:rPr>
        <w:t xml:space="preserve"> yra talpi, ji apima ne tik teis</w:t>
      </w:r>
      <w:r w:rsidRPr="000C50EB">
        <w:rPr>
          <w:rFonts w:hint="eastAsia"/>
          <w:shd w:val="clear" w:color="auto" w:fill="FFFFFF"/>
        </w:rPr>
        <w:t>ė</w:t>
      </w:r>
      <w:r w:rsidRPr="000C50EB">
        <w:rPr>
          <w:shd w:val="clear" w:color="auto" w:fill="FFFFFF"/>
        </w:rPr>
        <w:t>jo elges</w:t>
      </w:r>
      <w:r w:rsidRPr="000C50EB">
        <w:rPr>
          <w:rFonts w:hint="eastAsia"/>
          <w:shd w:val="clear" w:color="auto" w:fill="FFFFFF"/>
        </w:rPr>
        <w:t>į</w:t>
      </w:r>
      <w:r w:rsidRPr="000C50EB">
        <w:rPr>
          <w:shd w:val="clear" w:color="auto" w:fill="FFFFFF"/>
        </w:rPr>
        <w:t>, kuriuo jis teis</w:t>
      </w:r>
      <w:r w:rsidRPr="000C50EB">
        <w:rPr>
          <w:rFonts w:hint="eastAsia"/>
          <w:shd w:val="clear" w:color="auto" w:fill="FFFFFF"/>
        </w:rPr>
        <w:t>ė</w:t>
      </w:r>
      <w:r w:rsidRPr="000C50EB">
        <w:rPr>
          <w:shd w:val="clear" w:color="auto" w:fill="FFFFFF"/>
        </w:rPr>
        <w:t>jo vard</w:t>
      </w:r>
      <w:r w:rsidRPr="000C50EB">
        <w:rPr>
          <w:rFonts w:hint="eastAsia"/>
          <w:shd w:val="clear" w:color="auto" w:fill="FFFFFF"/>
        </w:rPr>
        <w:t>ą</w:t>
      </w:r>
      <w:r w:rsidRPr="000C50EB">
        <w:rPr>
          <w:shd w:val="clear" w:color="auto" w:fill="FFFFFF"/>
        </w:rPr>
        <w:t xml:space="preserve"> pa</w:t>
      </w:r>
      <w:r w:rsidRPr="000C50EB">
        <w:rPr>
          <w:rFonts w:hint="eastAsia"/>
          <w:shd w:val="clear" w:color="auto" w:fill="FFFFFF"/>
        </w:rPr>
        <w:t>ž</w:t>
      </w:r>
      <w:r w:rsidRPr="000C50EB">
        <w:rPr>
          <w:shd w:val="clear" w:color="auto" w:fill="FFFFFF"/>
        </w:rPr>
        <w:t>emino vykdydamas savo, kaip teis</w:t>
      </w:r>
      <w:r w:rsidRPr="000C50EB">
        <w:rPr>
          <w:rFonts w:hint="eastAsia"/>
          <w:shd w:val="clear" w:color="auto" w:fill="FFFFFF"/>
        </w:rPr>
        <w:t>ė</w:t>
      </w:r>
      <w:r w:rsidRPr="000C50EB">
        <w:rPr>
          <w:shd w:val="clear" w:color="auto" w:fill="FFFFFF"/>
        </w:rPr>
        <w:t xml:space="preserve">jo, </w:t>
      </w:r>
      <w:r w:rsidRPr="000C50EB">
        <w:rPr>
          <w:rFonts w:hint="eastAsia"/>
          <w:shd w:val="clear" w:color="auto" w:fill="FFFFFF"/>
        </w:rPr>
        <w:t>į</w:t>
      </w:r>
      <w:r w:rsidRPr="000C50EB">
        <w:rPr>
          <w:shd w:val="clear" w:color="auto" w:fill="FFFFFF"/>
        </w:rPr>
        <w:t>galiojimus, bet ir teis</w:t>
      </w:r>
      <w:r w:rsidRPr="000C50EB">
        <w:rPr>
          <w:rFonts w:hint="eastAsia"/>
          <w:shd w:val="clear" w:color="auto" w:fill="FFFFFF"/>
        </w:rPr>
        <w:t>ė</w:t>
      </w:r>
      <w:r w:rsidRPr="000C50EB">
        <w:rPr>
          <w:shd w:val="clear" w:color="auto" w:fill="FFFFFF"/>
        </w:rPr>
        <w:t>jo vard</w:t>
      </w:r>
      <w:r w:rsidRPr="000C50EB">
        <w:rPr>
          <w:rFonts w:hint="eastAsia"/>
          <w:shd w:val="clear" w:color="auto" w:fill="FFFFFF"/>
        </w:rPr>
        <w:t>ą</w:t>
      </w:r>
      <w:r w:rsidRPr="000C50EB">
        <w:rPr>
          <w:shd w:val="clear" w:color="auto" w:fill="FFFFFF"/>
        </w:rPr>
        <w:t xml:space="preserve"> pa</w:t>
      </w:r>
      <w:r w:rsidRPr="000C50EB">
        <w:rPr>
          <w:rFonts w:hint="eastAsia"/>
          <w:shd w:val="clear" w:color="auto" w:fill="FFFFFF"/>
        </w:rPr>
        <w:t>ž</w:t>
      </w:r>
      <w:r w:rsidRPr="000C50EB">
        <w:rPr>
          <w:shd w:val="clear" w:color="auto" w:fill="FFFFFF"/>
        </w:rPr>
        <w:t>eminus</w:t>
      </w:r>
      <w:r w:rsidRPr="000C50EB">
        <w:rPr>
          <w:rFonts w:hint="eastAsia"/>
          <w:shd w:val="clear" w:color="auto" w:fill="FFFFFF"/>
        </w:rPr>
        <w:t>į</w:t>
      </w:r>
      <w:r w:rsidRPr="000C50EB">
        <w:rPr>
          <w:shd w:val="clear" w:color="auto" w:fill="FFFFFF"/>
        </w:rPr>
        <w:t xml:space="preserve"> elges</w:t>
      </w:r>
      <w:r w:rsidRPr="000C50EB">
        <w:rPr>
          <w:rFonts w:hint="eastAsia"/>
          <w:shd w:val="clear" w:color="auto" w:fill="FFFFFF"/>
        </w:rPr>
        <w:t>į</w:t>
      </w:r>
      <w:r w:rsidRPr="000C50EB">
        <w:rPr>
          <w:shd w:val="clear" w:color="auto" w:fill="FFFFFF"/>
        </w:rPr>
        <w:t>, nesusijus</w:t>
      </w:r>
      <w:r w:rsidRPr="000C50EB">
        <w:rPr>
          <w:rFonts w:hint="eastAsia"/>
          <w:shd w:val="clear" w:color="auto" w:fill="FFFFFF"/>
        </w:rPr>
        <w:t>į</w:t>
      </w:r>
      <w:r w:rsidRPr="000C50EB">
        <w:rPr>
          <w:shd w:val="clear" w:color="auto" w:fill="FFFFFF"/>
        </w:rPr>
        <w:t xml:space="preserve"> su teis</w:t>
      </w:r>
      <w:r w:rsidRPr="000C50EB">
        <w:rPr>
          <w:rFonts w:hint="eastAsia"/>
          <w:shd w:val="clear" w:color="auto" w:fill="FFFFFF"/>
        </w:rPr>
        <w:t>ė</w:t>
      </w:r>
      <w:r w:rsidRPr="000C50EB">
        <w:rPr>
          <w:shd w:val="clear" w:color="auto" w:fill="FFFFFF"/>
        </w:rPr>
        <w:t xml:space="preserve">jo </w:t>
      </w:r>
      <w:r w:rsidRPr="000C50EB">
        <w:rPr>
          <w:rFonts w:hint="eastAsia"/>
          <w:shd w:val="clear" w:color="auto" w:fill="FFFFFF"/>
        </w:rPr>
        <w:t>į</w:t>
      </w:r>
      <w:r w:rsidRPr="000C50EB">
        <w:rPr>
          <w:shd w:val="clear" w:color="auto" w:fill="FFFFFF"/>
        </w:rPr>
        <w:t>galiojim</w:t>
      </w:r>
      <w:r w:rsidRPr="000C50EB">
        <w:rPr>
          <w:rFonts w:hint="eastAsia"/>
          <w:shd w:val="clear" w:color="auto" w:fill="FFFFFF"/>
        </w:rPr>
        <w:t>ų</w:t>
      </w:r>
      <w:r w:rsidRPr="000C50EB">
        <w:rPr>
          <w:shd w:val="clear" w:color="auto" w:fill="FFFFFF"/>
        </w:rPr>
        <w:t xml:space="preserve"> vykdymu; pagal Konstitucij</w:t>
      </w:r>
      <w:r w:rsidRPr="000C50EB">
        <w:rPr>
          <w:rFonts w:hint="eastAsia"/>
          <w:shd w:val="clear" w:color="auto" w:fill="FFFFFF"/>
        </w:rPr>
        <w:t>ą</w:t>
      </w:r>
      <w:r w:rsidRPr="000C50EB">
        <w:rPr>
          <w:shd w:val="clear" w:color="auto" w:fill="FFFFFF"/>
        </w:rPr>
        <w:t xml:space="preserve"> </w:t>
      </w:r>
      <w:r w:rsidRPr="000C50EB">
        <w:rPr>
          <w:rFonts w:hint="eastAsia"/>
          <w:shd w:val="clear" w:color="auto" w:fill="FFFFFF"/>
        </w:rPr>
        <w:t>į</w:t>
      </w:r>
      <w:r w:rsidRPr="000C50EB">
        <w:rPr>
          <w:shd w:val="clear" w:color="auto" w:fill="FFFFFF"/>
        </w:rPr>
        <w:t>statym</w:t>
      </w:r>
      <w:r w:rsidRPr="000C50EB">
        <w:rPr>
          <w:rFonts w:hint="eastAsia"/>
          <w:shd w:val="clear" w:color="auto" w:fill="FFFFFF"/>
        </w:rPr>
        <w:t>ų</w:t>
      </w:r>
      <w:r w:rsidRPr="000C50EB">
        <w:rPr>
          <w:shd w:val="clear" w:color="auto" w:fill="FFFFFF"/>
        </w:rPr>
        <w:t xml:space="preserve"> leid</w:t>
      </w:r>
      <w:r w:rsidRPr="000C50EB">
        <w:rPr>
          <w:rFonts w:hint="eastAsia"/>
          <w:shd w:val="clear" w:color="auto" w:fill="FFFFFF"/>
        </w:rPr>
        <w:t>ė</w:t>
      </w:r>
      <w:r w:rsidRPr="000C50EB">
        <w:rPr>
          <w:shd w:val="clear" w:color="auto" w:fill="FFFFFF"/>
        </w:rPr>
        <w:t>jas, taip pat teism</w:t>
      </w:r>
      <w:r w:rsidRPr="000C50EB">
        <w:rPr>
          <w:rFonts w:hint="eastAsia"/>
          <w:shd w:val="clear" w:color="auto" w:fill="FFFFFF"/>
        </w:rPr>
        <w:t>ų</w:t>
      </w:r>
      <w:r w:rsidRPr="000C50EB">
        <w:rPr>
          <w:shd w:val="clear" w:color="auto" w:fill="FFFFFF"/>
        </w:rPr>
        <w:t xml:space="preserve"> savivaldos institucijos turi </w:t>
      </w:r>
      <w:proofErr w:type="spellStart"/>
      <w:r w:rsidRPr="000C50EB">
        <w:rPr>
          <w:shd w:val="clear" w:color="auto" w:fill="FFFFFF"/>
        </w:rPr>
        <w:t>diskrecij</w:t>
      </w:r>
      <w:r w:rsidRPr="000C50EB">
        <w:rPr>
          <w:rFonts w:hint="eastAsia"/>
          <w:shd w:val="clear" w:color="auto" w:fill="FFFFFF"/>
        </w:rPr>
        <w:t>ą</w:t>
      </w:r>
      <w:proofErr w:type="spellEnd"/>
      <w:r w:rsidRPr="000C50EB">
        <w:rPr>
          <w:shd w:val="clear" w:color="auto" w:fill="FFFFFF"/>
        </w:rPr>
        <w:t xml:space="preserve"> nustatyti, kokie teis</w:t>
      </w:r>
      <w:r w:rsidRPr="000C50EB">
        <w:rPr>
          <w:rFonts w:hint="eastAsia"/>
          <w:shd w:val="clear" w:color="auto" w:fill="FFFFFF"/>
        </w:rPr>
        <w:t>ė</w:t>
      </w:r>
      <w:r w:rsidRPr="000C50EB">
        <w:rPr>
          <w:shd w:val="clear" w:color="auto" w:fill="FFFFFF"/>
        </w:rPr>
        <w:t>jo poelgiai priskirtini prie toki</w:t>
      </w:r>
      <w:r w:rsidRPr="000C50EB">
        <w:rPr>
          <w:rFonts w:hint="eastAsia"/>
          <w:shd w:val="clear" w:color="auto" w:fill="FFFFFF"/>
        </w:rPr>
        <w:t>ų</w:t>
      </w:r>
      <w:r w:rsidRPr="000C50EB">
        <w:rPr>
          <w:shd w:val="clear" w:color="auto" w:fill="FFFFFF"/>
        </w:rPr>
        <w:t>, kuriais pa</w:t>
      </w:r>
      <w:r w:rsidRPr="000C50EB">
        <w:rPr>
          <w:rFonts w:hint="eastAsia"/>
          <w:shd w:val="clear" w:color="auto" w:fill="FFFFFF"/>
        </w:rPr>
        <w:t>ž</w:t>
      </w:r>
      <w:r w:rsidRPr="000C50EB">
        <w:rPr>
          <w:shd w:val="clear" w:color="auto" w:fill="FFFFFF"/>
        </w:rPr>
        <w:t>eminamas teis</w:t>
      </w:r>
      <w:r w:rsidRPr="000C50EB">
        <w:rPr>
          <w:rFonts w:hint="eastAsia"/>
          <w:shd w:val="clear" w:color="auto" w:fill="FFFFFF"/>
        </w:rPr>
        <w:t>ė</w:t>
      </w:r>
      <w:r w:rsidRPr="000C50EB">
        <w:rPr>
          <w:shd w:val="clear" w:color="auto" w:fill="FFFFFF"/>
        </w:rPr>
        <w:t>jo vardas, ta</w:t>
      </w:r>
      <w:r w:rsidRPr="000C50EB">
        <w:rPr>
          <w:rFonts w:hint="eastAsia"/>
          <w:shd w:val="clear" w:color="auto" w:fill="FFFFFF"/>
        </w:rPr>
        <w:t>č</w:t>
      </w:r>
      <w:r w:rsidRPr="000C50EB">
        <w:rPr>
          <w:shd w:val="clear" w:color="auto" w:fill="FFFFFF"/>
        </w:rPr>
        <w:t xml:space="preserve">iau nei </w:t>
      </w:r>
      <w:r w:rsidRPr="000C50EB">
        <w:rPr>
          <w:rFonts w:hint="eastAsia"/>
          <w:shd w:val="clear" w:color="auto" w:fill="FFFFFF"/>
        </w:rPr>
        <w:t>į</w:t>
      </w:r>
      <w:r w:rsidRPr="000C50EB">
        <w:rPr>
          <w:shd w:val="clear" w:color="auto" w:fill="FFFFFF"/>
        </w:rPr>
        <w:t>statymais, nei teism</w:t>
      </w:r>
      <w:r w:rsidRPr="000C50EB">
        <w:rPr>
          <w:rFonts w:hint="eastAsia"/>
          <w:shd w:val="clear" w:color="auto" w:fill="FFFFFF"/>
        </w:rPr>
        <w:t>ų</w:t>
      </w:r>
      <w:r w:rsidRPr="000C50EB">
        <w:rPr>
          <w:shd w:val="clear" w:color="auto" w:fill="FFFFFF"/>
        </w:rPr>
        <w:t xml:space="preserve"> savivaldos institucij</w:t>
      </w:r>
      <w:r w:rsidRPr="000C50EB">
        <w:rPr>
          <w:rFonts w:hint="eastAsia"/>
          <w:shd w:val="clear" w:color="auto" w:fill="FFFFFF"/>
        </w:rPr>
        <w:t>ų</w:t>
      </w:r>
      <w:r w:rsidRPr="000C50EB">
        <w:rPr>
          <w:shd w:val="clear" w:color="auto" w:fill="FFFFFF"/>
        </w:rPr>
        <w:t xml:space="preserve"> sprendimais negali b</w:t>
      </w:r>
      <w:r w:rsidRPr="000C50EB">
        <w:rPr>
          <w:rFonts w:hint="eastAsia"/>
          <w:shd w:val="clear" w:color="auto" w:fill="FFFFFF"/>
        </w:rPr>
        <w:t>ū</w:t>
      </w:r>
      <w:r w:rsidRPr="000C50EB">
        <w:rPr>
          <w:shd w:val="clear" w:color="auto" w:fill="FFFFFF"/>
        </w:rPr>
        <w:t>ti nustatytas koks nors i</w:t>
      </w:r>
      <w:r w:rsidRPr="000C50EB">
        <w:rPr>
          <w:rFonts w:hint="eastAsia"/>
          <w:shd w:val="clear" w:color="auto" w:fill="FFFFFF"/>
        </w:rPr>
        <w:t>š</w:t>
      </w:r>
      <w:r w:rsidRPr="000C50EB">
        <w:rPr>
          <w:shd w:val="clear" w:color="auto" w:fill="FFFFFF"/>
        </w:rPr>
        <w:t>samus (baigtinis) poelgi</w:t>
      </w:r>
      <w:r w:rsidRPr="000C50EB">
        <w:rPr>
          <w:rFonts w:hint="eastAsia"/>
          <w:shd w:val="clear" w:color="auto" w:fill="FFFFFF"/>
        </w:rPr>
        <w:t>ų</w:t>
      </w:r>
      <w:r w:rsidRPr="000C50EB">
        <w:rPr>
          <w:shd w:val="clear" w:color="auto" w:fill="FFFFFF"/>
        </w:rPr>
        <w:t>, kuriais teis</w:t>
      </w:r>
      <w:r w:rsidRPr="000C50EB">
        <w:rPr>
          <w:rFonts w:hint="eastAsia"/>
          <w:shd w:val="clear" w:color="auto" w:fill="FFFFFF"/>
        </w:rPr>
        <w:t>ė</w:t>
      </w:r>
      <w:r w:rsidRPr="000C50EB">
        <w:rPr>
          <w:shd w:val="clear" w:color="auto" w:fill="FFFFFF"/>
        </w:rPr>
        <w:t>jas pa</w:t>
      </w:r>
      <w:r w:rsidRPr="000C50EB">
        <w:rPr>
          <w:rFonts w:hint="eastAsia"/>
          <w:shd w:val="clear" w:color="auto" w:fill="FFFFFF"/>
        </w:rPr>
        <w:t>ž</w:t>
      </w:r>
      <w:r w:rsidRPr="000C50EB">
        <w:rPr>
          <w:shd w:val="clear" w:color="auto" w:fill="FFFFFF"/>
        </w:rPr>
        <w:t>emina teis</w:t>
      </w:r>
      <w:r w:rsidRPr="000C50EB">
        <w:rPr>
          <w:rFonts w:hint="eastAsia"/>
          <w:shd w:val="clear" w:color="auto" w:fill="FFFFFF"/>
        </w:rPr>
        <w:t>ė</w:t>
      </w:r>
      <w:r w:rsidRPr="000C50EB">
        <w:rPr>
          <w:shd w:val="clear" w:color="auto" w:fill="FFFFFF"/>
        </w:rPr>
        <w:t>jo vard</w:t>
      </w:r>
      <w:r w:rsidRPr="000C50EB">
        <w:rPr>
          <w:rFonts w:hint="eastAsia"/>
          <w:shd w:val="clear" w:color="auto" w:fill="FFFFFF"/>
        </w:rPr>
        <w:t>ą</w:t>
      </w:r>
      <w:r w:rsidRPr="000C50EB">
        <w:rPr>
          <w:shd w:val="clear" w:color="auto" w:fill="FFFFFF"/>
        </w:rPr>
        <w:t>, s</w:t>
      </w:r>
      <w:r w:rsidRPr="000C50EB">
        <w:rPr>
          <w:rFonts w:hint="eastAsia"/>
          <w:shd w:val="clear" w:color="auto" w:fill="FFFFFF"/>
        </w:rPr>
        <w:t>ą</w:t>
      </w:r>
      <w:r w:rsidRPr="000C50EB">
        <w:rPr>
          <w:shd w:val="clear" w:color="auto" w:fill="FFFFFF"/>
        </w:rPr>
        <w:t>ra</w:t>
      </w:r>
      <w:r w:rsidRPr="000C50EB">
        <w:rPr>
          <w:rFonts w:hint="eastAsia"/>
          <w:shd w:val="clear" w:color="auto" w:fill="FFFFFF"/>
        </w:rPr>
        <w:t>š</w:t>
      </w:r>
      <w:r w:rsidRPr="000C50EB">
        <w:rPr>
          <w:shd w:val="clear" w:color="auto" w:fill="FFFFFF"/>
        </w:rPr>
        <w:t>as; ar teis</w:t>
      </w:r>
      <w:r w:rsidRPr="000C50EB">
        <w:rPr>
          <w:rFonts w:hint="eastAsia"/>
          <w:shd w:val="clear" w:color="auto" w:fill="FFFFFF"/>
        </w:rPr>
        <w:t>ė</w:t>
      </w:r>
      <w:r w:rsidRPr="000C50EB">
        <w:rPr>
          <w:shd w:val="clear" w:color="auto" w:fill="FFFFFF"/>
        </w:rPr>
        <w:t>jo poelgis yra toks, kuriuo pa</w:t>
      </w:r>
      <w:r w:rsidRPr="000C50EB">
        <w:rPr>
          <w:rFonts w:hint="eastAsia"/>
          <w:shd w:val="clear" w:color="auto" w:fill="FFFFFF"/>
        </w:rPr>
        <w:t>ž</w:t>
      </w:r>
      <w:r w:rsidRPr="000C50EB">
        <w:rPr>
          <w:shd w:val="clear" w:color="auto" w:fill="FFFFFF"/>
        </w:rPr>
        <w:t>eminamas teis</w:t>
      </w:r>
      <w:r w:rsidRPr="000C50EB">
        <w:rPr>
          <w:rFonts w:hint="eastAsia"/>
          <w:shd w:val="clear" w:color="auto" w:fill="FFFFFF"/>
        </w:rPr>
        <w:t>ė</w:t>
      </w:r>
      <w:r w:rsidRPr="000C50EB">
        <w:rPr>
          <w:shd w:val="clear" w:color="auto" w:fill="FFFFFF"/>
        </w:rPr>
        <w:t>jo vardas, kiekvien</w:t>
      </w:r>
      <w:r w:rsidRPr="000C50EB">
        <w:rPr>
          <w:rFonts w:hint="eastAsia"/>
          <w:shd w:val="clear" w:color="auto" w:fill="FFFFFF"/>
        </w:rPr>
        <w:t>ą</w:t>
      </w:r>
      <w:r w:rsidRPr="000C50EB">
        <w:rPr>
          <w:shd w:val="clear" w:color="auto" w:fill="FFFFFF"/>
        </w:rPr>
        <w:t xml:space="preserve"> kart</w:t>
      </w:r>
      <w:r w:rsidRPr="000C50EB">
        <w:rPr>
          <w:rFonts w:hint="eastAsia"/>
          <w:shd w:val="clear" w:color="auto" w:fill="FFFFFF"/>
        </w:rPr>
        <w:t>ą</w:t>
      </w:r>
      <w:r w:rsidRPr="000C50EB">
        <w:rPr>
          <w:shd w:val="clear" w:color="auto" w:fill="FFFFFF"/>
        </w:rPr>
        <w:t xml:space="preserve"> turi b</w:t>
      </w:r>
      <w:r w:rsidRPr="000C50EB">
        <w:rPr>
          <w:rFonts w:hint="eastAsia"/>
          <w:shd w:val="clear" w:color="auto" w:fill="FFFFFF"/>
        </w:rPr>
        <w:t>ū</w:t>
      </w:r>
      <w:r w:rsidRPr="000C50EB">
        <w:rPr>
          <w:shd w:val="clear" w:color="auto" w:fill="FFFFFF"/>
        </w:rPr>
        <w:t>ti sprend</w:t>
      </w:r>
      <w:r w:rsidRPr="000C50EB">
        <w:rPr>
          <w:rFonts w:hint="eastAsia"/>
          <w:shd w:val="clear" w:color="auto" w:fill="FFFFFF"/>
        </w:rPr>
        <w:t>ž</w:t>
      </w:r>
      <w:r w:rsidRPr="000C50EB">
        <w:rPr>
          <w:shd w:val="clear" w:color="auto" w:fill="FFFFFF"/>
        </w:rPr>
        <w:t xml:space="preserve">iama </w:t>
      </w:r>
      <w:r w:rsidRPr="000C50EB">
        <w:rPr>
          <w:rFonts w:hint="eastAsia"/>
          <w:shd w:val="clear" w:color="auto" w:fill="FFFFFF"/>
        </w:rPr>
        <w:t>į</w:t>
      </w:r>
      <w:r w:rsidRPr="000C50EB">
        <w:rPr>
          <w:shd w:val="clear" w:color="auto" w:fill="FFFFFF"/>
        </w:rPr>
        <w:t>vertinus visas su tuo poelgiu susijusias ir turin</w:t>
      </w:r>
      <w:r w:rsidRPr="000C50EB">
        <w:rPr>
          <w:rFonts w:hint="eastAsia"/>
          <w:shd w:val="clear" w:color="auto" w:fill="FFFFFF"/>
        </w:rPr>
        <w:t>č</w:t>
      </w:r>
      <w:r w:rsidRPr="000C50EB">
        <w:rPr>
          <w:shd w:val="clear" w:color="auto" w:fill="FFFFFF"/>
        </w:rPr>
        <w:t>ias reik</w:t>
      </w:r>
      <w:r w:rsidRPr="000C50EB">
        <w:rPr>
          <w:rFonts w:hint="eastAsia"/>
          <w:shd w:val="clear" w:color="auto" w:fill="FFFFFF"/>
        </w:rPr>
        <w:t>š</w:t>
      </w:r>
      <w:r w:rsidRPr="000C50EB">
        <w:rPr>
          <w:shd w:val="clear" w:color="auto" w:fill="FFFFFF"/>
        </w:rPr>
        <w:t>m</w:t>
      </w:r>
      <w:r w:rsidRPr="000C50EB">
        <w:rPr>
          <w:rFonts w:hint="eastAsia"/>
          <w:shd w:val="clear" w:color="auto" w:fill="FFFFFF"/>
        </w:rPr>
        <w:t>ė</w:t>
      </w:r>
      <w:r w:rsidRPr="000C50EB">
        <w:rPr>
          <w:shd w:val="clear" w:color="auto" w:fill="FFFFFF"/>
        </w:rPr>
        <w:t>s bylai aplinkybes (Konstitucinio Teismo 2006 m. lapkri</w:t>
      </w:r>
      <w:r w:rsidRPr="000C50EB">
        <w:rPr>
          <w:rFonts w:hint="eastAsia"/>
          <w:shd w:val="clear" w:color="auto" w:fill="FFFFFF"/>
        </w:rPr>
        <w:t>č</w:t>
      </w:r>
      <w:r w:rsidRPr="000C50EB">
        <w:rPr>
          <w:shd w:val="clear" w:color="auto" w:fill="FFFFFF"/>
        </w:rPr>
        <w:t>io 27 d., 2007 m. sausio 16 d. nutarimai).</w:t>
      </w:r>
    </w:p>
    <w:p w:rsidR="00E527B8" w:rsidRDefault="00E527B8" w:rsidP="00E527B8">
      <w:pPr>
        <w:widowControl w:val="0"/>
        <w:tabs>
          <w:tab w:val="left" w:pos="720"/>
        </w:tabs>
        <w:ind w:firstLine="720"/>
        <w:jc w:val="both"/>
      </w:pPr>
      <w:r w:rsidRPr="00234FD2">
        <w:t xml:space="preserve">Nagrinėjamo klausimo kontekste ir atsižvelgdama į Konstitucinio Teismo jurisprudenciją Teisėjų etikos ir drausmės komisija konstatuoja, kad Komisija </w:t>
      </w:r>
      <w:r>
        <w:t xml:space="preserve">neteikia konkrečių atvejų ar aplinkybių, </w:t>
      </w:r>
      <w:r w:rsidRPr="00234FD2">
        <w:t xml:space="preserve">kuriems esant teismo pirmininkas privalo siūlyti kelti drausmės bylą. Tai yra teismo </w:t>
      </w:r>
      <w:r w:rsidRPr="0026109C">
        <w:t xml:space="preserve">pirmininko ar  kito asmens </w:t>
      </w:r>
      <w:proofErr w:type="spellStart"/>
      <w:r w:rsidRPr="0026109C">
        <w:t>diskrecija</w:t>
      </w:r>
      <w:proofErr w:type="spellEnd"/>
      <w:r w:rsidRPr="0026109C">
        <w:t xml:space="preserve">. </w:t>
      </w:r>
    </w:p>
    <w:p w:rsidR="00E527B8" w:rsidRDefault="00E527B8" w:rsidP="00E527B8">
      <w:pPr>
        <w:widowControl w:val="0"/>
        <w:tabs>
          <w:tab w:val="left" w:pos="720"/>
        </w:tabs>
        <w:ind w:firstLine="720"/>
        <w:jc w:val="both"/>
      </w:pPr>
      <w:r w:rsidRPr="00917250">
        <w:t xml:space="preserve">Tačiau, Komisija, atsakydama į klausimą, ar Teisėjas gali atsakyti drausmine tvarka dėl galimo VPIDVĮ pažeidimo, mano, kad </w:t>
      </w:r>
      <w:r w:rsidRPr="000C50EB">
        <w:t>dvigubo baudimo draudimas (</w:t>
      </w:r>
      <w:proofErr w:type="spellStart"/>
      <w:r w:rsidRPr="000C50EB">
        <w:t>non</w:t>
      </w:r>
      <w:proofErr w:type="spellEnd"/>
      <w:r w:rsidRPr="000C50EB">
        <w:t xml:space="preserve"> bis </w:t>
      </w:r>
      <w:proofErr w:type="spellStart"/>
      <w:r w:rsidRPr="000C50EB">
        <w:t>in</w:t>
      </w:r>
      <w:proofErr w:type="spellEnd"/>
      <w:r w:rsidRPr="000C50EB">
        <w:t xml:space="preserve"> </w:t>
      </w:r>
      <w:proofErr w:type="spellStart"/>
      <w:r w:rsidRPr="000C50EB">
        <w:t>idem</w:t>
      </w:r>
      <w:proofErr w:type="spellEnd"/>
      <w:r w:rsidRPr="000C50EB">
        <w:t xml:space="preserve">) principas nagrinėjamu atveju </w:t>
      </w:r>
      <w:r>
        <w:t xml:space="preserve">nebūtų pažeidžiamas. </w:t>
      </w:r>
      <w:r w:rsidRPr="00917250">
        <w:t xml:space="preserve">Konstitucinis Teismas 2010 m. gegužės 28 d. nutarime yra pasisakęs, kad </w:t>
      </w:r>
      <w:r w:rsidRPr="000C50EB">
        <w:t xml:space="preserve">konstitucinis principas </w:t>
      </w:r>
      <w:proofErr w:type="spellStart"/>
      <w:r w:rsidRPr="000C50EB">
        <w:t>non</w:t>
      </w:r>
      <w:proofErr w:type="spellEnd"/>
      <w:r w:rsidRPr="000C50EB">
        <w:t xml:space="preserve"> bis </w:t>
      </w:r>
      <w:proofErr w:type="spellStart"/>
      <w:r w:rsidRPr="000C50EB">
        <w:t>in</w:t>
      </w:r>
      <w:proofErr w:type="spellEnd"/>
      <w:r w:rsidRPr="000C50EB">
        <w:t xml:space="preserve"> </w:t>
      </w:r>
      <w:proofErr w:type="spellStart"/>
      <w:r w:rsidRPr="000C50EB">
        <w:t>idem</w:t>
      </w:r>
      <w:proofErr w:type="spellEnd"/>
      <w:r w:rsidRPr="000C50EB">
        <w:t xml:space="preserve"> nereiškia, kad už teisės pažeidimą asmuo apskritai negali būti traukiamas skirtingų rūšių </w:t>
      </w:r>
      <w:proofErr w:type="spellStart"/>
      <w:r w:rsidRPr="000C50EB">
        <w:t>teisinėn</w:t>
      </w:r>
      <w:proofErr w:type="spellEnd"/>
      <w:r w:rsidRPr="000C50EB">
        <w:t xml:space="preserve"> atsakomybėn (Konstitucinio Teismo 2001 m. gegužės 7 d., 2005 m. lapkričio 10 d., 2008 m. sausio 21 d. nutarimai). Be to, konstitucinis principas </w:t>
      </w:r>
      <w:proofErr w:type="spellStart"/>
      <w:r w:rsidRPr="000C50EB">
        <w:t>non</w:t>
      </w:r>
      <w:proofErr w:type="spellEnd"/>
      <w:r w:rsidRPr="000C50EB">
        <w:t xml:space="preserve"> bis </w:t>
      </w:r>
      <w:proofErr w:type="spellStart"/>
      <w:r w:rsidRPr="000C50EB">
        <w:t>in</w:t>
      </w:r>
      <w:proofErr w:type="spellEnd"/>
      <w:r w:rsidRPr="000C50EB">
        <w:t xml:space="preserve"> </w:t>
      </w:r>
      <w:proofErr w:type="spellStart"/>
      <w:r w:rsidRPr="000C50EB">
        <w:t>idem</w:t>
      </w:r>
      <w:proofErr w:type="spellEnd"/>
      <w:r w:rsidRPr="000C50EB">
        <w:t xml:space="preserve"> savaime nepaneigia galimybės taikyti asmeniui ne vieną, bet daugiau tos pačios rūšies (t. y. apibrėžiamų tos pačios teisės šakos normomis) sankcijų už tą patį pažeidimą, </w:t>
      </w:r>
    </w:p>
    <w:p w:rsidR="00E527B8" w:rsidRDefault="00E527B8" w:rsidP="00E527B8">
      <w:pPr>
        <w:widowControl w:val="0"/>
        <w:tabs>
          <w:tab w:val="left" w:pos="720"/>
        </w:tabs>
        <w:ind w:firstLine="720"/>
        <w:jc w:val="both"/>
      </w:pPr>
      <w:r>
        <w:t xml:space="preserve">Vadovaujantis šiomis </w:t>
      </w:r>
      <w:r>
        <w:t xml:space="preserve">Komisija </w:t>
      </w:r>
      <w:r w:rsidRPr="0026109C">
        <w:t xml:space="preserve">pažymi, </w:t>
      </w:r>
      <w:r>
        <w:t>jog</w:t>
      </w:r>
      <w:r w:rsidRPr="0026109C">
        <w:t xml:space="preserve"> įgal</w:t>
      </w:r>
      <w:r>
        <w:t xml:space="preserve">iotai institucijai konstatavus teisėjo </w:t>
      </w:r>
      <w:r w:rsidRPr="0026109C">
        <w:t>VPIDVTĮ</w:t>
      </w:r>
      <w:r>
        <w:t xml:space="preserve"> pažeidimo faktą</w:t>
      </w:r>
      <w:r w:rsidRPr="0026109C">
        <w:t xml:space="preserve">, savarankiškai gali būti taikomos ir tarnybinės (drausminės) atsakomybės poveikio priemonės. O tai reiškia, kad kiekvienas formalus VPIDVTĮ pažeidimo atvejis Teisėjų etikos kodekso taikymo kontekste yra vertinamas individualiai, atsižvelgiant į pažeidimo pobūdį (pažeidimo laikotarpį, </w:t>
      </w:r>
      <w:r>
        <w:t xml:space="preserve">faktines </w:t>
      </w:r>
      <w:r w:rsidRPr="0026109C">
        <w:t>aplinkybes</w:t>
      </w:r>
      <w:r>
        <w:t xml:space="preserve"> bei kilusias pasekmes.</w:t>
      </w:r>
    </w:p>
    <w:p w:rsidR="00E527B8" w:rsidRDefault="00E527B8" w:rsidP="00E527B8">
      <w:pPr>
        <w:shd w:val="clear" w:color="auto" w:fill="FFFFFF"/>
        <w:ind w:firstLine="1134"/>
        <w:contextualSpacing/>
        <w:jc w:val="both"/>
        <w:rPr>
          <w:i/>
        </w:rPr>
      </w:pPr>
    </w:p>
    <w:p w:rsidR="00E527B8" w:rsidRDefault="00E527B8" w:rsidP="00E527B8">
      <w:pPr>
        <w:shd w:val="clear" w:color="auto" w:fill="FFFFFF"/>
        <w:ind w:firstLine="1134"/>
        <w:contextualSpacing/>
        <w:jc w:val="both"/>
        <w:rPr>
          <w:i/>
        </w:rPr>
      </w:pPr>
      <w:r w:rsidRPr="000C50EB">
        <w:rPr>
          <w:i/>
        </w:rPr>
        <w:t xml:space="preserve">Dėl viešųjų interesų viršenybės užtikrinimo prevencijos </w:t>
      </w:r>
    </w:p>
    <w:p w:rsidR="00E527B8" w:rsidRPr="000C50EB" w:rsidRDefault="00E527B8" w:rsidP="00E527B8">
      <w:pPr>
        <w:shd w:val="clear" w:color="auto" w:fill="FFFFFF"/>
        <w:ind w:firstLine="1134"/>
        <w:contextualSpacing/>
        <w:jc w:val="both"/>
        <w:rPr>
          <w:i/>
        </w:rPr>
      </w:pPr>
    </w:p>
    <w:p w:rsidR="00E527B8" w:rsidRDefault="00E527B8" w:rsidP="00E527B8">
      <w:pPr>
        <w:widowControl w:val="0"/>
        <w:tabs>
          <w:tab w:val="left" w:pos="720"/>
        </w:tabs>
        <w:ind w:firstLine="720"/>
        <w:jc w:val="both"/>
      </w:pPr>
      <w:r w:rsidRPr="0026109C">
        <w:lastRenderedPageBreak/>
        <w:t xml:space="preserve">Be to, VPIDVTĮ 22 straipsnio 1 dalies 2 punktas numato pareigą ir priemones institucijų vadovams, įskaitant ir teismo pirmininkus, vykdyti viešų ir privačių interesų derinimo prevenciją. </w:t>
      </w:r>
    </w:p>
    <w:p w:rsidR="00E527B8" w:rsidRPr="0026109C" w:rsidRDefault="00E527B8" w:rsidP="00E527B8">
      <w:pPr>
        <w:widowControl w:val="0"/>
        <w:tabs>
          <w:tab w:val="left" w:pos="720"/>
        </w:tabs>
        <w:ind w:firstLine="720"/>
        <w:jc w:val="both"/>
      </w:pPr>
      <w:r w:rsidRPr="0026109C">
        <w:t>Nagrinėjamu klausimu yra svarbu pažymėti, kad teismo pirmininkas vykdantis Įstatyme nustatytą prievolę</w:t>
      </w:r>
      <w:r>
        <w:t xml:space="preserve"> veikia</w:t>
      </w:r>
      <w:r w:rsidRPr="0026109C">
        <w:t xml:space="preserve"> kaip ins</w:t>
      </w:r>
      <w:r>
        <w:t>ti</w:t>
      </w:r>
      <w:r w:rsidRPr="0026109C">
        <w:t xml:space="preserve">tucijos vadovas ir vidinį administravimą atliekantis pareigūnas, į kurio pareigas </w:t>
      </w:r>
      <w:proofErr w:type="spellStart"/>
      <w:r w:rsidRPr="0026109C">
        <w:t>in</w:t>
      </w:r>
      <w:proofErr w:type="spellEnd"/>
      <w:r w:rsidRPr="0026109C">
        <w:t xml:space="preserve"> </w:t>
      </w:r>
      <w:proofErr w:type="spellStart"/>
      <w:r w:rsidRPr="0026109C">
        <w:t>corpore</w:t>
      </w:r>
      <w:proofErr w:type="spellEnd"/>
      <w:r w:rsidRPr="0026109C">
        <w:t xml:space="preserve"> įeina ir Teisėjų etikos kodekso laikymosi priežiūra. </w:t>
      </w:r>
    </w:p>
    <w:p w:rsidR="00E527B8" w:rsidRDefault="00E527B8" w:rsidP="00E527B8">
      <w:pPr>
        <w:widowControl w:val="0"/>
        <w:tabs>
          <w:tab w:val="left" w:pos="720"/>
        </w:tabs>
        <w:ind w:firstLine="720"/>
        <w:jc w:val="both"/>
      </w:pPr>
      <w:r w:rsidRPr="0026109C">
        <w:t>Komisijos nuomone, tais atvejais, kai teismo pirmininkas ar jo įgaliotas asmuo nustato, kad teisėjas galimai pažeidžia VPIDVTĮ normas turi teisę kreiptį į VTEK dėl tyrimo atlikimo jos kompetencijos ribose.</w:t>
      </w:r>
    </w:p>
    <w:p w:rsidR="00E527B8" w:rsidRDefault="00E527B8" w:rsidP="00E527B8">
      <w:pPr>
        <w:widowControl w:val="0"/>
        <w:tabs>
          <w:tab w:val="left" w:pos="720"/>
        </w:tabs>
        <w:ind w:firstLine="720"/>
        <w:jc w:val="both"/>
        <w:rPr>
          <w:shd w:val="clear" w:color="auto" w:fill="FFFFFF"/>
        </w:rPr>
      </w:pPr>
      <w:r>
        <w:t>Be to, Komisija mano reikšminga atkreipti dėmesį į tai, kad t</w:t>
      </w:r>
      <w:r w:rsidRPr="0026109C">
        <w:t>eismo pirmininkui be Teismų įstatyme nustatytos parei</w:t>
      </w:r>
      <w:r>
        <w:t xml:space="preserve">gos kontroliuoti kaip laikomasi </w:t>
      </w:r>
      <w:r w:rsidRPr="0026109C">
        <w:t xml:space="preserve">Teisėjų etikos kodekse nustatytų reikalavimų, </w:t>
      </w:r>
      <w:r w:rsidRPr="0026109C">
        <w:rPr>
          <w:shd w:val="clear" w:color="auto" w:fill="FFFFFF"/>
        </w:rPr>
        <w:t xml:space="preserve">VPIDVTĮ 22 straipsnio 1 dalies 2 punkte nustatytas įpareigojimas kontroliuoti ir darbuotojų VPIDVTĮ vykdymą. Prevencinis darbas gali būti organizuojamas įvairiomis formomis: periodiškai vedami mokymai, teismuose paskiriamas įgaliotas asmuo, atsakingas už viešų ir privačių interesų derinimo prevencijos organizavimą, kuris periodiškai tikrina viešų ir privačių interesų deklaracijų pateikimą, nuolat informuoja kada ir kokiais atvejais yra tikslinamos deklaracijos ir konsultuoja kitais klausimais. </w:t>
      </w:r>
    </w:p>
    <w:p w:rsidR="00E527B8" w:rsidRPr="0026109C" w:rsidRDefault="00E527B8" w:rsidP="00E527B8">
      <w:pPr>
        <w:widowControl w:val="0"/>
        <w:tabs>
          <w:tab w:val="left" w:pos="720"/>
        </w:tabs>
        <w:ind w:firstLine="720"/>
        <w:jc w:val="both"/>
        <w:rPr>
          <w:shd w:val="clear" w:color="auto" w:fill="FFFFFF"/>
        </w:rPr>
      </w:pPr>
      <w:r>
        <w:rPr>
          <w:shd w:val="clear" w:color="auto" w:fill="FFFFFF"/>
        </w:rPr>
        <w:t xml:space="preserve">Atsakydama į iškilusias abejones dėl skatinimo instituto taikymo teisėjams, pažeidusiems </w:t>
      </w:r>
      <w:r w:rsidRPr="00917250">
        <w:t>VPIDVĮ</w:t>
      </w:r>
      <w:r>
        <w:t xml:space="preserve">, Komisija mano, kad šiuo atveju reikėtų atsižvelgti į </w:t>
      </w:r>
      <w:r w:rsidRPr="0026109C">
        <w:t>VPIDVTĮ</w:t>
      </w:r>
      <w:r>
        <w:t xml:space="preserve"> Į 11 straipsnio 1 dalies 7 punkte, 15 straipsnio 2 dalyje nustatytą reguliavimą dėl įstatymo taikymo </w:t>
      </w:r>
      <w:r w:rsidRPr="0026109C">
        <w:t>su tam tikromis išlygomis</w:t>
      </w:r>
      <w:r>
        <w:t>.</w:t>
      </w:r>
    </w:p>
    <w:p w:rsidR="00E527B8" w:rsidRPr="0026109C" w:rsidRDefault="00E527B8" w:rsidP="00E527B8">
      <w:pPr>
        <w:widowControl w:val="0"/>
        <w:tabs>
          <w:tab w:val="left" w:pos="720"/>
        </w:tabs>
        <w:jc w:val="both"/>
        <w:rPr>
          <w:shd w:val="clear" w:color="auto" w:fill="FFFFFF"/>
        </w:rPr>
      </w:pPr>
    </w:p>
    <w:p w:rsidR="00E527B8" w:rsidRPr="0026109C" w:rsidRDefault="00E527B8" w:rsidP="00E527B8">
      <w:pPr>
        <w:jc w:val="both"/>
      </w:pPr>
    </w:p>
    <w:p w:rsidR="00E527B8" w:rsidRPr="0026109C" w:rsidRDefault="00E527B8" w:rsidP="00E527B8">
      <w:pPr>
        <w:shd w:val="clear" w:color="auto" w:fill="FFFFFF"/>
        <w:ind w:firstLine="1134"/>
        <w:contextualSpacing/>
        <w:jc w:val="both"/>
      </w:pPr>
    </w:p>
    <w:p w:rsidR="00E527B8" w:rsidRPr="002B4610" w:rsidRDefault="00E527B8" w:rsidP="00E527B8"/>
    <w:p w:rsidR="00E527B8" w:rsidRDefault="00E527B8" w:rsidP="00E527B8"/>
    <w:p w:rsidR="00E527B8" w:rsidRDefault="00E527B8" w:rsidP="00E527B8">
      <w:pPr>
        <w:jc w:val="both"/>
      </w:pPr>
      <w:r>
        <w:t xml:space="preserve">Pirmininkas </w:t>
      </w:r>
      <w:r>
        <w:tab/>
      </w:r>
      <w:r>
        <w:tab/>
      </w:r>
      <w:r>
        <w:tab/>
      </w:r>
      <w:r>
        <w:tab/>
      </w:r>
      <w:r>
        <w:tab/>
        <w:t xml:space="preserve">               Aurelijus Gutauskas </w:t>
      </w:r>
    </w:p>
    <w:p w:rsidR="00E527B8" w:rsidRDefault="00E527B8" w:rsidP="00E527B8"/>
    <w:p w:rsidR="00E527B8" w:rsidRDefault="00E527B8" w:rsidP="00E527B8"/>
    <w:p w:rsidR="00AD63D2" w:rsidRDefault="00AD63D2"/>
    <w:sectPr w:rsidR="00AD63D2">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7356" w:rsidRDefault="001A7356" w:rsidP="00E527B8">
      <w:r>
        <w:separator/>
      </w:r>
    </w:p>
  </w:endnote>
  <w:endnote w:type="continuationSeparator" w:id="0">
    <w:p w:rsidR="001A7356" w:rsidRDefault="001A7356" w:rsidP="00E527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7356" w:rsidRDefault="001A7356" w:rsidP="00E527B8">
      <w:r>
        <w:separator/>
      </w:r>
    </w:p>
  </w:footnote>
  <w:footnote w:type="continuationSeparator" w:id="0">
    <w:p w:rsidR="001A7356" w:rsidRDefault="001A7356" w:rsidP="00E527B8">
      <w:r>
        <w:continuationSeparator/>
      </w:r>
    </w:p>
  </w:footnote>
  <w:footnote w:id="1">
    <w:p w:rsidR="00E527B8" w:rsidRPr="00444F7A" w:rsidRDefault="00E527B8" w:rsidP="00E527B8">
      <w:pPr>
        <w:pStyle w:val="Puslapioinaostekstas"/>
        <w:widowControl w:val="0"/>
        <w:tabs>
          <w:tab w:val="left" w:pos="720"/>
        </w:tabs>
        <w:ind w:right="43" w:firstLine="720"/>
        <w:rPr>
          <w:i/>
          <w:sz w:val="20"/>
          <w:lang w:val="lt-LT"/>
        </w:rPr>
      </w:pPr>
      <w:r w:rsidRPr="00444F7A">
        <w:rPr>
          <w:rStyle w:val="Puslapioinaosnuoroda"/>
          <w:sz w:val="20"/>
          <w:lang w:val="lt-LT"/>
        </w:rPr>
        <w:footnoteRef/>
      </w:r>
      <w:r w:rsidRPr="00444F7A">
        <w:rPr>
          <w:sz w:val="20"/>
          <w:lang w:val="lt-LT"/>
        </w:rPr>
        <w:t xml:space="preserve"> „Valstybės tarnyba“ ir „valstybinė tarnyba“ – sinonimai. Konstitucijoje vartojama sąvoka „valstybinė tarnyba“ (33, 141 str.). Ordinarinės teisės aktuose šios sąvokos vartojamos pramaišiui (plg., pvz., „Valstybės tarnybos įstatymas“ ir „</w:t>
      </w:r>
      <w:r w:rsidRPr="00444F7A">
        <w:rPr>
          <w:rStyle w:val="Emfaz"/>
          <w:sz w:val="20"/>
          <w:lang w:val="lt-LT"/>
        </w:rPr>
        <w:t>Viešųjų ir privačių interesų derinimo valstybinėje tarnyboje įstatymas</w:t>
      </w:r>
      <w:r w:rsidRPr="00444F7A">
        <w:rPr>
          <w:sz w:val="20"/>
          <w:lang w:val="lt-LT"/>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27B8"/>
    <w:rsid w:val="001A7356"/>
    <w:rsid w:val="00AD63D2"/>
    <w:rsid w:val="00E527B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305CE9A3-F4FB-48F7-AEE7-AA04F4109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527B8"/>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link w:val="PavadinimasDiagrama"/>
    <w:qFormat/>
    <w:rsid w:val="00E527B8"/>
    <w:pPr>
      <w:spacing w:before="40" w:after="40"/>
      <w:ind w:right="1959"/>
    </w:pPr>
    <w:rPr>
      <w:caps/>
    </w:rPr>
  </w:style>
  <w:style w:type="character" w:customStyle="1" w:styleId="PavadinimasDiagrama">
    <w:name w:val="Pavadinimas Diagrama"/>
    <w:basedOn w:val="Numatytasispastraiposriftas"/>
    <w:link w:val="Pavadinimas"/>
    <w:rsid w:val="00E527B8"/>
    <w:rPr>
      <w:rFonts w:ascii="Times New Roman" w:eastAsia="Times New Roman" w:hAnsi="Times New Roman" w:cs="Times New Roman"/>
      <w:caps/>
      <w:sz w:val="24"/>
      <w:szCs w:val="24"/>
    </w:rPr>
  </w:style>
  <w:style w:type="paragraph" w:styleId="Sraopastraipa">
    <w:name w:val="List Paragraph"/>
    <w:basedOn w:val="prastasis"/>
    <w:uiPriority w:val="34"/>
    <w:qFormat/>
    <w:rsid w:val="00E527B8"/>
    <w:pPr>
      <w:spacing w:after="160" w:line="259" w:lineRule="auto"/>
      <w:ind w:left="720"/>
      <w:contextualSpacing/>
    </w:pPr>
    <w:rPr>
      <w:rFonts w:ascii="Calibri" w:eastAsia="Calibri" w:hAnsi="Calibri"/>
      <w:sz w:val="22"/>
      <w:szCs w:val="22"/>
    </w:rPr>
  </w:style>
  <w:style w:type="paragraph" w:styleId="Puslapioinaostekstas">
    <w:name w:val="footnote text"/>
    <w:aliases w:val="Footnote Text Char2,Footnote Text Char Char,Footnote Text Char1 Char Char,Footnote Text Char Char Char Char,Footnote Text Char1 Char Char Char Char,Footnote Text Char Char1 Char Char Char Char,Footnote Text Char1"/>
    <w:basedOn w:val="prastasis"/>
    <w:link w:val="PuslapioinaostekstasDiagrama"/>
    <w:rsid w:val="00E527B8"/>
    <w:pPr>
      <w:jc w:val="both"/>
    </w:pPr>
    <w:rPr>
      <w:sz w:val="18"/>
      <w:szCs w:val="20"/>
      <w:lang w:val="en-US" w:eastAsia="lt-LT"/>
    </w:rPr>
  </w:style>
  <w:style w:type="character" w:customStyle="1" w:styleId="PuslapioinaostekstasDiagrama">
    <w:name w:val="Puslapio išnašos tekstas Diagrama"/>
    <w:aliases w:val="Footnote Text Char2 Diagrama,Footnote Text Char Char Diagrama,Footnote Text Char1 Char Char Diagrama,Footnote Text Char Char Char Char Diagrama,Footnote Text Char1 Char Char Char Char Diagrama"/>
    <w:basedOn w:val="Numatytasispastraiposriftas"/>
    <w:link w:val="Puslapioinaostekstas"/>
    <w:rsid w:val="00E527B8"/>
    <w:rPr>
      <w:rFonts w:ascii="Times New Roman" w:eastAsia="Times New Roman" w:hAnsi="Times New Roman" w:cs="Times New Roman"/>
      <w:sz w:val="18"/>
      <w:szCs w:val="20"/>
      <w:lang w:val="en-US" w:eastAsia="lt-LT"/>
    </w:rPr>
  </w:style>
  <w:style w:type="character" w:styleId="Puslapioinaosnuoroda">
    <w:name w:val="footnote reference"/>
    <w:rsid w:val="00E527B8"/>
    <w:rPr>
      <w:vertAlign w:val="superscript"/>
    </w:rPr>
  </w:style>
  <w:style w:type="character" w:styleId="Emfaz">
    <w:name w:val="Emphasis"/>
    <w:qFormat/>
    <w:rsid w:val="00E527B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6102</Words>
  <Characters>3479</Characters>
  <Application>Microsoft Office Word</Application>
  <DocSecurity>0</DocSecurity>
  <Lines>28</Lines>
  <Paragraphs>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9562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Jovita Ramanauskiene</dc:creator>
  <cp:keywords/>
  <dc:description/>
  <cp:lastModifiedBy>Jovita Ramanauskiene</cp:lastModifiedBy>
  <cp:revision>1</cp:revision>
  <dcterms:created xsi:type="dcterms:W3CDTF">2018-05-30T12:36:00Z</dcterms:created>
  <dcterms:modified xsi:type="dcterms:W3CDTF">2018-05-30T12:37:00Z</dcterms:modified>
</cp:coreProperties>
</file>