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85682">
        <w:rPr>
          <w:rFonts w:ascii="Times New Roman" w:hAnsi="Times New Roman"/>
          <w:sz w:val="24"/>
        </w:rPr>
        <w:t>JURGITĄ JASINSKAITĘ</w:t>
      </w:r>
    </w:p>
    <w:p w:rsidR="00541C29" w:rsidRPr="00FA7A85" w:rsidRDefault="0078568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</w:t>
      </w:r>
      <w:r w:rsidR="00E464D7">
        <w:rPr>
          <w:rFonts w:ascii="Times New Roman" w:hAnsi="Times New Roman"/>
          <w:sz w:val="24"/>
        </w:rPr>
        <w:t>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KAIŠIADORIŲ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E464D7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785682">
        <w:t>birželio 2</w:t>
      </w:r>
      <w:r w:rsidR="005B3D24">
        <w:t>9</w:t>
      </w:r>
      <w:r w:rsidR="00DC0896">
        <w:t xml:space="preserve"> </w:t>
      </w:r>
      <w:r w:rsidR="004530F3">
        <w:t>d. Nr. 13P-</w:t>
      </w:r>
      <w:r w:rsidR="00785682">
        <w:t>61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5B3D24">
        <w:rPr>
          <w:rFonts w:ascii="Times New Roman" w:hAnsi="Times New Roman"/>
          <w:b w:val="0"/>
          <w:sz w:val="24"/>
        </w:rPr>
        <w:t>birželio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F814BB">
        <w:rPr>
          <w:rFonts w:ascii="Times New Roman" w:hAnsi="Times New Roman"/>
          <w:b w:val="0"/>
          <w:sz w:val="24"/>
        </w:rPr>
        <w:t>320</w:t>
      </w:r>
      <w:bookmarkStart w:id="0" w:name="_GoBack"/>
      <w:bookmarkEnd w:id="0"/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41E8D">
        <w:rPr>
          <w:rFonts w:ascii="Times New Roman" w:hAnsi="Times New Roman"/>
          <w:b w:val="0"/>
          <w:sz w:val="24"/>
        </w:rPr>
        <w:t>Jurgitos Jasinskaitės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 xml:space="preserve">atsižvelgusi į </w:t>
      </w:r>
      <w:r w:rsidR="003C4BAE">
        <w:rPr>
          <w:rFonts w:ascii="Times New Roman" w:hAnsi="Times New Roman"/>
          <w:b w:val="0"/>
          <w:sz w:val="24"/>
        </w:rPr>
        <w:t xml:space="preserve">2018 m. gegužės      2 d. rašte Nr. (1.27)-S1-225 išdėstytą Kauno apylinkės teismo pirmininko </w:t>
      </w:r>
      <w:r w:rsidR="0093784F">
        <w:rPr>
          <w:rFonts w:ascii="Times New Roman" w:hAnsi="Times New Roman"/>
          <w:b w:val="0"/>
          <w:sz w:val="24"/>
        </w:rPr>
        <w:t>nuomonę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3C4BAE">
        <w:rPr>
          <w:rFonts w:ascii="Times New Roman" w:hAnsi="Times New Roman"/>
          <w:b w:val="0"/>
          <w:sz w:val="24"/>
        </w:rPr>
        <w:t xml:space="preserve">     </w:t>
      </w:r>
      <w:r w:rsidR="00274B65" w:rsidRPr="00DF08B3">
        <w:rPr>
          <w:rFonts w:ascii="Times New Roman" w:hAnsi="Times New Roman"/>
          <w:b w:val="0"/>
          <w:sz w:val="24"/>
        </w:rPr>
        <w:t xml:space="preserve"> </w:t>
      </w:r>
      <w:r w:rsidR="0093784F">
        <w:rPr>
          <w:rFonts w:ascii="Times New Roman" w:hAnsi="Times New Roman"/>
          <w:b w:val="0"/>
          <w:sz w:val="24"/>
        </w:rPr>
        <w:t xml:space="preserve">n </w:t>
      </w:r>
      <w:r w:rsidR="00274B65" w:rsidRPr="00DF08B3">
        <w:rPr>
          <w:rFonts w:ascii="Times New Roman" w:hAnsi="Times New Roman"/>
          <w:b w:val="0"/>
          <w:sz w:val="24"/>
        </w:rPr>
        <w:t>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3784F">
        <w:rPr>
          <w:b/>
        </w:rPr>
        <w:t>Jurgitą JASINSKAITĘ</w:t>
      </w:r>
      <w:r w:rsidR="000D0D9F">
        <w:rPr>
          <w:b/>
        </w:rPr>
        <w:t xml:space="preserve"> </w:t>
      </w:r>
      <w:r w:rsidR="0093784F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93784F">
        <w:t xml:space="preserve">Kaišiadorių </w:t>
      </w:r>
      <w:r w:rsidR="00E464D7">
        <w:t xml:space="preserve">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E2" w:rsidRDefault="00F534E2">
      <w:r>
        <w:separator/>
      </w:r>
    </w:p>
  </w:endnote>
  <w:endnote w:type="continuationSeparator" w:id="0">
    <w:p w:rsidR="00F534E2" w:rsidRDefault="00F5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E2" w:rsidRDefault="00F534E2">
      <w:r>
        <w:separator/>
      </w:r>
    </w:p>
  </w:footnote>
  <w:footnote w:type="continuationSeparator" w:id="0">
    <w:p w:rsidR="00F534E2" w:rsidRDefault="00F5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1E8D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C4BAE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3D2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682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45C9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3784F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D5290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36FA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34E2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814B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6120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88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2017-12-06T12:01:00Z</dcterms:created>
  <dcterms:modified xsi:type="dcterms:W3CDTF">2018-06-27T12:39:00Z</dcterms:modified>
</cp:coreProperties>
</file>