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6BA" w:rsidRPr="0077679E" w:rsidRDefault="007B76F3" w:rsidP="000A66BA">
      <w:pPr>
        <w:jc w:val="center"/>
        <w:rPr>
          <w:lang w:eastAsia="lt-LT"/>
        </w:rPr>
      </w:pPr>
      <w:r w:rsidRPr="007A0407">
        <w:rPr>
          <w:noProof/>
          <w:lang w:eastAsia="lt-LT"/>
        </w:rPr>
        <w:drawing>
          <wp:inline distT="0" distB="0" distL="0" distR="0" wp14:anchorId="42D23141" wp14:editId="14B85C5D">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0A66BA" w:rsidRDefault="000A66BA" w:rsidP="000A66BA">
      <w:pPr>
        <w:pStyle w:val="Title"/>
        <w:spacing w:line="240" w:lineRule="auto"/>
        <w:rPr>
          <w:rFonts w:ascii="Times New Roman" w:hAnsi="Times New Roman"/>
          <w:sz w:val="24"/>
        </w:rPr>
      </w:pPr>
      <w:r>
        <w:rPr>
          <w:rFonts w:ascii="Times New Roman" w:hAnsi="Times New Roman"/>
          <w:sz w:val="24"/>
        </w:rPr>
        <w:t>TEISĖJŲ TARYBA</w:t>
      </w:r>
    </w:p>
    <w:p w:rsidR="000A66BA" w:rsidRDefault="000A66BA" w:rsidP="000A66BA">
      <w:pPr>
        <w:pStyle w:val="Title"/>
        <w:spacing w:line="240" w:lineRule="auto"/>
        <w:rPr>
          <w:rFonts w:ascii="Times New Roman" w:hAnsi="Times New Roman"/>
          <w:sz w:val="24"/>
        </w:rPr>
      </w:pPr>
    </w:p>
    <w:p w:rsidR="000A66BA" w:rsidRDefault="000A66BA" w:rsidP="000A66BA">
      <w:pPr>
        <w:pStyle w:val="Title"/>
        <w:spacing w:line="240" w:lineRule="auto"/>
        <w:rPr>
          <w:rFonts w:ascii="Times New Roman" w:hAnsi="Times New Roman"/>
          <w:sz w:val="24"/>
        </w:rPr>
      </w:pPr>
      <w:r>
        <w:rPr>
          <w:rFonts w:ascii="Times New Roman" w:hAnsi="Times New Roman"/>
          <w:sz w:val="24"/>
        </w:rPr>
        <w:t>NUTARIMAS</w:t>
      </w:r>
    </w:p>
    <w:p w:rsidR="000A66BA" w:rsidRPr="0069710A" w:rsidRDefault="000A66BA" w:rsidP="000A66BA">
      <w:pPr>
        <w:pStyle w:val="Title"/>
        <w:spacing w:line="240" w:lineRule="auto"/>
        <w:rPr>
          <w:rFonts w:ascii="Times New Roman" w:hAnsi="Times New Roman"/>
          <w:caps/>
          <w:sz w:val="24"/>
        </w:rPr>
      </w:pPr>
      <w:r w:rsidRPr="0069710A">
        <w:rPr>
          <w:rFonts w:ascii="Times New Roman" w:hAnsi="Times New Roman"/>
          <w:caps/>
          <w:sz w:val="24"/>
        </w:rPr>
        <w:t xml:space="preserve">DĖL </w:t>
      </w:r>
      <w:r w:rsidRPr="002422B4">
        <w:rPr>
          <w:rFonts w:ascii="Times New Roman" w:hAnsi="Times New Roman"/>
          <w:caps/>
          <w:sz w:val="24"/>
        </w:rPr>
        <w:t>IKITEISMINIO TYRIMO METU IKITEISMINIO TYRIMO TEISĖJO AR TEISMO PRIIMTŲ NUTARČIŲ NUASMENINIMO IR SKELBIMO INTEGRUOTOJE BAUDŽIAMOJO PROCESO INFORMACINĖJE SISTEMOJE TVARKOS APRAŠ</w:t>
      </w:r>
      <w:r>
        <w:rPr>
          <w:rFonts w:ascii="Times New Roman" w:hAnsi="Times New Roman"/>
          <w:caps/>
          <w:sz w:val="24"/>
        </w:rPr>
        <w:t>o</w:t>
      </w:r>
      <w:r w:rsidRPr="002422B4">
        <w:rPr>
          <w:rFonts w:ascii="Times New Roman" w:hAnsi="Times New Roman"/>
          <w:caps/>
          <w:sz w:val="24"/>
        </w:rPr>
        <w:t xml:space="preserve"> </w:t>
      </w:r>
      <w:r>
        <w:rPr>
          <w:rFonts w:ascii="Times New Roman" w:hAnsi="Times New Roman"/>
          <w:color w:val="000000"/>
          <w:sz w:val="24"/>
        </w:rPr>
        <w:t>PATVIRTINIMO</w:t>
      </w:r>
    </w:p>
    <w:p w:rsidR="000A66BA" w:rsidRPr="0069710A" w:rsidRDefault="000A66BA" w:rsidP="000A66BA">
      <w:pPr>
        <w:pStyle w:val="Title"/>
        <w:spacing w:line="240" w:lineRule="auto"/>
        <w:rPr>
          <w:rFonts w:ascii="Times New Roman" w:hAnsi="Times New Roman"/>
          <w:caps/>
          <w:sz w:val="24"/>
        </w:rPr>
      </w:pPr>
    </w:p>
    <w:p w:rsidR="000A66BA" w:rsidRDefault="000A66BA" w:rsidP="000A66BA">
      <w:pPr>
        <w:pStyle w:val="Date"/>
      </w:pPr>
      <w:r>
        <w:t xml:space="preserve">2018 m. </w:t>
      </w:r>
      <w:r w:rsidR="007B76F3">
        <w:t>lapkričio 30</w:t>
      </w:r>
      <w:r>
        <w:t xml:space="preserve"> d. Nr. </w:t>
      </w:r>
      <w:r w:rsidR="00914083">
        <w:t>13P-</w:t>
      </w:r>
      <w:r w:rsidR="009F43D8">
        <w:t>122</w:t>
      </w:r>
      <w:r w:rsidR="00914083">
        <w:t>-</w:t>
      </w:r>
      <w:r w:rsidR="00914083" w:rsidRPr="008F26FD">
        <w:t>(7.1.2)</w:t>
      </w:r>
      <w:r w:rsidR="00914083">
        <w:t xml:space="preserve">  </w:t>
      </w:r>
    </w:p>
    <w:p w:rsidR="000A66BA" w:rsidRDefault="000A66BA" w:rsidP="000A66BA">
      <w:pPr>
        <w:pStyle w:val="Date"/>
      </w:pPr>
      <w:r>
        <w:t>Vilnius</w:t>
      </w:r>
    </w:p>
    <w:p w:rsidR="000A66BA" w:rsidRPr="00043644" w:rsidRDefault="000A66BA" w:rsidP="000A66BA">
      <w:pPr>
        <w:rPr>
          <w:szCs w:val="24"/>
        </w:rPr>
      </w:pPr>
    </w:p>
    <w:p w:rsidR="000A66BA" w:rsidRPr="00043644" w:rsidRDefault="000A66BA" w:rsidP="00E62E55">
      <w:pPr>
        <w:tabs>
          <w:tab w:val="left" w:pos="993"/>
        </w:tabs>
        <w:spacing w:line="276" w:lineRule="auto"/>
        <w:ind w:firstLine="709"/>
        <w:jc w:val="both"/>
        <w:rPr>
          <w:szCs w:val="24"/>
        </w:rPr>
      </w:pPr>
      <w:r w:rsidRPr="00043644">
        <w:rPr>
          <w:szCs w:val="24"/>
        </w:rPr>
        <w:t xml:space="preserve">Vadovaudamasi Lietuvos Respublikos teismų įstatymo 120 straipsnio </w:t>
      </w:r>
      <w:r>
        <w:rPr>
          <w:szCs w:val="24"/>
        </w:rPr>
        <w:t>27</w:t>
      </w:r>
      <w:r w:rsidRPr="00043644">
        <w:rPr>
          <w:szCs w:val="24"/>
        </w:rPr>
        <w:t xml:space="preserve"> punktu</w:t>
      </w:r>
      <w:r>
        <w:rPr>
          <w:szCs w:val="24"/>
        </w:rPr>
        <w:t xml:space="preserve"> </w:t>
      </w:r>
      <w:r w:rsidRPr="00CE334B">
        <w:rPr>
          <w:szCs w:val="24"/>
        </w:rPr>
        <w:t xml:space="preserve">ir </w:t>
      </w:r>
      <w:r>
        <w:rPr>
          <w:color w:val="00000A"/>
        </w:rPr>
        <w:t>2018 m. kovo 6 d.</w:t>
      </w:r>
      <w:r>
        <w:t xml:space="preserve">  Lietuvos Respublikos vidaus reikalų ministro ir Lietuvos Respublikos generalinio prokuroro įsakymo Nr. </w:t>
      </w:r>
      <w:r w:rsidRPr="002422B4">
        <w:t>1V-184/I-7</w:t>
      </w:r>
      <w:r>
        <w:t xml:space="preserve"> „D</w:t>
      </w:r>
      <w:r w:rsidRPr="002422B4">
        <w:t xml:space="preserve">ėl </w:t>
      </w:r>
      <w:r>
        <w:t>L</w:t>
      </w:r>
      <w:r w:rsidRPr="002422B4">
        <w:t xml:space="preserve">ietuvos </w:t>
      </w:r>
      <w:r>
        <w:t>R</w:t>
      </w:r>
      <w:r w:rsidRPr="002422B4">
        <w:t xml:space="preserve">espublikos vidaus reikalų ministro ir </w:t>
      </w:r>
      <w:r>
        <w:t>L</w:t>
      </w:r>
      <w:r w:rsidRPr="002422B4">
        <w:t xml:space="preserve">ietuvos </w:t>
      </w:r>
      <w:r>
        <w:t>R</w:t>
      </w:r>
      <w:r w:rsidRPr="002422B4">
        <w:t xml:space="preserve">espublikos generalinio </w:t>
      </w:r>
      <w:r>
        <w:t>prokuroro 2016 m. sausio 29 d. įsakymo N</w:t>
      </w:r>
      <w:r w:rsidRPr="002422B4">
        <w:t>r. 1</w:t>
      </w:r>
      <w:r>
        <w:t>V</w:t>
      </w:r>
      <w:r w:rsidRPr="002422B4">
        <w:t>-67/</w:t>
      </w:r>
      <w:r>
        <w:t>I</w:t>
      </w:r>
      <w:r w:rsidRPr="002422B4">
        <w:t xml:space="preserve">-31 </w:t>
      </w:r>
      <w:r>
        <w:t>„Dėl baudžiamosios bylos duomenų tvarkymo elektronine forma ikiteisminio tyrimo metu tvarkos aprašo patvirtinimo“ pakeitimo“ 1.17 punktu</w:t>
      </w:r>
      <w:r w:rsidRPr="00043644">
        <w:rPr>
          <w:szCs w:val="24"/>
        </w:rPr>
        <w:t>, Teisėjų taryba  n u t a r i a:</w:t>
      </w:r>
    </w:p>
    <w:p w:rsidR="000A66BA" w:rsidRDefault="000A66BA">
      <w:pPr>
        <w:pStyle w:val="ListParagraph"/>
        <w:numPr>
          <w:ilvl w:val="0"/>
          <w:numId w:val="2"/>
        </w:numPr>
        <w:tabs>
          <w:tab w:val="left" w:pos="993"/>
        </w:tabs>
        <w:spacing w:after="200" w:line="276" w:lineRule="auto"/>
        <w:ind w:left="0" w:firstLine="709"/>
        <w:jc w:val="both"/>
        <w:rPr>
          <w:szCs w:val="24"/>
        </w:rPr>
      </w:pPr>
      <w:r w:rsidRPr="00A373DE">
        <w:rPr>
          <w:szCs w:val="24"/>
        </w:rPr>
        <w:t xml:space="preserve">Patvirtinti </w:t>
      </w:r>
      <w:r>
        <w:t>I</w:t>
      </w:r>
      <w:r w:rsidRPr="002422B4">
        <w:t>kiteisminio tyrimo metu ikiteisminio tyrimo teisėjo ar teismo priimtų nutarčių nuasmeninimo ir skelbimo integruotoje baudžiamojo proceso informacinėje sistemoje tvarkos apraš</w:t>
      </w:r>
      <w:r>
        <w:t>ą</w:t>
      </w:r>
      <w:r w:rsidRPr="00A373DE">
        <w:rPr>
          <w:szCs w:val="24"/>
        </w:rPr>
        <w:t xml:space="preserve"> (pridedama).</w:t>
      </w:r>
    </w:p>
    <w:p w:rsidR="000A66BA" w:rsidRPr="00A373DE" w:rsidRDefault="000A66BA" w:rsidP="000A66BA">
      <w:pPr>
        <w:pStyle w:val="ListParagraph"/>
        <w:numPr>
          <w:ilvl w:val="0"/>
          <w:numId w:val="2"/>
        </w:numPr>
        <w:tabs>
          <w:tab w:val="left" w:pos="993"/>
        </w:tabs>
        <w:spacing w:after="200" w:line="276" w:lineRule="auto"/>
        <w:ind w:left="0" w:firstLine="709"/>
        <w:jc w:val="both"/>
      </w:pPr>
      <w:r w:rsidRPr="00A373DE">
        <w:t>Nustatyti, kad šis nutarimas įsigalioja nuo 201</w:t>
      </w:r>
      <w:r>
        <w:t>9</w:t>
      </w:r>
      <w:r w:rsidRPr="00A373DE">
        <w:t xml:space="preserve"> m. </w:t>
      </w:r>
      <w:r>
        <w:t>sausio</w:t>
      </w:r>
      <w:r w:rsidRPr="00A373DE">
        <w:t xml:space="preserve"> 1 d.</w:t>
      </w:r>
    </w:p>
    <w:p w:rsidR="000A66BA" w:rsidRDefault="000A66BA" w:rsidP="000A66BA">
      <w:pPr>
        <w:pStyle w:val="ListParagraph"/>
        <w:ind w:left="1069"/>
        <w:jc w:val="both"/>
        <w:rPr>
          <w:szCs w:val="24"/>
        </w:rPr>
      </w:pPr>
    </w:p>
    <w:p w:rsidR="000A66BA" w:rsidRDefault="000A66BA" w:rsidP="000A66BA">
      <w:pPr>
        <w:pStyle w:val="ListParagraph"/>
        <w:ind w:left="1069"/>
        <w:jc w:val="both"/>
        <w:rPr>
          <w:szCs w:val="24"/>
        </w:rPr>
      </w:pPr>
    </w:p>
    <w:p w:rsidR="000A66BA" w:rsidRPr="00A373DE" w:rsidRDefault="000A66BA" w:rsidP="000A66BA">
      <w:pPr>
        <w:pStyle w:val="ListParagraph"/>
        <w:ind w:left="1069"/>
        <w:jc w:val="both"/>
        <w:rPr>
          <w:szCs w:val="24"/>
        </w:rPr>
      </w:pPr>
    </w:p>
    <w:tbl>
      <w:tblPr>
        <w:tblW w:w="0" w:type="auto"/>
        <w:tblLayout w:type="fixed"/>
        <w:tblLook w:val="04A0" w:firstRow="1" w:lastRow="0" w:firstColumn="1" w:lastColumn="0" w:noHBand="0" w:noVBand="1"/>
      </w:tblPr>
      <w:tblGrid>
        <w:gridCol w:w="7196"/>
        <w:gridCol w:w="2602"/>
      </w:tblGrid>
      <w:tr w:rsidR="00914083" w:rsidRPr="006F0B10" w:rsidTr="00FC1BC2">
        <w:tc>
          <w:tcPr>
            <w:tcW w:w="7196" w:type="dxa"/>
            <w:hideMark/>
          </w:tcPr>
          <w:p w:rsidR="00914083" w:rsidRPr="006F0B10" w:rsidRDefault="00914083" w:rsidP="00FC1BC2">
            <w:r>
              <w:t>Pirmininkas</w:t>
            </w:r>
          </w:p>
        </w:tc>
        <w:tc>
          <w:tcPr>
            <w:tcW w:w="2602" w:type="dxa"/>
            <w:hideMark/>
          </w:tcPr>
          <w:p w:rsidR="00914083" w:rsidRDefault="00914083" w:rsidP="00FC1BC2">
            <w:pPr>
              <w:rPr>
                <w:lang w:eastAsia="lt-LT"/>
              </w:rPr>
            </w:pPr>
            <w:r>
              <w:rPr>
                <w:lang w:eastAsia="lt-LT"/>
              </w:rPr>
              <w:t>Rimvydas Norkus</w:t>
            </w:r>
          </w:p>
          <w:p w:rsidR="00914083" w:rsidRPr="006F0B10" w:rsidRDefault="00914083" w:rsidP="00FC1BC2">
            <w:pPr>
              <w:rPr>
                <w:lang w:eastAsia="lt-LT"/>
              </w:rPr>
            </w:pPr>
          </w:p>
        </w:tc>
      </w:tr>
      <w:tr w:rsidR="00914083" w:rsidRPr="006F0B10" w:rsidTr="00FC1BC2">
        <w:tc>
          <w:tcPr>
            <w:tcW w:w="7196" w:type="dxa"/>
          </w:tcPr>
          <w:p w:rsidR="00914083" w:rsidRPr="006F0B10" w:rsidRDefault="00914083" w:rsidP="00FC1BC2">
            <w:pPr>
              <w:spacing w:line="360" w:lineRule="auto"/>
            </w:pPr>
          </w:p>
        </w:tc>
        <w:tc>
          <w:tcPr>
            <w:tcW w:w="2602" w:type="dxa"/>
          </w:tcPr>
          <w:p w:rsidR="00914083" w:rsidRPr="006F0B10" w:rsidRDefault="00914083" w:rsidP="00FC1BC2">
            <w:pPr>
              <w:spacing w:line="360" w:lineRule="auto"/>
            </w:pPr>
          </w:p>
        </w:tc>
      </w:tr>
      <w:tr w:rsidR="00914083" w:rsidRPr="006F0B10" w:rsidTr="00FC1BC2">
        <w:tc>
          <w:tcPr>
            <w:tcW w:w="7196" w:type="dxa"/>
            <w:hideMark/>
          </w:tcPr>
          <w:p w:rsidR="00914083" w:rsidRPr="006F0B10" w:rsidRDefault="00914083" w:rsidP="00FC1BC2">
            <w:r w:rsidRPr="006F0B10">
              <w:t>Sekretorius</w:t>
            </w:r>
          </w:p>
        </w:tc>
        <w:tc>
          <w:tcPr>
            <w:tcW w:w="2602" w:type="dxa"/>
            <w:hideMark/>
          </w:tcPr>
          <w:p w:rsidR="00914083" w:rsidRPr="006F0B10" w:rsidRDefault="00914083" w:rsidP="00FC1BC2">
            <w:pPr>
              <w:rPr>
                <w:lang w:eastAsia="lt-LT"/>
              </w:rPr>
            </w:pPr>
            <w:r w:rsidRPr="006F0B10">
              <w:rPr>
                <w:lang w:eastAsia="lt-LT"/>
              </w:rPr>
              <w:t>Ramūnas Gadliauskas</w:t>
            </w:r>
          </w:p>
        </w:tc>
      </w:tr>
    </w:tbl>
    <w:p w:rsidR="00914083" w:rsidRDefault="00914083" w:rsidP="00914083"/>
    <w:p w:rsidR="000A66BA" w:rsidRDefault="000A66BA" w:rsidP="000A66BA">
      <w:pPr>
        <w:jc w:val="both"/>
        <w:rPr>
          <w:color w:val="000000"/>
          <w:szCs w:val="24"/>
        </w:rPr>
      </w:pPr>
    </w:p>
    <w:p w:rsidR="000A66BA" w:rsidRDefault="000A66BA" w:rsidP="000A66BA">
      <w:pPr>
        <w:jc w:val="both"/>
        <w:rPr>
          <w:color w:val="000000"/>
          <w:szCs w:val="24"/>
        </w:rPr>
      </w:pPr>
    </w:p>
    <w:p w:rsidR="000A66BA" w:rsidRDefault="000A66BA" w:rsidP="000A66BA">
      <w:pPr>
        <w:jc w:val="both"/>
        <w:rPr>
          <w:color w:val="000000"/>
          <w:szCs w:val="24"/>
        </w:rPr>
      </w:pPr>
      <w:r>
        <w:rPr>
          <w:color w:val="000000"/>
          <w:szCs w:val="24"/>
        </w:rPr>
        <w:t>SUDERINTA</w:t>
      </w:r>
    </w:p>
    <w:p w:rsidR="000A66BA" w:rsidRDefault="000A66BA" w:rsidP="000A66BA">
      <w:pPr>
        <w:jc w:val="both"/>
        <w:rPr>
          <w:color w:val="000000"/>
          <w:szCs w:val="24"/>
        </w:rPr>
      </w:pPr>
      <w:r>
        <w:rPr>
          <w:color w:val="000000"/>
          <w:szCs w:val="24"/>
        </w:rPr>
        <w:t>Lietuvos Respublikos generalinės prokuratūros</w:t>
      </w:r>
    </w:p>
    <w:p w:rsidR="000A66BA" w:rsidRPr="00043644" w:rsidRDefault="000A66BA" w:rsidP="000A66BA">
      <w:pPr>
        <w:jc w:val="both"/>
        <w:rPr>
          <w:color w:val="000000"/>
          <w:szCs w:val="24"/>
        </w:rPr>
      </w:pPr>
      <w:r>
        <w:rPr>
          <w:color w:val="000000"/>
          <w:szCs w:val="24"/>
        </w:rPr>
        <w:t xml:space="preserve">2018 m. </w:t>
      </w:r>
      <w:r w:rsidR="005A403C">
        <w:rPr>
          <w:color w:val="000000"/>
          <w:szCs w:val="24"/>
        </w:rPr>
        <w:t>lapkričio 16 d. raštu Nr. 17.2.-5769</w:t>
      </w:r>
    </w:p>
    <w:p w:rsidR="000A66BA" w:rsidRDefault="000A66BA" w:rsidP="000A66BA">
      <w:pPr>
        <w:rPr>
          <w:szCs w:val="24"/>
        </w:rPr>
      </w:pPr>
      <w:r>
        <w:rPr>
          <w:szCs w:val="24"/>
        </w:rPr>
        <w:br w:type="page"/>
      </w:r>
    </w:p>
    <w:p w:rsidR="000A66BA" w:rsidRDefault="000A66BA" w:rsidP="000A66BA">
      <w:pPr>
        <w:ind w:left="5529"/>
        <w:rPr>
          <w:szCs w:val="24"/>
        </w:rPr>
      </w:pPr>
      <w:r>
        <w:rPr>
          <w:szCs w:val="24"/>
        </w:rPr>
        <w:lastRenderedPageBreak/>
        <w:t>PATVIRTINTA</w:t>
      </w:r>
    </w:p>
    <w:p w:rsidR="000A66BA" w:rsidRDefault="007B76F3" w:rsidP="000A66BA">
      <w:pPr>
        <w:ind w:left="5529"/>
        <w:rPr>
          <w:szCs w:val="24"/>
        </w:rPr>
      </w:pPr>
      <w:r>
        <w:rPr>
          <w:szCs w:val="24"/>
        </w:rPr>
        <w:t xml:space="preserve">Teisėjų tarybos 2018 </w:t>
      </w:r>
      <w:r w:rsidR="000A66BA">
        <w:rPr>
          <w:szCs w:val="24"/>
        </w:rPr>
        <w:t xml:space="preserve">m. </w:t>
      </w:r>
      <w:r>
        <w:rPr>
          <w:szCs w:val="24"/>
        </w:rPr>
        <w:t xml:space="preserve">lapkričio 30 </w:t>
      </w:r>
      <w:r w:rsidR="000A66BA">
        <w:rPr>
          <w:szCs w:val="24"/>
        </w:rPr>
        <w:t>d.</w:t>
      </w:r>
    </w:p>
    <w:p w:rsidR="000A66BA" w:rsidRDefault="000A66BA" w:rsidP="000A66BA">
      <w:pPr>
        <w:ind w:left="5529"/>
        <w:rPr>
          <w:szCs w:val="24"/>
        </w:rPr>
      </w:pPr>
      <w:r>
        <w:rPr>
          <w:szCs w:val="24"/>
        </w:rPr>
        <w:t xml:space="preserve">nutarimu Nr. </w:t>
      </w:r>
      <w:r w:rsidR="00914083">
        <w:t>13P-</w:t>
      </w:r>
      <w:r w:rsidR="009F43D8">
        <w:t>122</w:t>
      </w:r>
      <w:bookmarkStart w:id="0" w:name="_GoBack"/>
      <w:bookmarkEnd w:id="0"/>
      <w:r w:rsidR="00914083">
        <w:t>-</w:t>
      </w:r>
      <w:r w:rsidR="00914083" w:rsidRPr="008F26FD">
        <w:t>(7.1.2)</w:t>
      </w:r>
      <w:r w:rsidR="00914083">
        <w:t xml:space="preserve">  </w:t>
      </w:r>
    </w:p>
    <w:p w:rsidR="000A66BA" w:rsidRDefault="000A66BA" w:rsidP="000A66BA">
      <w:pPr>
        <w:ind w:left="5529"/>
        <w:rPr>
          <w:szCs w:val="24"/>
        </w:rPr>
      </w:pPr>
    </w:p>
    <w:p w:rsidR="000A66BA" w:rsidRDefault="000A66BA" w:rsidP="000A66BA">
      <w:pPr>
        <w:rPr>
          <w:szCs w:val="24"/>
        </w:rPr>
      </w:pPr>
    </w:p>
    <w:p w:rsidR="000A66BA" w:rsidRDefault="000A66BA" w:rsidP="000A66BA">
      <w:pPr>
        <w:jc w:val="center"/>
      </w:pPr>
      <w:r>
        <w:rPr>
          <w:b/>
          <w:bCs/>
          <w:szCs w:val="24"/>
        </w:rPr>
        <w:t xml:space="preserve">IKITEISMINIO TYRIMO METU IKITEISMINIO TYRIMO TEISĖJO AR TEISMO PRIIMTŲ NUTARČIŲ NUASMENINIMO IR SKELBIMO INTEGRUOTOJE BAUDŽIAMOJO PROCESO </w:t>
      </w:r>
      <w:r w:rsidRPr="005A18CB">
        <w:rPr>
          <w:b/>
          <w:bCs/>
          <w:szCs w:val="24"/>
        </w:rPr>
        <w:t>INFORMACINĖJE</w:t>
      </w:r>
      <w:r>
        <w:rPr>
          <w:b/>
          <w:bCs/>
          <w:szCs w:val="24"/>
        </w:rPr>
        <w:t xml:space="preserve"> SISTEMOJE TVARKOS APRAŠAS</w:t>
      </w:r>
    </w:p>
    <w:p w:rsidR="000A66BA" w:rsidRDefault="000A66BA" w:rsidP="000A66BA">
      <w:pPr>
        <w:jc w:val="right"/>
        <w:rPr>
          <w:b/>
          <w:szCs w:val="24"/>
        </w:rPr>
      </w:pPr>
    </w:p>
    <w:p w:rsidR="000A66BA" w:rsidRDefault="000A66BA" w:rsidP="000A66BA">
      <w:pPr>
        <w:pStyle w:val="ListParagraph"/>
        <w:numPr>
          <w:ilvl w:val="0"/>
          <w:numId w:val="1"/>
        </w:numPr>
        <w:tabs>
          <w:tab w:val="left" w:pos="993"/>
        </w:tabs>
        <w:spacing w:line="276" w:lineRule="auto"/>
        <w:ind w:left="0" w:firstLine="554"/>
        <w:jc w:val="both"/>
        <w:rPr>
          <w:szCs w:val="24"/>
        </w:rPr>
      </w:pPr>
      <w:r>
        <w:rPr>
          <w:bCs/>
          <w:szCs w:val="24"/>
        </w:rPr>
        <w:t xml:space="preserve">Ikiteisminio tyrimo metu ikiteisminio tyrimo teisėjo ar teismo priimtų nutarčių nuasmeninimo ir skelbimo Integruotoje baudžiamojo proceso informacinėje sistemoje (toliau – IBPS) tvarkos aprašas (toliau – Aprašas) nustato </w:t>
      </w:r>
      <w:r>
        <w:rPr>
          <w:color w:val="00000A"/>
          <w:shd w:val="clear" w:color="auto" w:fill="FFFFFF"/>
        </w:rPr>
        <w:t>ikiteisminio tyrimo duomenų pašalinimo (toliau – nuasmeninimas) iš</w:t>
      </w:r>
      <w:r>
        <w:rPr>
          <w:bCs/>
          <w:szCs w:val="24"/>
        </w:rPr>
        <w:t xml:space="preserve"> Lietuvos Respublikos baudžiamojo proceso kodekso (toliau – BPK) nustatyta tvarka ikiteisminio tyrimo metu ikiteisminio tyrimo teisėjo ar teismo priimtų ir įsiteisėjusių nutarčių, taip pat įsiteisėjusių ikiteisminio tyrimo teisėjo ar teismo nutarčių dėl ikiteisminio tyrimo pareigūno ar prokuroro nutarimo atsisakyti pradėti ikiteisminį tyrimą (toliau – nutartys) bei šių nutarčių skelbimo IBPS tvarką.</w:t>
      </w:r>
    </w:p>
    <w:p w:rsidR="000A66BA" w:rsidRDefault="000A66BA" w:rsidP="000A66BA">
      <w:pPr>
        <w:pStyle w:val="ListParagraph"/>
        <w:numPr>
          <w:ilvl w:val="0"/>
          <w:numId w:val="1"/>
        </w:numPr>
        <w:tabs>
          <w:tab w:val="left" w:pos="993"/>
        </w:tabs>
        <w:spacing w:line="276" w:lineRule="auto"/>
        <w:ind w:left="0" w:firstLine="554"/>
        <w:jc w:val="both"/>
        <w:rPr>
          <w:szCs w:val="24"/>
        </w:rPr>
      </w:pPr>
      <w:r>
        <w:rPr>
          <w:szCs w:val="24"/>
        </w:rPr>
        <w:t>Aprašo tikslas – sudaryti efektyvias galimybes kaupti Lietuvos teismų praktikai ikiteisminio tyrimo bylose reikšmingas nutartis, prisidedant prie vieningos teismų praktikos, aiškinant bei taikant ikiteisminį tyrimą reglamentuojančias BPK normas, formavimo ir taikymo, taip pat sudaryti sąlygas su šiomis nutartimis susipažinti ikiteisminio tyrimo subjektams.</w:t>
      </w:r>
    </w:p>
    <w:p w:rsidR="000A66BA" w:rsidRPr="00ED4B0D" w:rsidRDefault="000A66BA" w:rsidP="000A66BA">
      <w:pPr>
        <w:pStyle w:val="ListParagraph"/>
        <w:numPr>
          <w:ilvl w:val="0"/>
          <w:numId w:val="1"/>
        </w:numPr>
        <w:tabs>
          <w:tab w:val="left" w:pos="993"/>
        </w:tabs>
        <w:spacing w:line="276" w:lineRule="auto"/>
        <w:ind w:left="0" w:firstLine="554"/>
        <w:jc w:val="both"/>
        <w:rPr>
          <w:szCs w:val="24"/>
        </w:rPr>
      </w:pPr>
      <w:r w:rsidRPr="00ED4B0D">
        <w:rPr>
          <w:szCs w:val="24"/>
        </w:rPr>
        <w:t>Aprašo tikslų įgyvendinimas negali pažeisti asmens duomenų teisinės apsaugos bei ikiteisminio tyrimo bylos duomenų slaptumo reikalavimų užtikrinimo.</w:t>
      </w:r>
    </w:p>
    <w:p w:rsidR="000A66BA" w:rsidRDefault="000A66BA" w:rsidP="000A66BA">
      <w:pPr>
        <w:pStyle w:val="ListParagraph"/>
        <w:numPr>
          <w:ilvl w:val="0"/>
          <w:numId w:val="1"/>
        </w:numPr>
        <w:tabs>
          <w:tab w:val="left" w:pos="993"/>
        </w:tabs>
        <w:spacing w:line="276" w:lineRule="auto"/>
        <w:ind w:left="0" w:firstLine="554"/>
        <w:jc w:val="both"/>
        <w:rPr>
          <w:szCs w:val="24"/>
        </w:rPr>
      </w:pPr>
      <w:r>
        <w:rPr>
          <w:bCs/>
          <w:szCs w:val="24"/>
        </w:rPr>
        <w:t>Ikiteisminio tyrimo teisėjo arba teismo priimtos nutartys</w:t>
      </w:r>
      <w:r>
        <w:rPr>
          <w:szCs w:val="24"/>
        </w:rPr>
        <w:t xml:space="preserve">, iš kurių šio Aprašo 7 – 9 punktuose nustatyta tvarka yra pašalinti proceso dalyvius, kitus fizinius ar juridinius asmenis identifikuojantys duomenys, taip pat kiti ikiteisminio tyrimo bylos duomenys (toliau – nuasmenintos nutartys), skelbiamos </w:t>
      </w:r>
      <w:r>
        <w:rPr>
          <w:bCs/>
          <w:szCs w:val="24"/>
        </w:rPr>
        <w:t>specialioje IBPS skiltyje „Teismų praktika“.</w:t>
      </w:r>
    </w:p>
    <w:p w:rsidR="000A66BA" w:rsidRDefault="000A66BA" w:rsidP="000A66BA">
      <w:pPr>
        <w:pStyle w:val="ListParagraph"/>
        <w:numPr>
          <w:ilvl w:val="0"/>
          <w:numId w:val="1"/>
        </w:numPr>
        <w:tabs>
          <w:tab w:val="left" w:pos="993"/>
        </w:tabs>
        <w:spacing w:line="276" w:lineRule="auto"/>
        <w:ind w:left="0" w:firstLine="554"/>
        <w:jc w:val="both"/>
      </w:pPr>
      <w:r w:rsidRPr="005A18CB">
        <w:rPr>
          <w:bCs/>
          <w:szCs w:val="24"/>
        </w:rPr>
        <w:t xml:space="preserve">Vadovaudamasis Lietuvos Respublikos vidaus reikalų ministro ir Lietuvos Respublikos generalinio prokuroro 2016 d. sausio 29 d. įsakymu Nr. </w:t>
      </w:r>
      <w:r w:rsidRPr="005A18CB">
        <w:rPr>
          <w:color w:val="000000"/>
        </w:rPr>
        <w:t>1V-67/I-31</w:t>
      </w:r>
      <w:r w:rsidRPr="005A18CB">
        <w:rPr>
          <w:bCs/>
          <w:szCs w:val="24"/>
        </w:rPr>
        <w:t xml:space="preserve"> patvirtinto </w:t>
      </w:r>
      <w:r w:rsidRPr="005A18CB">
        <w:rPr>
          <w:szCs w:val="24"/>
        </w:rPr>
        <w:t>Baudžiamosios bylos duomenų tvarkymo elektronine forma ikiteisminio tyrimo metu tvarkos aprašo 44</w:t>
      </w:r>
      <w:r w:rsidRPr="005A18CB">
        <w:rPr>
          <w:szCs w:val="24"/>
          <w:vertAlign w:val="superscript"/>
        </w:rPr>
        <w:t>1</w:t>
      </w:r>
      <w:r w:rsidRPr="005A18CB">
        <w:rPr>
          <w:szCs w:val="24"/>
        </w:rPr>
        <w:t xml:space="preserve"> punktu,</w:t>
      </w:r>
      <w:r>
        <w:rPr>
          <w:szCs w:val="24"/>
        </w:rPr>
        <w:t xml:space="preserve"> sprendimą dėl nutarties nuasmeninimo ir skelbimo šio Aprašo nustatyta tvarka IBPS skiltyje „Teismų praktika“ priima nutartį priėmęs teisėjas arba teismas, atsižvelgdamas į galimą nutarties reikšmę formuojant vieningą teismų praktiką bei įvertinęs galimybę su nutartyje pateiktais </w:t>
      </w:r>
      <w:proofErr w:type="spellStart"/>
      <w:r>
        <w:rPr>
          <w:szCs w:val="24"/>
        </w:rPr>
        <w:t>išaiškinimais</w:t>
      </w:r>
      <w:proofErr w:type="spellEnd"/>
      <w:r>
        <w:rPr>
          <w:szCs w:val="24"/>
        </w:rPr>
        <w:t xml:space="preserve"> susipažinti kitiems IBPS naudotojams, kuriems IBPS priemonėmis suteikta teisė naudotis IBPS skilties „Teismų praktika“ </w:t>
      </w:r>
      <w:proofErr w:type="spellStart"/>
      <w:r>
        <w:rPr>
          <w:szCs w:val="24"/>
        </w:rPr>
        <w:t>funkcionalumais</w:t>
      </w:r>
      <w:proofErr w:type="spellEnd"/>
      <w:r>
        <w:rPr>
          <w:szCs w:val="24"/>
        </w:rPr>
        <w:t>. Ikiteisminiam tyrimui vadovaujantis arba aukštesnysis prokuroras turi teisę siūlyti nutartį priėmusiam teisėjui arba teismui nuasmeninti nutartį ir skelbti ją IBPS skiltyje „Teismų praktika“. Šiuo atveju nutartys nuasmeninamos ir skelbiamos IBPS skiltyje „Teismų praktika“ bendra</w:t>
      </w:r>
      <w:r w:rsidRPr="002A7428">
        <w:rPr>
          <w:szCs w:val="24"/>
        </w:rPr>
        <w:t xml:space="preserve"> šio Aprašo 8 – 18 punktų nustatyta tvarka.</w:t>
      </w:r>
    </w:p>
    <w:p w:rsidR="000A66BA" w:rsidRDefault="000A66BA" w:rsidP="000A66BA">
      <w:pPr>
        <w:pStyle w:val="ListParagraph"/>
        <w:numPr>
          <w:ilvl w:val="0"/>
          <w:numId w:val="1"/>
        </w:numPr>
        <w:tabs>
          <w:tab w:val="left" w:pos="993"/>
        </w:tabs>
        <w:spacing w:line="276" w:lineRule="auto"/>
        <w:ind w:left="0" w:firstLine="554"/>
        <w:jc w:val="both"/>
        <w:rPr>
          <w:szCs w:val="24"/>
        </w:rPr>
      </w:pPr>
      <w:r>
        <w:rPr>
          <w:szCs w:val="24"/>
        </w:rPr>
        <w:t xml:space="preserve">Nuasmenintos nutartys paprastai parengiamos ne vėliau </w:t>
      </w:r>
      <w:r>
        <w:rPr>
          <w:szCs w:val="24"/>
          <w:lang w:eastAsia="lt-LT"/>
        </w:rPr>
        <w:t xml:space="preserve">kaip per 10 darbo dienų po to, kai nutartis įsiteisėja. </w:t>
      </w:r>
      <w:r>
        <w:rPr>
          <w:szCs w:val="24"/>
          <w:lang w:val="sq-AL" w:eastAsia="lt-LT"/>
        </w:rPr>
        <w:t xml:space="preserve">Jeigu ikiteisminio tyrimo teisėjo nutartis yra apskųsta aukštesnės instancijos teismui, nuasmeninta tokios nutarties versija parengiama IBPS ne vėliau kaip per 10 darbo dienų po to, kai iš aukštesniojo teismo grąžinta byla gaunama žemesnės instancijos teisme. Nuasmeninta nutarties versija nerengiama ir </w:t>
      </w:r>
      <w:r>
        <w:rPr>
          <w:szCs w:val="24"/>
        </w:rPr>
        <w:t>IBPS skiltyje „Teismų praktika“ neskelbiama, jeigu nutartis buvo panaikinta aukštesnės instancijos teismo.</w:t>
      </w:r>
    </w:p>
    <w:p w:rsidR="000A66BA" w:rsidRDefault="000A66BA" w:rsidP="000A66BA">
      <w:pPr>
        <w:pStyle w:val="ListParagraph"/>
        <w:numPr>
          <w:ilvl w:val="0"/>
          <w:numId w:val="1"/>
        </w:numPr>
        <w:tabs>
          <w:tab w:val="left" w:pos="993"/>
        </w:tabs>
        <w:spacing w:line="276" w:lineRule="auto"/>
        <w:ind w:left="0" w:firstLine="554"/>
        <w:jc w:val="both"/>
      </w:pPr>
      <w:r>
        <w:rPr>
          <w:szCs w:val="24"/>
        </w:rPr>
        <w:t xml:space="preserve">IBPS skiltyje „Teismų praktika“ </w:t>
      </w:r>
      <w:r>
        <w:rPr>
          <w:szCs w:val="24"/>
          <w:lang w:eastAsia="lt-LT"/>
        </w:rPr>
        <w:t>skelbtinose ikiteisminio tyrimo teisėjo ar teismo priimtose nutartyse neskelbiami šie duomenys:</w:t>
      </w:r>
    </w:p>
    <w:p w:rsidR="000A66BA" w:rsidRDefault="000A66BA" w:rsidP="000A66BA">
      <w:pPr>
        <w:pStyle w:val="ListParagraph"/>
        <w:numPr>
          <w:ilvl w:val="1"/>
          <w:numId w:val="1"/>
        </w:numPr>
        <w:tabs>
          <w:tab w:val="left" w:pos="993"/>
          <w:tab w:val="left" w:pos="1276"/>
        </w:tabs>
        <w:spacing w:line="276" w:lineRule="auto"/>
        <w:ind w:left="0" w:firstLine="554"/>
        <w:jc w:val="both"/>
        <w:rPr>
          <w:szCs w:val="24"/>
        </w:rPr>
      </w:pPr>
      <w:r>
        <w:rPr>
          <w:szCs w:val="24"/>
          <w:lang w:eastAsia="lt-LT"/>
        </w:rPr>
        <w:lastRenderedPageBreak/>
        <w:t xml:space="preserve">valstybės, tarnybos, profesinės, komercinės, banko ar kitos teisės aktų saugomos paslaptys; </w:t>
      </w:r>
    </w:p>
    <w:p w:rsidR="000A66BA" w:rsidRDefault="000A66BA" w:rsidP="000A66BA">
      <w:pPr>
        <w:pStyle w:val="ListParagraph"/>
        <w:numPr>
          <w:ilvl w:val="1"/>
          <w:numId w:val="1"/>
        </w:numPr>
        <w:tabs>
          <w:tab w:val="left" w:pos="993"/>
          <w:tab w:val="left" w:pos="1276"/>
        </w:tabs>
        <w:spacing w:line="276" w:lineRule="auto"/>
        <w:ind w:left="0" w:firstLine="554"/>
        <w:jc w:val="both"/>
        <w:rPr>
          <w:szCs w:val="24"/>
        </w:rPr>
      </w:pPr>
      <w:r>
        <w:rPr>
          <w:szCs w:val="24"/>
          <w:lang w:eastAsia="lt-LT"/>
        </w:rPr>
        <w:t>fizinių asmenų vardai ir pavardės, asmens kodai, gyvenamųjų vietų adresai, gimimo datos ir vietos, santuokos, ištuokos ir mirties datos;</w:t>
      </w:r>
    </w:p>
    <w:p w:rsidR="000A66BA" w:rsidRDefault="000A66BA" w:rsidP="000A66BA">
      <w:pPr>
        <w:pStyle w:val="ListParagraph"/>
        <w:numPr>
          <w:ilvl w:val="1"/>
          <w:numId w:val="1"/>
        </w:numPr>
        <w:tabs>
          <w:tab w:val="left" w:pos="993"/>
          <w:tab w:val="left" w:pos="1276"/>
        </w:tabs>
        <w:spacing w:line="276" w:lineRule="auto"/>
        <w:ind w:left="0" w:firstLine="554"/>
        <w:jc w:val="both"/>
        <w:rPr>
          <w:szCs w:val="24"/>
        </w:rPr>
      </w:pPr>
      <w:r>
        <w:rPr>
          <w:szCs w:val="24"/>
        </w:rPr>
        <w:t>juridinių asmenų pavadinimai, juridinių asmenų kodai, buveinės (veiklos vietos) adresai;</w:t>
      </w:r>
    </w:p>
    <w:p w:rsidR="000A66BA" w:rsidRDefault="000A66BA" w:rsidP="000A66BA">
      <w:pPr>
        <w:pStyle w:val="ListParagraph"/>
        <w:numPr>
          <w:ilvl w:val="1"/>
          <w:numId w:val="1"/>
        </w:numPr>
        <w:tabs>
          <w:tab w:val="left" w:pos="993"/>
          <w:tab w:val="left" w:pos="1276"/>
        </w:tabs>
        <w:spacing w:line="276" w:lineRule="auto"/>
        <w:ind w:left="0" w:firstLine="554"/>
        <w:jc w:val="both"/>
        <w:rPr>
          <w:szCs w:val="24"/>
        </w:rPr>
      </w:pPr>
      <w:r>
        <w:rPr>
          <w:szCs w:val="24"/>
          <w:lang w:eastAsia="lt-LT"/>
        </w:rPr>
        <w:t>duomenys, pagal kuriuos galima identifikuoti fiziniams ar juridiniams asmenims nuosavybės teise priklausantį ar kitu teisėtu pagrindu jų valdomą turtą – valstybiniai automobilių numeriai, banko sąskaitų numeriai, unikalūs nekilnojamojo turto numeriai, šio turto buvimo vietos adresai, kiti turto rekvizitai;</w:t>
      </w:r>
    </w:p>
    <w:p w:rsidR="000A66BA" w:rsidRDefault="000A66BA" w:rsidP="000A66BA">
      <w:pPr>
        <w:pStyle w:val="ListParagraph"/>
        <w:numPr>
          <w:ilvl w:val="1"/>
          <w:numId w:val="1"/>
        </w:numPr>
        <w:tabs>
          <w:tab w:val="left" w:pos="993"/>
          <w:tab w:val="left" w:pos="1276"/>
        </w:tabs>
        <w:spacing w:line="276" w:lineRule="auto"/>
        <w:ind w:left="0" w:firstLine="554"/>
        <w:jc w:val="both"/>
        <w:rPr>
          <w:szCs w:val="24"/>
        </w:rPr>
      </w:pPr>
      <w:r>
        <w:rPr>
          <w:szCs w:val="24"/>
          <w:lang w:eastAsia="lt-LT"/>
        </w:rPr>
        <w:t>ikiteisminio tyrimo objektu esančių daiktų ar dokumentų serijos numeriai bei datos;</w:t>
      </w:r>
    </w:p>
    <w:p w:rsidR="000A66BA" w:rsidRDefault="000A66BA" w:rsidP="000A66BA">
      <w:pPr>
        <w:pStyle w:val="ListParagraph"/>
        <w:numPr>
          <w:ilvl w:val="1"/>
          <w:numId w:val="1"/>
        </w:numPr>
        <w:tabs>
          <w:tab w:val="left" w:pos="993"/>
          <w:tab w:val="left" w:pos="1276"/>
        </w:tabs>
        <w:spacing w:line="276" w:lineRule="auto"/>
        <w:ind w:left="0" w:firstLine="554"/>
        <w:jc w:val="both"/>
        <w:rPr>
          <w:szCs w:val="24"/>
        </w:rPr>
      </w:pPr>
      <w:r>
        <w:rPr>
          <w:szCs w:val="24"/>
          <w:lang w:eastAsia="lt-LT"/>
        </w:rPr>
        <w:t>ikiteisminį tyrimą atliekančių ar joms vadovaujančių institucijų, kitų valstybės institucijų ir jų pareigūnų duomenys (institucijos pavadinimas, pareigūno pareigos ir (ar) pareigūno vardas ir pavardė);</w:t>
      </w:r>
    </w:p>
    <w:p w:rsidR="000A66BA" w:rsidRDefault="000A66BA" w:rsidP="000A66BA">
      <w:pPr>
        <w:pStyle w:val="ListParagraph"/>
        <w:numPr>
          <w:ilvl w:val="1"/>
          <w:numId w:val="1"/>
        </w:numPr>
        <w:tabs>
          <w:tab w:val="left" w:pos="993"/>
          <w:tab w:val="left" w:pos="1276"/>
        </w:tabs>
        <w:spacing w:line="276" w:lineRule="auto"/>
        <w:ind w:left="0" w:firstLine="554"/>
        <w:jc w:val="both"/>
        <w:rPr>
          <w:szCs w:val="24"/>
        </w:rPr>
      </w:pPr>
      <w:r>
        <w:rPr>
          <w:szCs w:val="24"/>
          <w:lang w:eastAsia="lt-LT"/>
        </w:rPr>
        <w:t>ikiteisminio tyrimo metu priimtų procesinių sprendimų ar atliktus procesinius veiksmus įforminančių dokumentų numeriai;</w:t>
      </w:r>
    </w:p>
    <w:p w:rsidR="000A66BA" w:rsidRDefault="000A66BA" w:rsidP="000A66BA">
      <w:pPr>
        <w:pStyle w:val="ListParagraph"/>
        <w:numPr>
          <w:ilvl w:val="1"/>
          <w:numId w:val="1"/>
        </w:numPr>
        <w:tabs>
          <w:tab w:val="left" w:pos="993"/>
          <w:tab w:val="left" w:pos="1276"/>
        </w:tabs>
        <w:spacing w:line="276" w:lineRule="auto"/>
        <w:ind w:left="0" w:firstLine="554"/>
        <w:jc w:val="both"/>
        <w:rPr>
          <w:szCs w:val="24"/>
        </w:rPr>
      </w:pPr>
      <w:r>
        <w:rPr>
          <w:szCs w:val="24"/>
        </w:rPr>
        <w:t>kiti duomenys apie galimai padarytą ir tiriamą nusikalstamą veiką, šią veiką galimai padariusius asmenis ar kitus su veikos padarymo aplinkybėmis susijusius asmenis, jeigu šie duomenys gali leisti atpažinti konkretų atliekamą ikiteisminį tyrimą (pavyzdžiui, asmens veikla, profesija, asmenų ikiteisminio tyrimo metu duoti paaiškinimai, galimai padarytos nusikalstamos veikos laikas, vieta, procesinių sprendimų priėmimo ar procesinių veiksmų atlikimo datos ir kt.).</w:t>
      </w:r>
    </w:p>
    <w:p w:rsidR="000A66BA" w:rsidRDefault="000A66BA" w:rsidP="000A66BA">
      <w:pPr>
        <w:pStyle w:val="ListParagraph"/>
        <w:numPr>
          <w:ilvl w:val="0"/>
          <w:numId w:val="1"/>
        </w:numPr>
        <w:tabs>
          <w:tab w:val="left" w:pos="993"/>
        </w:tabs>
        <w:spacing w:line="276" w:lineRule="auto"/>
        <w:ind w:left="0" w:firstLine="567"/>
        <w:jc w:val="both"/>
      </w:pPr>
      <w:r>
        <w:rPr>
          <w:szCs w:val="24"/>
        </w:rPr>
        <w:t xml:space="preserve">Teisę nuasmeninti nutartį turi teisėjas ir teisėjo padėjėjas. Nutartys nuasmeninamos specialioje IBPS aplinkoje, naudojantis IBPS </w:t>
      </w:r>
      <w:proofErr w:type="spellStart"/>
      <w:r>
        <w:rPr>
          <w:szCs w:val="24"/>
        </w:rPr>
        <w:t>funkcionalumais</w:t>
      </w:r>
      <w:proofErr w:type="spellEnd"/>
      <w:r>
        <w:rPr>
          <w:szCs w:val="24"/>
        </w:rPr>
        <w:t>. Nuasmenintų nutarčių versijos parengiamos automatizuotu ir rankiniu duomenų pašalinimo iš nutarčių būdu.</w:t>
      </w:r>
      <w:r>
        <w:rPr>
          <w:szCs w:val="24"/>
          <w:lang w:eastAsia="lt-LT"/>
        </w:rPr>
        <w:t xml:space="preserve"> </w:t>
      </w:r>
      <w:r>
        <w:rPr>
          <w:szCs w:val="24"/>
        </w:rPr>
        <w:t>Pasinaudojęs IBPS nuasmeninimo įrankiu, teisę nuasmeninti teismo nutartį turintis asmuo patikrina, ar automatiniu būdu duomenys iš nutarties buvo pašalinti teisingai ir savarankiškai pašalina kitus, šio Aprašo 7 punkte nurodytus ir automatiškai nepašalintus ikiteisminio tyrimo duomenis.</w:t>
      </w:r>
      <w:r>
        <w:rPr>
          <w:szCs w:val="24"/>
          <w:lang w:eastAsia="lt-LT"/>
        </w:rPr>
        <w:t xml:space="preserve"> Pašalintų duomenų vietoje skliaustuose įrašoma: „(duomenys neskelbtini)“.</w:t>
      </w:r>
    </w:p>
    <w:p w:rsidR="000A66BA" w:rsidRDefault="000A66BA" w:rsidP="000A66BA">
      <w:pPr>
        <w:pStyle w:val="ListParagraph"/>
        <w:numPr>
          <w:ilvl w:val="0"/>
          <w:numId w:val="1"/>
        </w:numPr>
        <w:tabs>
          <w:tab w:val="left" w:pos="993"/>
        </w:tabs>
        <w:spacing w:line="276" w:lineRule="auto"/>
        <w:ind w:left="0" w:firstLine="567"/>
        <w:jc w:val="both"/>
        <w:rPr>
          <w:szCs w:val="24"/>
        </w:rPr>
      </w:pPr>
      <w:r>
        <w:rPr>
          <w:szCs w:val="24"/>
        </w:rPr>
        <w:t xml:space="preserve">Duomenys iš nutarties pašalinami atsižvelgiant į Aprašo 7 punkte nustatytus reikalavimus taip, kad IBPS naudotojai, turintys teisę naudotis IBPS „Teismų praktikos“ </w:t>
      </w:r>
      <w:proofErr w:type="spellStart"/>
      <w:r>
        <w:rPr>
          <w:szCs w:val="24"/>
        </w:rPr>
        <w:t>funkcionalumais</w:t>
      </w:r>
      <w:proofErr w:type="spellEnd"/>
      <w:r>
        <w:rPr>
          <w:szCs w:val="24"/>
        </w:rPr>
        <w:t xml:space="preserve">, iš nuasmenintos nutarties turinio negalėtų nustatyti, kokiame konkrečiame ikiteisminiame tyrime ši nutartis buvo priimta, tačiau </w:t>
      </w:r>
      <w:r>
        <w:rPr>
          <w:color w:val="000000"/>
        </w:rPr>
        <w:t>bylos teisiškai reikšmingų faktinių apli</w:t>
      </w:r>
      <w:r w:rsidR="008153E6">
        <w:rPr>
          <w:color w:val="000000"/>
        </w:rPr>
        <w:t>nkybių visuma turi aiškiai ats</w:t>
      </w:r>
      <w:r>
        <w:rPr>
          <w:color w:val="000000"/>
        </w:rPr>
        <w:t xml:space="preserve">pindėti šioje byloje suformuluotas teisės aiškinimo ir taikymo taisykles. Nuasmeninant nutartį, draudžiama koreguoti ar keisti jos turinį tiek, kiek tai nesusiję su ikiteisminio tyrimo duomenų pašalinimu. </w:t>
      </w:r>
    </w:p>
    <w:p w:rsidR="000A66BA" w:rsidRDefault="000A66BA" w:rsidP="000A66BA">
      <w:pPr>
        <w:pStyle w:val="ListParagraph"/>
        <w:numPr>
          <w:ilvl w:val="0"/>
          <w:numId w:val="1"/>
        </w:numPr>
        <w:tabs>
          <w:tab w:val="left" w:pos="993"/>
        </w:tabs>
        <w:spacing w:line="276" w:lineRule="auto"/>
        <w:ind w:left="0" w:firstLine="567"/>
        <w:jc w:val="both"/>
      </w:pPr>
      <w:r>
        <w:rPr>
          <w:szCs w:val="24"/>
        </w:rPr>
        <w:t xml:space="preserve">Parengta nuasmeninta nutartis išsaugoma IBPS ir IBPS priemonėmis siunčiama ikiteisminiam tyrimui vadovaujančiam prokurorui, kuris ne vėliau kaip per 5 darbo dienas turi pateikti nuomonę dėl nuasmenintos nutarties skelbimo IBPS skiltyje „Teismų praktika“. </w:t>
      </w:r>
    </w:p>
    <w:p w:rsidR="000A66BA" w:rsidRDefault="000A66BA" w:rsidP="000A66BA">
      <w:pPr>
        <w:pStyle w:val="ListParagraph"/>
        <w:numPr>
          <w:ilvl w:val="0"/>
          <w:numId w:val="1"/>
        </w:numPr>
        <w:tabs>
          <w:tab w:val="left" w:pos="993"/>
        </w:tabs>
        <w:spacing w:line="276" w:lineRule="auto"/>
        <w:ind w:left="0" w:firstLine="567"/>
        <w:jc w:val="both"/>
        <w:rPr>
          <w:szCs w:val="24"/>
        </w:rPr>
      </w:pPr>
      <w:r>
        <w:rPr>
          <w:szCs w:val="24"/>
        </w:rPr>
        <w:t>Jeigu ikiteisminiam tyrimui vadovaujantis prokuroras pritaria teismo nuasmenintos nutarties versijos skelbimui, jis apie tai pažymi IBPS ir nuasmeninta nutartis automatiškai paskelbiama IBPS skiltyje „Teismų praktika“.</w:t>
      </w:r>
    </w:p>
    <w:p w:rsidR="000A66BA" w:rsidRDefault="000A66BA" w:rsidP="000A66BA">
      <w:pPr>
        <w:pStyle w:val="ListParagraph"/>
        <w:numPr>
          <w:ilvl w:val="0"/>
          <w:numId w:val="1"/>
        </w:numPr>
        <w:tabs>
          <w:tab w:val="left" w:pos="993"/>
        </w:tabs>
        <w:spacing w:line="276" w:lineRule="auto"/>
        <w:ind w:left="0" w:firstLine="567"/>
        <w:jc w:val="both"/>
      </w:pPr>
      <w:r>
        <w:rPr>
          <w:szCs w:val="24"/>
        </w:rPr>
        <w:t xml:space="preserve">Jeigu ikiteisminiam tyrimui vadovaujantis prokuroras nepritaria nuasmenintos nutarties skelbimui, apie tai jis pažymi IBPS ir pateikia savo nesutikimo dėl nuasmenintos nutarties skelbimo motyvus bei nustato konkretų terminą, kurį nuasmeninta nutartis negali būti skelbiama IBPS skiltyje „Teismų praktika“. Prokuroro nustatytas nuasmenintos nutarties </w:t>
      </w:r>
      <w:proofErr w:type="spellStart"/>
      <w:r>
        <w:rPr>
          <w:szCs w:val="24"/>
        </w:rPr>
        <w:t>neskelbimo</w:t>
      </w:r>
      <w:proofErr w:type="spellEnd"/>
      <w:r>
        <w:rPr>
          <w:szCs w:val="24"/>
        </w:rPr>
        <w:t xml:space="preserve"> terminas negali būti ilgesnis nei ikiteisminio tyrimo pabaiga.</w:t>
      </w:r>
    </w:p>
    <w:p w:rsidR="000A66BA" w:rsidRDefault="000A66BA" w:rsidP="000A66BA">
      <w:pPr>
        <w:pStyle w:val="ListParagraph"/>
        <w:numPr>
          <w:ilvl w:val="0"/>
          <w:numId w:val="1"/>
        </w:numPr>
        <w:tabs>
          <w:tab w:val="left" w:pos="993"/>
        </w:tabs>
        <w:spacing w:line="276" w:lineRule="auto"/>
        <w:ind w:left="0" w:firstLine="567"/>
        <w:jc w:val="both"/>
      </w:pPr>
      <w:r>
        <w:rPr>
          <w:szCs w:val="24"/>
        </w:rPr>
        <w:lastRenderedPageBreak/>
        <w:t>Jeigu šio Aprašo 12 punkto nustatyta tvarka ikiteisminiam tyrimui vadovaujantis prokuroras išreiškia nepritarimą nuasmenintos nutarties skelbimui IBPS skiltyje „Teismų praktika“, tokią prokuroro nuomonę IBPS priemonėmis turi</w:t>
      </w:r>
      <w:r>
        <w:rPr>
          <w:rStyle w:val="CommentReference"/>
        </w:rPr>
        <w:t xml:space="preserve"> </w:t>
      </w:r>
      <w:r w:rsidRPr="003E6B9F">
        <w:rPr>
          <w:rStyle w:val="CommentReference"/>
          <w:sz w:val="24"/>
        </w:rPr>
        <w:t>pat</w:t>
      </w:r>
      <w:r>
        <w:rPr>
          <w:szCs w:val="24"/>
        </w:rPr>
        <w:t>virtinti aukštesnysis prokuroras. Aukštesnysis prokuroras, ne vėliau kaip per 5 darbo dienas įvertinęs ikiteisminiam tyrimui vadovaujančio prokuroro motyvus dėl nepritarimo nuasmenintos nutarties skelbimui, gali sutikti su ikiteisminiam tyrimui vadovaujančio prokuroro pozicija, nuspręsti, kad teismo nuasmeninta nutartis IBPS skiltyje „Teismų praktika“ turi būti skelbiama arba nustatyti kitokį terminą, per kurį nuasmeninta nutartis būtų neskelbiama.</w:t>
      </w:r>
    </w:p>
    <w:p w:rsidR="000A66BA" w:rsidRDefault="000A66BA" w:rsidP="000A66BA">
      <w:pPr>
        <w:pStyle w:val="ListParagraph"/>
        <w:numPr>
          <w:ilvl w:val="0"/>
          <w:numId w:val="1"/>
        </w:numPr>
        <w:tabs>
          <w:tab w:val="left" w:pos="993"/>
        </w:tabs>
        <w:spacing w:line="276" w:lineRule="auto"/>
        <w:ind w:left="0" w:firstLine="567"/>
        <w:jc w:val="both"/>
        <w:rPr>
          <w:szCs w:val="24"/>
        </w:rPr>
      </w:pPr>
      <w:r>
        <w:rPr>
          <w:szCs w:val="24"/>
        </w:rPr>
        <w:t>Jeigu aukštesnysis prokuroras nusprendžia, kad teismo nuasmeninta nutartis turėtų būti skelbiama IBPS skiltyje „Teismų praktika“, jis IBPS priemonėmis pakeičia ikiteisminiam tyrimui vadovaujančio prokuroro sprendimą ir nuasmeninta nutartis automatiškai paskelbiama IBPS skiltyje „Teismų praktika“.</w:t>
      </w:r>
    </w:p>
    <w:p w:rsidR="000A66BA" w:rsidRPr="0091573C" w:rsidRDefault="000A66BA" w:rsidP="000A66BA">
      <w:pPr>
        <w:pStyle w:val="ListParagraph"/>
        <w:numPr>
          <w:ilvl w:val="0"/>
          <w:numId w:val="1"/>
        </w:numPr>
        <w:tabs>
          <w:tab w:val="left" w:pos="993"/>
        </w:tabs>
        <w:spacing w:line="276" w:lineRule="auto"/>
        <w:ind w:left="0" w:firstLine="567"/>
        <w:jc w:val="both"/>
      </w:pPr>
      <w:r>
        <w:rPr>
          <w:szCs w:val="24"/>
        </w:rPr>
        <w:t xml:space="preserve">Aukštesniajam prokurorui pritarus ikiteisminiam tyrimui vadovaujančio prokuroro nuomonei dėl nuasmenintos nutarties </w:t>
      </w:r>
      <w:proofErr w:type="spellStart"/>
      <w:r>
        <w:rPr>
          <w:szCs w:val="24"/>
        </w:rPr>
        <w:t>neskelbimo</w:t>
      </w:r>
      <w:proofErr w:type="spellEnd"/>
      <w:r>
        <w:rPr>
          <w:szCs w:val="24"/>
        </w:rPr>
        <w:t xml:space="preserve"> IBPS skiltyje „Teismų praktika“, nuasmeninta nutartis IBPS skiltyje „Teismų praktika“ paskelbiama automatiškai, pasibaigus prokuroro nustatytam terminui. Jeigu aukštesnysis prokuroras nusprendžia nustatyti kitokį nutarties paskelbimo terminą, nutartis IBPS skiltyje „Teismų praktika“ paskelbiama automatiškai, pasibaigus aukštesniojo prokuroro nustatytam terminui.</w:t>
      </w:r>
    </w:p>
    <w:p w:rsidR="000A66BA" w:rsidRPr="005A18CB" w:rsidRDefault="000A66BA" w:rsidP="000A66BA">
      <w:pPr>
        <w:pStyle w:val="ListParagraph"/>
        <w:numPr>
          <w:ilvl w:val="0"/>
          <w:numId w:val="1"/>
        </w:numPr>
        <w:tabs>
          <w:tab w:val="left" w:pos="993"/>
        </w:tabs>
        <w:spacing w:line="276" w:lineRule="auto"/>
        <w:ind w:left="0" w:firstLine="567"/>
        <w:jc w:val="both"/>
      </w:pPr>
      <w:r w:rsidRPr="005A18CB">
        <w:rPr>
          <w:szCs w:val="24"/>
        </w:rPr>
        <w:t>Išimtiniais atvejais, jei dėl naujai paaiškėjusių aplinkybių nuasmenintos nutarties paskelbimas galėtų paken</w:t>
      </w:r>
      <w:r w:rsidR="008F060E">
        <w:rPr>
          <w:szCs w:val="24"/>
        </w:rPr>
        <w:t>k</w:t>
      </w:r>
      <w:r w:rsidRPr="005A18CB">
        <w:rPr>
          <w:szCs w:val="24"/>
        </w:rPr>
        <w:t xml:space="preserve">ti ikiteisminiam tyrimui ar kitiems atliekamiems tyrimams, aukštesniojo prokuroro sprendimu šio Aprašo 12 ir 15 punktų tvarka nustatytas nuasmenintos nutarties </w:t>
      </w:r>
      <w:proofErr w:type="spellStart"/>
      <w:r w:rsidRPr="005A18CB">
        <w:rPr>
          <w:szCs w:val="24"/>
        </w:rPr>
        <w:t>neskelbimo</w:t>
      </w:r>
      <w:proofErr w:type="spellEnd"/>
      <w:r w:rsidRPr="005A18CB">
        <w:rPr>
          <w:szCs w:val="24"/>
        </w:rPr>
        <w:t xml:space="preserve"> terminas IBPS skiltyje „Teismų praktika“ IBPS priemonėmis gali būti pratęstas. </w:t>
      </w:r>
    </w:p>
    <w:p w:rsidR="000A66BA" w:rsidRDefault="000A66BA" w:rsidP="000A66BA">
      <w:pPr>
        <w:pStyle w:val="ListParagraph"/>
        <w:numPr>
          <w:ilvl w:val="0"/>
          <w:numId w:val="1"/>
        </w:numPr>
        <w:tabs>
          <w:tab w:val="left" w:pos="993"/>
        </w:tabs>
        <w:spacing w:line="276" w:lineRule="auto"/>
        <w:ind w:left="0" w:firstLine="567"/>
        <w:jc w:val="both"/>
        <w:rPr>
          <w:szCs w:val="24"/>
          <w:lang w:eastAsia="lt-LT"/>
        </w:rPr>
      </w:pPr>
      <w:r>
        <w:rPr>
          <w:szCs w:val="24"/>
        </w:rPr>
        <w:t xml:space="preserve">Jeigu ikiteisminiam tyrimui vadovaujantis prokuroras nuasmenintos nutarties skelbimui </w:t>
      </w:r>
      <w:r>
        <w:rPr>
          <w:bCs/>
          <w:szCs w:val="24"/>
        </w:rPr>
        <w:t>IBPS skiltyje „Teismų praktika“ nepritaria dėl to, kad, jo manymu, nutartyje nėra pašalinti konkrečiam ikiteisminiam tyrimui reikšmingi ikiteisminio tyrimo duomenys, prokuroras specialioje IBPS aplinkoje nurodo, kokie duomenys turėtų būti pašalinti, ir IBPS priemonėmis nuasmenintą nutartį grąžina ją priėmusiam ir nuasmeninusiam ikiteisminio tyrimo teisėjui ar teismui spręsti dėl papildomų duomenų pašalinimo. Susipažinęs su prokuroro siūlymais, nutartį priėmęs ikiteisminio tyrimo teisėjas ar teismas per 3 darbo dienas gali pašalinti prokuroro nurodytus duomenis arba atsisakyti juos pašalinti.</w:t>
      </w:r>
    </w:p>
    <w:p w:rsidR="000A66BA" w:rsidRDefault="000A66BA" w:rsidP="000A66BA">
      <w:pPr>
        <w:pStyle w:val="ListParagraph"/>
        <w:numPr>
          <w:ilvl w:val="0"/>
          <w:numId w:val="1"/>
        </w:numPr>
        <w:tabs>
          <w:tab w:val="left" w:pos="993"/>
        </w:tabs>
        <w:spacing w:line="276" w:lineRule="auto"/>
        <w:ind w:left="0" w:firstLine="567"/>
        <w:jc w:val="both"/>
        <w:rPr>
          <w:szCs w:val="24"/>
          <w:lang w:eastAsia="lt-LT"/>
        </w:rPr>
      </w:pPr>
      <w:r>
        <w:rPr>
          <w:bCs/>
          <w:szCs w:val="24"/>
        </w:rPr>
        <w:t xml:space="preserve">Nutartį priėmusiam ikiteisminio tyrimo teisėjui ar teismui iš nutarties pašalinus prokuroro siūlomus papildomus duomenis, ši nuasmenintos nutarties versija IBPS priemonėmis pakartotinai pateikiama ikiteisminiam tyrimui vadovaujančiam prokurorui Aprašo 10–13 punktuose nustatyta tvarka pateikti nuomonę dėl nutarties skelbimo </w:t>
      </w:r>
      <w:r>
        <w:rPr>
          <w:szCs w:val="24"/>
        </w:rPr>
        <w:t>IBPS skiltyje „Teismų praktika“</w:t>
      </w:r>
      <w:r>
        <w:rPr>
          <w:bCs/>
          <w:szCs w:val="24"/>
        </w:rPr>
        <w:t>.</w:t>
      </w:r>
    </w:p>
    <w:p w:rsidR="000A66BA" w:rsidRDefault="000A66BA" w:rsidP="000A66BA">
      <w:pPr>
        <w:pStyle w:val="ListParagraph"/>
        <w:numPr>
          <w:ilvl w:val="0"/>
          <w:numId w:val="1"/>
        </w:numPr>
        <w:tabs>
          <w:tab w:val="left" w:pos="993"/>
        </w:tabs>
        <w:spacing w:line="276" w:lineRule="auto"/>
        <w:ind w:left="0" w:firstLine="567"/>
        <w:jc w:val="both"/>
        <w:rPr>
          <w:szCs w:val="24"/>
          <w:lang w:eastAsia="lt-LT"/>
        </w:rPr>
      </w:pPr>
      <w:r>
        <w:rPr>
          <w:bCs/>
          <w:szCs w:val="24"/>
        </w:rPr>
        <w:t xml:space="preserve">Nutartį priėmęs ikiteisminio tyrimo teisėjas ar teismas gali atsisakyti pašalinti papildomus duomenis, jeigu mano, kad šių duomenų pašalinimas gali turėti įtakos teismo nutartyje pateiktų išaiškinimų nuoseklumui ar suprantamumui ir nepašalinus nurodytų duomenų nebus pažeisti ikiteisminio tyrimo duomenų </w:t>
      </w:r>
      <w:r>
        <w:rPr>
          <w:szCs w:val="24"/>
        </w:rPr>
        <w:t>slaptumo užtikrinimo reikalavimai</w:t>
      </w:r>
      <w:r>
        <w:rPr>
          <w:bCs/>
          <w:szCs w:val="24"/>
        </w:rPr>
        <w:t xml:space="preserve">. Ikiteisminio tyrimo teisėjo ar teismo atsisakymas šalinti prokuroro nurodytus duomenis išreiškiamas IBPS priemonėmis ir nutartis grąžinama ikiteisminiam tyrimui vadovaujančiam prokurorui Aprašo 10–13 punktuose nustatyta tvarka pateikti nuomonę dėl nutarties skelbimo </w:t>
      </w:r>
      <w:r>
        <w:rPr>
          <w:szCs w:val="24"/>
        </w:rPr>
        <w:t>IBPS skiltyje „Teismų praktika“</w:t>
      </w:r>
      <w:r>
        <w:rPr>
          <w:bCs/>
          <w:szCs w:val="24"/>
        </w:rPr>
        <w:t>. Jeigu ikiteisminio tyrimo teisėjas ar teismas atsisako iš nutarties pašalinti papildomus duomenis, ikiteisminiam tyrimui vadovaujantis prokuroras negali pakartotinai grąžinti nuasmenintos nutarties ikiteisminio tyrimo teisėjui ar teismui dėl papildomų duomenų pašalinimo.</w:t>
      </w:r>
    </w:p>
    <w:p w:rsidR="000A66BA" w:rsidRDefault="000A66BA" w:rsidP="000A66BA">
      <w:pPr>
        <w:pStyle w:val="ListParagraph"/>
        <w:numPr>
          <w:ilvl w:val="0"/>
          <w:numId w:val="1"/>
        </w:numPr>
        <w:tabs>
          <w:tab w:val="left" w:pos="993"/>
        </w:tabs>
        <w:spacing w:line="276" w:lineRule="auto"/>
        <w:ind w:left="0" w:firstLine="567"/>
        <w:jc w:val="both"/>
        <w:rPr>
          <w:szCs w:val="24"/>
          <w:lang w:eastAsia="lt-LT"/>
        </w:rPr>
      </w:pPr>
      <w:r>
        <w:rPr>
          <w:bCs/>
          <w:szCs w:val="24"/>
        </w:rPr>
        <w:lastRenderedPageBreak/>
        <w:t xml:space="preserve">Šio Aprašo 10–18 punktai nėra taikomi ir ikiteisminiam tyrimui vadovaujančio prokuroro sutikimo dėl nuasmenintos nutarties skelbimo </w:t>
      </w:r>
      <w:r>
        <w:rPr>
          <w:szCs w:val="24"/>
        </w:rPr>
        <w:t>IBPS skiltyje „Teismų praktika“ nereikia dėl nutarčių, kuriomis baudžiamasis procesas yra užbaigiamas arba nėra pradedamas</w:t>
      </w:r>
      <w:r>
        <w:rPr>
          <w:bCs/>
          <w:szCs w:val="24"/>
        </w:rPr>
        <w:t xml:space="preserve">. Šios nutartys </w:t>
      </w:r>
      <w:r>
        <w:rPr>
          <w:szCs w:val="24"/>
        </w:rPr>
        <w:t>IBPS skiltyje „Teismų praktika“ skelbiamos iš karto po jų nuasmeninimo</w:t>
      </w:r>
      <w:r>
        <w:rPr>
          <w:bCs/>
          <w:szCs w:val="24"/>
        </w:rPr>
        <w:t>.</w:t>
      </w:r>
    </w:p>
    <w:p w:rsidR="000A66BA" w:rsidRDefault="000A66BA" w:rsidP="000A66BA">
      <w:pPr>
        <w:pStyle w:val="ListParagraph"/>
        <w:numPr>
          <w:ilvl w:val="0"/>
          <w:numId w:val="1"/>
        </w:numPr>
        <w:tabs>
          <w:tab w:val="left" w:pos="993"/>
        </w:tabs>
        <w:spacing w:line="276" w:lineRule="auto"/>
        <w:ind w:left="0" w:firstLine="567"/>
        <w:jc w:val="both"/>
      </w:pPr>
      <w:r>
        <w:rPr>
          <w:szCs w:val="24"/>
          <w:lang w:eastAsia="lt-LT"/>
        </w:rPr>
        <w:t xml:space="preserve">Ikiteisminio tyrimo pareigūnui, prokurorui, ikiteisminio tyrimo teisėjui ar teismui, ar kitiems subjektams nustačius </w:t>
      </w:r>
      <w:r>
        <w:rPr>
          <w:bCs/>
          <w:szCs w:val="24"/>
        </w:rPr>
        <w:t>IBPS skiltyje „Teismų praktika“</w:t>
      </w:r>
      <w:r>
        <w:rPr>
          <w:szCs w:val="24"/>
          <w:lang w:eastAsia="lt-LT"/>
        </w:rPr>
        <w:t xml:space="preserve"> paskelbtoje nutarties versijoje klaidas, susijusias su nutarties nuasmeninimo techninio pobūdžio priemonių netinkamu pritaikymu, </w:t>
      </w:r>
      <w:r w:rsidRPr="005A18CB">
        <w:rPr>
          <w:szCs w:val="24"/>
          <w:lang w:eastAsia="lt-LT"/>
        </w:rPr>
        <w:t>apie tai IBPS priemonėmis pranešama</w:t>
      </w:r>
      <w:r>
        <w:rPr>
          <w:szCs w:val="24"/>
          <w:lang w:eastAsia="lt-LT"/>
        </w:rPr>
        <w:t xml:space="preserve"> nutartį priėmusiam ikiteisminio tyrimo teisėjui ar teismui, </w:t>
      </w:r>
      <w:r w:rsidRPr="005A18CB">
        <w:rPr>
          <w:szCs w:val="24"/>
          <w:lang w:eastAsia="lt-LT"/>
        </w:rPr>
        <w:t>kuris šias klaidas ištaiso</w:t>
      </w:r>
      <w:r>
        <w:rPr>
          <w:szCs w:val="24"/>
          <w:lang w:eastAsia="lt-LT"/>
        </w:rPr>
        <w:t xml:space="preserve"> nedelsiant, bet ne vėliau nei per 3 darbo dienas. </w:t>
      </w:r>
    </w:p>
    <w:p w:rsidR="000A66BA" w:rsidRDefault="000A66BA" w:rsidP="000A66BA">
      <w:pPr>
        <w:spacing w:line="360" w:lineRule="auto"/>
        <w:jc w:val="center"/>
      </w:pPr>
      <w:r>
        <w:rPr>
          <w:color w:val="000000"/>
          <w:spacing w:val="-7"/>
          <w:szCs w:val="24"/>
          <w:lang w:eastAsia="lt-LT"/>
        </w:rPr>
        <w:t>________________</w:t>
      </w:r>
    </w:p>
    <w:p w:rsidR="003E0734" w:rsidRDefault="003E0734"/>
    <w:sectPr w:rsidR="003E0734" w:rsidSect="000F3092">
      <w:headerReference w:type="default" r:id="rId8"/>
      <w:footerReference w:type="default" r:id="rId9"/>
      <w:headerReference w:type="first" r:id="rId10"/>
      <w:footerReference w:type="first" r:id="rId11"/>
      <w:pgSz w:w="11906" w:h="16838"/>
      <w:pgMar w:top="1134" w:right="850" w:bottom="851" w:left="1701" w:header="811"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F58" w:rsidRDefault="00286F58" w:rsidP="000F3092">
      <w:r>
        <w:separator/>
      </w:r>
    </w:p>
  </w:endnote>
  <w:endnote w:type="continuationSeparator" w:id="0">
    <w:p w:rsidR="00286F58" w:rsidRDefault="00286F58" w:rsidP="000F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9B7" w:rsidRDefault="00286F58">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9B7" w:rsidRDefault="00286F58">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F58" w:rsidRDefault="00286F58" w:rsidP="000F3092">
      <w:r>
        <w:separator/>
      </w:r>
    </w:p>
  </w:footnote>
  <w:footnote w:type="continuationSeparator" w:id="0">
    <w:p w:rsidR="00286F58" w:rsidRDefault="00286F58" w:rsidP="000F30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608657"/>
      <w:docPartObj>
        <w:docPartGallery w:val="Page Numbers (Top of Page)"/>
        <w:docPartUnique/>
      </w:docPartObj>
    </w:sdtPr>
    <w:sdtEndPr/>
    <w:sdtContent>
      <w:p w:rsidR="002079B7" w:rsidRDefault="00577E83">
        <w:pPr>
          <w:pStyle w:val="Header"/>
          <w:jc w:val="cente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9F43D8">
          <w:rPr>
            <w:rFonts w:ascii="Times New Roman" w:hAnsi="Times New Roman"/>
            <w:noProof/>
            <w:sz w:val="24"/>
            <w:szCs w:val="24"/>
          </w:rPr>
          <w:t>4</w:t>
        </w:r>
        <w:r>
          <w:rPr>
            <w:rFonts w:ascii="Times New Roman" w:hAnsi="Times New Roman"/>
            <w:sz w:val="24"/>
            <w:szCs w:val="24"/>
          </w:rPr>
          <w:fldChar w:fldCharType="end"/>
        </w:r>
      </w:p>
    </w:sdtContent>
  </w:sdt>
  <w:p w:rsidR="002079B7" w:rsidRDefault="00286F58">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9B7" w:rsidRDefault="00286F58">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91A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7E571C"/>
    <w:multiLevelType w:val="hybridMultilevel"/>
    <w:tmpl w:val="575032D8"/>
    <w:lvl w:ilvl="0" w:tplc="A9F0E1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BA"/>
    <w:rsid w:val="00077E78"/>
    <w:rsid w:val="000A66BA"/>
    <w:rsid w:val="000C0A64"/>
    <w:rsid w:val="000F3092"/>
    <w:rsid w:val="00103ADC"/>
    <w:rsid w:val="00286F58"/>
    <w:rsid w:val="002A14C8"/>
    <w:rsid w:val="00372039"/>
    <w:rsid w:val="003E0734"/>
    <w:rsid w:val="003E6B9F"/>
    <w:rsid w:val="004B1452"/>
    <w:rsid w:val="004D6661"/>
    <w:rsid w:val="00577E83"/>
    <w:rsid w:val="005A403C"/>
    <w:rsid w:val="006854B4"/>
    <w:rsid w:val="007B76F3"/>
    <w:rsid w:val="008153E6"/>
    <w:rsid w:val="008830C5"/>
    <w:rsid w:val="008F060E"/>
    <w:rsid w:val="00914083"/>
    <w:rsid w:val="009F43D8"/>
    <w:rsid w:val="00D615FA"/>
    <w:rsid w:val="00D967E2"/>
    <w:rsid w:val="00E62E55"/>
    <w:rsid w:val="00FB1D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7A3B"/>
  <w15:docId w15:val="{E2FBBAFB-92F5-4902-957C-D7E59DE2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6B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sid w:val="000A66BA"/>
    <w:rPr>
      <w:sz w:val="16"/>
      <w:szCs w:val="16"/>
    </w:rPr>
  </w:style>
  <w:style w:type="character" w:customStyle="1" w:styleId="HeaderChar">
    <w:name w:val="Header Char"/>
    <w:basedOn w:val="DefaultParagraphFont"/>
    <w:link w:val="Header"/>
    <w:uiPriority w:val="99"/>
    <w:qFormat/>
    <w:rsid w:val="000A66BA"/>
    <w:rPr>
      <w:rFonts w:eastAsiaTheme="minorEastAsia"/>
      <w:lang w:val="en-US"/>
    </w:rPr>
  </w:style>
  <w:style w:type="paragraph" w:styleId="ListParagraph">
    <w:name w:val="List Paragraph"/>
    <w:basedOn w:val="Normal"/>
    <w:uiPriority w:val="34"/>
    <w:qFormat/>
    <w:rsid w:val="000A66BA"/>
    <w:pPr>
      <w:ind w:left="720"/>
      <w:contextualSpacing/>
    </w:pPr>
  </w:style>
  <w:style w:type="paragraph" w:styleId="Header">
    <w:name w:val="header"/>
    <w:basedOn w:val="Normal"/>
    <w:link w:val="HeaderChar"/>
    <w:uiPriority w:val="99"/>
    <w:unhideWhenUsed/>
    <w:rsid w:val="000A66BA"/>
    <w:pPr>
      <w:tabs>
        <w:tab w:val="center" w:pos="4680"/>
        <w:tab w:val="right" w:pos="9360"/>
      </w:tabs>
    </w:pPr>
    <w:rPr>
      <w:rFonts w:asciiTheme="minorHAnsi" w:eastAsiaTheme="minorEastAsia" w:hAnsiTheme="minorHAnsi" w:cstheme="minorBidi"/>
      <w:sz w:val="22"/>
      <w:szCs w:val="22"/>
      <w:lang w:val="en-US"/>
    </w:rPr>
  </w:style>
  <w:style w:type="character" w:customStyle="1" w:styleId="AntratsDiagrama1">
    <w:name w:val="Antraštės Diagrama1"/>
    <w:basedOn w:val="DefaultParagraphFont"/>
    <w:uiPriority w:val="99"/>
    <w:semiHidden/>
    <w:rsid w:val="000A66BA"/>
    <w:rPr>
      <w:rFonts w:ascii="Times New Roman" w:eastAsia="Times New Roman" w:hAnsi="Times New Roman" w:cs="Times New Roman"/>
      <w:sz w:val="24"/>
      <w:szCs w:val="20"/>
    </w:rPr>
  </w:style>
  <w:style w:type="paragraph" w:styleId="Title">
    <w:name w:val="Title"/>
    <w:basedOn w:val="Normal"/>
    <w:link w:val="TitleChar"/>
    <w:uiPriority w:val="99"/>
    <w:qFormat/>
    <w:rsid w:val="000A66BA"/>
    <w:pPr>
      <w:overflowPunct w:val="0"/>
      <w:autoSpaceDE w:val="0"/>
      <w:autoSpaceDN w:val="0"/>
      <w:adjustRightInd w:val="0"/>
      <w:spacing w:line="360" w:lineRule="atLeast"/>
      <w:jc w:val="center"/>
      <w:textAlignment w:val="baseline"/>
    </w:pPr>
    <w:rPr>
      <w:rFonts w:ascii="Tahoma" w:hAnsi="Tahoma"/>
      <w:b/>
      <w:sz w:val="28"/>
      <w:szCs w:val="24"/>
    </w:rPr>
  </w:style>
  <w:style w:type="character" w:customStyle="1" w:styleId="TitleChar">
    <w:name w:val="Title Char"/>
    <w:basedOn w:val="DefaultParagraphFont"/>
    <w:link w:val="Title"/>
    <w:uiPriority w:val="99"/>
    <w:rsid w:val="000A66BA"/>
    <w:rPr>
      <w:rFonts w:ascii="Tahoma" w:eastAsia="Times New Roman" w:hAnsi="Tahoma" w:cs="Times New Roman"/>
      <w:b/>
      <w:sz w:val="28"/>
      <w:szCs w:val="24"/>
    </w:rPr>
  </w:style>
  <w:style w:type="paragraph" w:styleId="Date">
    <w:name w:val="Date"/>
    <w:basedOn w:val="Normal"/>
    <w:next w:val="Normal"/>
    <w:link w:val="DateChar"/>
    <w:uiPriority w:val="99"/>
    <w:rsid w:val="000A66BA"/>
    <w:pPr>
      <w:jc w:val="center"/>
    </w:pPr>
    <w:rPr>
      <w:szCs w:val="24"/>
    </w:rPr>
  </w:style>
  <w:style w:type="character" w:customStyle="1" w:styleId="DateChar">
    <w:name w:val="Date Char"/>
    <w:basedOn w:val="DefaultParagraphFont"/>
    <w:link w:val="Date"/>
    <w:uiPriority w:val="99"/>
    <w:rsid w:val="000A66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3092"/>
    <w:pPr>
      <w:tabs>
        <w:tab w:val="center" w:pos="4819"/>
        <w:tab w:val="right" w:pos="9638"/>
      </w:tabs>
    </w:pPr>
  </w:style>
  <w:style w:type="character" w:customStyle="1" w:styleId="FooterChar">
    <w:name w:val="Footer Char"/>
    <w:basedOn w:val="DefaultParagraphFont"/>
    <w:link w:val="Footer"/>
    <w:uiPriority w:val="99"/>
    <w:rsid w:val="000F309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62E55"/>
    <w:rPr>
      <w:rFonts w:ascii="Tahoma" w:hAnsi="Tahoma" w:cs="Tahoma"/>
      <w:sz w:val="16"/>
      <w:szCs w:val="16"/>
    </w:rPr>
  </w:style>
  <w:style w:type="character" w:customStyle="1" w:styleId="BalloonTextChar">
    <w:name w:val="Balloon Text Char"/>
    <w:basedOn w:val="DefaultParagraphFont"/>
    <w:link w:val="BalloonText"/>
    <w:uiPriority w:val="99"/>
    <w:semiHidden/>
    <w:rsid w:val="00E62E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4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8226</Words>
  <Characters>4690</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Alina Dokutovičienė</cp:lastModifiedBy>
  <cp:revision>3</cp:revision>
  <cp:lastPrinted>2018-11-27T07:21:00Z</cp:lastPrinted>
  <dcterms:created xsi:type="dcterms:W3CDTF">2018-12-03T10:10:00Z</dcterms:created>
  <dcterms:modified xsi:type="dcterms:W3CDTF">2018-12-03T10:11:00Z</dcterms:modified>
</cp:coreProperties>
</file>