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5C" w:rsidRDefault="00597B60" w:rsidP="003B137E">
      <w:pPr>
        <w:jc w:val="center"/>
        <w:rPr>
          <w:rFonts w:eastAsia="Calibri"/>
          <w:noProof/>
          <w:szCs w:val="24"/>
          <w:lang w:eastAsia="lt-LT"/>
        </w:rPr>
      </w:pPr>
      <w:r w:rsidRPr="007A0407">
        <w:rPr>
          <w:noProof/>
          <w:lang w:eastAsia="lt-LT"/>
        </w:rPr>
        <w:drawing>
          <wp:inline distT="0" distB="0" distL="0" distR="0" wp14:anchorId="6704BFC1" wp14:editId="3C3D43B4">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3B137E" w:rsidRDefault="003B137E" w:rsidP="002A0184">
      <w:pPr>
        <w:rPr>
          <w:rFonts w:eastAsia="Calibri"/>
          <w:szCs w:val="24"/>
          <w:lang w:eastAsia="lt-LT"/>
        </w:rPr>
      </w:pPr>
    </w:p>
    <w:p w:rsidR="003B137E" w:rsidRDefault="003B137E" w:rsidP="003B137E">
      <w:pPr>
        <w:spacing w:line="480" w:lineRule="auto"/>
        <w:jc w:val="center"/>
        <w:rPr>
          <w:rFonts w:eastAsia="Calibri"/>
          <w:b/>
          <w:szCs w:val="24"/>
        </w:rPr>
      </w:pPr>
      <w:r>
        <w:rPr>
          <w:rFonts w:eastAsia="Calibri"/>
          <w:b/>
          <w:szCs w:val="24"/>
        </w:rPr>
        <w:t>TEISĖJŲ TARYBA</w:t>
      </w:r>
    </w:p>
    <w:p w:rsidR="003B137E" w:rsidRDefault="003B137E" w:rsidP="003B137E">
      <w:pPr>
        <w:jc w:val="center"/>
        <w:rPr>
          <w:rFonts w:eastAsia="Calibri"/>
          <w:b/>
          <w:szCs w:val="24"/>
        </w:rPr>
      </w:pPr>
      <w:r>
        <w:rPr>
          <w:rFonts w:eastAsia="Calibri"/>
          <w:b/>
          <w:szCs w:val="24"/>
        </w:rPr>
        <w:t>NUTARIMAS</w:t>
      </w:r>
    </w:p>
    <w:p w:rsidR="003B137E" w:rsidRDefault="003B137E" w:rsidP="003B137E">
      <w:pPr>
        <w:jc w:val="center"/>
        <w:rPr>
          <w:rFonts w:eastAsia="Calibri"/>
          <w:b/>
          <w:szCs w:val="24"/>
        </w:rPr>
      </w:pPr>
      <w:r>
        <w:rPr>
          <w:rFonts w:eastAsia="Calibri"/>
          <w:b/>
          <w:szCs w:val="24"/>
        </w:rPr>
        <w:t xml:space="preserve">DĖL </w:t>
      </w:r>
      <w:r w:rsidR="00044836" w:rsidRPr="00044836">
        <w:rPr>
          <w:rFonts w:eastAsia="Calibri"/>
          <w:b/>
          <w:szCs w:val="24"/>
        </w:rPr>
        <w:t xml:space="preserve">ESMINIŲ KRITERIJŲ </w:t>
      </w:r>
      <w:r w:rsidR="008F30E6">
        <w:rPr>
          <w:rFonts w:eastAsia="Calibri"/>
          <w:b/>
          <w:szCs w:val="24"/>
        </w:rPr>
        <w:t>2019-2020</w:t>
      </w:r>
      <w:r w:rsidR="00044836" w:rsidRPr="00044836">
        <w:rPr>
          <w:rFonts w:eastAsia="Calibri"/>
          <w:b/>
          <w:szCs w:val="24"/>
        </w:rPr>
        <w:t xml:space="preserve"> METŲ PLANINI</w:t>
      </w:r>
      <w:r w:rsidR="000C3A0B">
        <w:rPr>
          <w:rFonts w:eastAsia="Calibri"/>
          <w:b/>
          <w:szCs w:val="24"/>
        </w:rPr>
        <w:t xml:space="preserve">AMS </w:t>
      </w:r>
      <w:r w:rsidR="00044836" w:rsidRPr="00044836">
        <w:rPr>
          <w:rFonts w:eastAsia="Calibri"/>
          <w:b/>
          <w:szCs w:val="24"/>
        </w:rPr>
        <w:t>KOMPLEKSINI</w:t>
      </w:r>
      <w:r w:rsidR="000C3A0B">
        <w:rPr>
          <w:rFonts w:eastAsia="Calibri"/>
          <w:b/>
          <w:szCs w:val="24"/>
        </w:rPr>
        <w:t>AMS</w:t>
      </w:r>
      <w:r w:rsidR="00044836" w:rsidRPr="00044836">
        <w:rPr>
          <w:rFonts w:eastAsia="Calibri"/>
          <w:b/>
          <w:szCs w:val="24"/>
        </w:rPr>
        <w:t xml:space="preserve"> PATIKRINIM</w:t>
      </w:r>
      <w:r w:rsidR="000C3A0B">
        <w:rPr>
          <w:rFonts w:eastAsia="Calibri"/>
          <w:b/>
          <w:szCs w:val="24"/>
        </w:rPr>
        <w:t>AMS ATLIKTI PATVIRTINIMO</w:t>
      </w:r>
      <w:r>
        <w:rPr>
          <w:rFonts w:eastAsia="Calibri"/>
          <w:b/>
          <w:caps/>
          <w:szCs w:val="24"/>
        </w:rPr>
        <w:t xml:space="preserve"> </w:t>
      </w:r>
    </w:p>
    <w:p w:rsidR="003B137E" w:rsidRDefault="003B137E" w:rsidP="003B137E">
      <w:pPr>
        <w:jc w:val="center"/>
        <w:rPr>
          <w:rFonts w:eastAsia="Calibri"/>
          <w:szCs w:val="24"/>
          <w:lang w:eastAsia="lt-LT"/>
        </w:rPr>
      </w:pPr>
    </w:p>
    <w:p w:rsidR="003B137E" w:rsidRDefault="003B137E" w:rsidP="003B137E">
      <w:pPr>
        <w:jc w:val="center"/>
        <w:rPr>
          <w:rFonts w:eastAsia="Calibri"/>
          <w:szCs w:val="24"/>
          <w:lang w:eastAsia="lt-LT"/>
        </w:rPr>
      </w:pPr>
      <w:r>
        <w:rPr>
          <w:rFonts w:eastAsia="Calibri"/>
          <w:szCs w:val="24"/>
          <w:lang w:eastAsia="lt-LT"/>
        </w:rPr>
        <w:t>201</w:t>
      </w:r>
      <w:r w:rsidR="008F30E6">
        <w:rPr>
          <w:rFonts w:eastAsia="Calibri"/>
          <w:szCs w:val="24"/>
          <w:lang w:eastAsia="lt-LT"/>
        </w:rPr>
        <w:t>8</w:t>
      </w:r>
      <w:r>
        <w:rPr>
          <w:rFonts w:eastAsia="Calibri"/>
          <w:szCs w:val="24"/>
          <w:lang w:eastAsia="lt-LT"/>
        </w:rPr>
        <w:t xml:space="preserve"> m. </w:t>
      </w:r>
      <w:r w:rsidR="00597B60">
        <w:rPr>
          <w:rFonts w:eastAsia="Calibri"/>
          <w:szCs w:val="24"/>
          <w:lang w:eastAsia="lt-LT"/>
        </w:rPr>
        <w:t xml:space="preserve">lapkričio 30 </w:t>
      </w:r>
      <w:r>
        <w:rPr>
          <w:rFonts w:eastAsia="Calibri"/>
          <w:szCs w:val="24"/>
          <w:lang w:eastAsia="lt-LT"/>
        </w:rPr>
        <w:t>d. Nr. 13P-</w:t>
      </w:r>
      <w:r w:rsidR="005D4DE5">
        <w:rPr>
          <w:rFonts w:eastAsia="Calibri"/>
          <w:szCs w:val="24"/>
          <w:lang w:eastAsia="lt-LT"/>
        </w:rPr>
        <w:t>128</w:t>
      </w:r>
      <w:r>
        <w:rPr>
          <w:rFonts w:eastAsia="Calibri"/>
          <w:szCs w:val="24"/>
          <w:lang w:eastAsia="lt-LT"/>
        </w:rPr>
        <w:t>-(7.1.2)</w:t>
      </w:r>
    </w:p>
    <w:p w:rsidR="003B137E" w:rsidRDefault="003B137E" w:rsidP="003B137E">
      <w:pPr>
        <w:jc w:val="center"/>
        <w:rPr>
          <w:rFonts w:eastAsia="Calibri"/>
          <w:szCs w:val="24"/>
          <w:lang w:eastAsia="lt-LT"/>
        </w:rPr>
      </w:pPr>
      <w:r>
        <w:rPr>
          <w:rFonts w:eastAsia="Calibri"/>
          <w:szCs w:val="24"/>
          <w:lang w:eastAsia="lt-LT"/>
        </w:rPr>
        <w:t>Vilnius</w:t>
      </w:r>
    </w:p>
    <w:p w:rsidR="00013060" w:rsidRDefault="00013060"/>
    <w:p w:rsidR="0049552A" w:rsidRDefault="003B137E">
      <w:pPr>
        <w:spacing w:line="360" w:lineRule="auto"/>
        <w:ind w:firstLine="567"/>
        <w:jc w:val="both"/>
      </w:pPr>
      <w:r>
        <w:t>Vadovaudamasi</w:t>
      </w:r>
      <w:r w:rsidR="006F5B0E">
        <w:t xml:space="preserve"> </w:t>
      </w:r>
      <w:r w:rsidR="007401E6">
        <w:t xml:space="preserve">Lietuvos Respublikos </w:t>
      </w:r>
      <w:r w:rsidR="00414C11">
        <w:t>t</w:t>
      </w:r>
      <w:r w:rsidR="006F5B0E">
        <w:t>eismų įstatymo</w:t>
      </w:r>
      <w:r w:rsidR="003D4E5C">
        <w:t xml:space="preserve"> 120</w:t>
      </w:r>
      <w:r w:rsidR="00286C06">
        <w:t xml:space="preserve"> </w:t>
      </w:r>
      <w:r w:rsidR="006F5B0E">
        <w:t>straipsnio</w:t>
      </w:r>
      <w:r w:rsidR="003D4E5C">
        <w:t xml:space="preserve"> 1</w:t>
      </w:r>
      <w:r w:rsidR="007401E6">
        <w:t xml:space="preserve"> dalies</w:t>
      </w:r>
      <w:r w:rsidR="003D4E5C">
        <w:t xml:space="preserve"> </w:t>
      </w:r>
      <w:r w:rsidR="003A3012">
        <w:t>1</w:t>
      </w:r>
      <w:r w:rsidR="003D4E5C">
        <w:t xml:space="preserve">7 </w:t>
      </w:r>
      <w:r w:rsidR="006F5B0E">
        <w:t>punktu</w:t>
      </w:r>
      <w:r>
        <w:t xml:space="preserve"> </w:t>
      </w:r>
      <w:r w:rsidR="008331C6">
        <w:t xml:space="preserve">ir </w:t>
      </w:r>
      <w:r w:rsidR="00651C95" w:rsidRPr="003D4E5C">
        <w:t>Administravimo teismuose nuostat</w:t>
      </w:r>
      <w:r w:rsidR="00651C95">
        <w:t>ų, patvirtintų</w:t>
      </w:r>
      <w:r w:rsidR="00651C95" w:rsidRPr="003D4E5C">
        <w:t xml:space="preserve"> </w:t>
      </w:r>
      <w:r w:rsidR="003D4E5C" w:rsidRPr="003D4E5C">
        <w:t>Teisėjų tarybos 2015 m. gruodžio 18 d. nutarimu</w:t>
      </w:r>
      <w:r w:rsidR="003D4E5C">
        <w:t xml:space="preserve"> Nr. 13P-157-(7.1.2) </w:t>
      </w:r>
      <w:r w:rsidR="00651C95">
        <w:t>„Dėl Administravimo te</w:t>
      </w:r>
      <w:r w:rsidR="00B76C80">
        <w:t>ismuose nuostatų patvirtinimo“,</w:t>
      </w:r>
      <w:r w:rsidR="003D4E5C">
        <w:t xml:space="preserve"> 24 punktu</w:t>
      </w:r>
      <w:r w:rsidR="00651C95">
        <w:t>,</w:t>
      </w:r>
      <w:r>
        <w:t xml:space="preserve"> </w:t>
      </w:r>
      <w:r w:rsidR="00C32387">
        <w:t>Teisėjų taryba n u t a r i a</w:t>
      </w:r>
      <w:r w:rsidR="00651C95">
        <w:t>:</w:t>
      </w:r>
    </w:p>
    <w:p w:rsidR="0049552A" w:rsidRDefault="00C32387">
      <w:pPr>
        <w:tabs>
          <w:tab w:val="left" w:pos="567"/>
          <w:tab w:val="left" w:pos="709"/>
        </w:tabs>
        <w:spacing w:after="160" w:line="360" w:lineRule="auto"/>
        <w:contextualSpacing/>
        <w:jc w:val="both"/>
        <w:rPr>
          <w:color w:val="000000"/>
          <w:szCs w:val="24"/>
        </w:rPr>
      </w:pPr>
      <w:r>
        <w:rPr>
          <w:color w:val="000000"/>
          <w:szCs w:val="24"/>
        </w:rPr>
        <w:tab/>
      </w:r>
      <w:r w:rsidR="003D4E5C" w:rsidRPr="00C32387">
        <w:rPr>
          <w:color w:val="000000"/>
          <w:szCs w:val="24"/>
        </w:rPr>
        <w:t xml:space="preserve">Patvirtinti esminius kriterijus, pagal kuriuos turi būti atliekami </w:t>
      </w:r>
      <w:r w:rsidR="00BC54BF">
        <w:rPr>
          <w:color w:val="000000"/>
          <w:szCs w:val="24"/>
        </w:rPr>
        <w:t>2019</w:t>
      </w:r>
      <w:r w:rsidR="001A27D4">
        <w:rPr>
          <w:color w:val="000000"/>
          <w:szCs w:val="24"/>
        </w:rPr>
        <w:t>–</w:t>
      </w:r>
      <w:r w:rsidR="00BC54BF">
        <w:rPr>
          <w:color w:val="000000"/>
          <w:szCs w:val="24"/>
        </w:rPr>
        <w:t>2020</w:t>
      </w:r>
      <w:r w:rsidRPr="00C32387">
        <w:rPr>
          <w:color w:val="000000"/>
          <w:szCs w:val="24"/>
        </w:rPr>
        <w:t xml:space="preserve"> m</w:t>
      </w:r>
      <w:r w:rsidR="00651C95">
        <w:rPr>
          <w:color w:val="000000"/>
          <w:szCs w:val="24"/>
        </w:rPr>
        <w:t>etų</w:t>
      </w:r>
      <w:r w:rsidR="003D4E5C" w:rsidRPr="00C32387">
        <w:rPr>
          <w:color w:val="000000"/>
          <w:szCs w:val="24"/>
        </w:rPr>
        <w:t xml:space="preserve"> plani</w:t>
      </w:r>
      <w:r w:rsidR="00CB4746" w:rsidRPr="00C32387">
        <w:rPr>
          <w:color w:val="000000"/>
          <w:szCs w:val="24"/>
        </w:rPr>
        <w:t>niai kompleksiniai patikrinimai (</w:t>
      </w:r>
      <w:r w:rsidRPr="00C32387">
        <w:rPr>
          <w:color w:val="000000"/>
          <w:szCs w:val="24"/>
        </w:rPr>
        <w:t>pridedama</w:t>
      </w:r>
      <w:r w:rsidR="00CB4746" w:rsidRPr="00C32387">
        <w:rPr>
          <w:color w:val="000000"/>
          <w:szCs w:val="24"/>
        </w:rPr>
        <w:t>).</w:t>
      </w:r>
    </w:p>
    <w:p w:rsidR="003B137E" w:rsidRDefault="003B137E" w:rsidP="003B137E">
      <w:pPr>
        <w:tabs>
          <w:tab w:val="left" w:pos="851"/>
        </w:tabs>
        <w:ind w:right="-82" w:firstLine="567"/>
        <w:jc w:val="both"/>
      </w:pPr>
    </w:p>
    <w:p w:rsidR="003B137E" w:rsidRDefault="003B137E" w:rsidP="003B137E">
      <w:pPr>
        <w:tabs>
          <w:tab w:val="left" w:pos="851"/>
        </w:tabs>
        <w:ind w:right="-82" w:firstLine="567"/>
        <w:jc w:val="both"/>
      </w:pPr>
    </w:p>
    <w:tbl>
      <w:tblPr>
        <w:tblW w:w="0" w:type="auto"/>
        <w:tblLayout w:type="fixed"/>
        <w:tblLook w:val="0000" w:firstRow="0" w:lastRow="0" w:firstColumn="0" w:lastColumn="0" w:noHBand="0" w:noVBand="0"/>
      </w:tblPr>
      <w:tblGrid>
        <w:gridCol w:w="7308"/>
        <w:gridCol w:w="2490"/>
      </w:tblGrid>
      <w:tr w:rsidR="00597B60" w:rsidRPr="00FE2EE3" w:rsidTr="009D67A3">
        <w:trPr>
          <w:trHeight w:val="813"/>
        </w:trPr>
        <w:tc>
          <w:tcPr>
            <w:tcW w:w="7308" w:type="dxa"/>
          </w:tcPr>
          <w:p w:rsidR="00597B60" w:rsidRPr="00FE2EE3" w:rsidRDefault="00597B60" w:rsidP="009D67A3">
            <w:r w:rsidRPr="00FE2EE3">
              <w:t>Pirmininkas</w:t>
            </w:r>
          </w:p>
          <w:p w:rsidR="00597B60" w:rsidRPr="00FE2EE3" w:rsidRDefault="00597B60" w:rsidP="009D67A3"/>
          <w:p w:rsidR="00597B60" w:rsidRPr="00FE2EE3" w:rsidRDefault="00597B60" w:rsidP="009D67A3"/>
        </w:tc>
        <w:tc>
          <w:tcPr>
            <w:tcW w:w="2490" w:type="dxa"/>
          </w:tcPr>
          <w:p w:rsidR="00597B60" w:rsidRPr="00FE2EE3" w:rsidRDefault="00597B60" w:rsidP="009D67A3">
            <w:r w:rsidRPr="00FE2EE3">
              <w:t>Rimvydas Norkus</w:t>
            </w:r>
          </w:p>
          <w:p w:rsidR="00597B60" w:rsidRPr="00FE2EE3" w:rsidRDefault="00597B60" w:rsidP="009D67A3"/>
          <w:p w:rsidR="00597B60" w:rsidRPr="00FE2EE3" w:rsidRDefault="00597B60" w:rsidP="009D67A3"/>
        </w:tc>
      </w:tr>
      <w:tr w:rsidR="00597B60" w:rsidRPr="00FE2EE3" w:rsidTr="009D67A3">
        <w:tc>
          <w:tcPr>
            <w:tcW w:w="7308" w:type="dxa"/>
          </w:tcPr>
          <w:p w:rsidR="00597B60" w:rsidRPr="00FE2EE3" w:rsidRDefault="00597B60" w:rsidP="009D67A3">
            <w:r w:rsidRPr="00FE2EE3">
              <w:t>Sekretorius</w:t>
            </w:r>
          </w:p>
        </w:tc>
        <w:tc>
          <w:tcPr>
            <w:tcW w:w="2490" w:type="dxa"/>
          </w:tcPr>
          <w:p w:rsidR="00597B60" w:rsidRPr="00FE2EE3" w:rsidRDefault="00597B60" w:rsidP="009D67A3">
            <w:r w:rsidRPr="00FE2EE3">
              <w:t>Ramūnas Gadliauskas</w:t>
            </w:r>
          </w:p>
        </w:tc>
      </w:tr>
    </w:tbl>
    <w:p w:rsidR="00C32387" w:rsidRDefault="00C32387">
      <w:pPr>
        <w:spacing w:after="160" w:line="259" w:lineRule="auto"/>
      </w:pPr>
      <w:r>
        <w:br w:type="page"/>
      </w:r>
    </w:p>
    <w:p w:rsidR="00C32387" w:rsidRDefault="00C32387" w:rsidP="00C32387">
      <w:pPr>
        <w:keepNext/>
        <w:ind w:left="4516" w:right="707" w:firstLine="1296"/>
        <w:jc w:val="both"/>
        <w:rPr>
          <w:bCs/>
          <w:caps/>
          <w:szCs w:val="24"/>
        </w:rPr>
      </w:pPr>
      <w:r>
        <w:rPr>
          <w:bCs/>
          <w:caps/>
          <w:szCs w:val="24"/>
        </w:rPr>
        <w:lastRenderedPageBreak/>
        <w:t>PATVIRTINTA</w:t>
      </w:r>
    </w:p>
    <w:p w:rsidR="00C32387" w:rsidRDefault="00C32387" w:rsidP="00C32387">
      <w:pPr>
        <w:ind w:left="5812"/>
        <w:rPr>
          <w:szCs w:val="24"/>
        </w:rPr>
      </w:pPr>
      <w:r>
        <w:rPr>
          <w:szCs w:val="24"/>
        </w:rPr>
        <w:t>Teisėjų tarybos 201</w:t>
      </w:r>
      <w:r w:rsidR="00BC54BF">
        <w:rPr>
          <w:szCs w:val="24"/>
        </w:rPr>
        <w:t>8</w:t>
      </w:r>
      <w:r>
        <w:rPr>
          <w:szCs w:val="24"/>
        </w:rPr>
        <w:t xml:space="preserve"> m. </w:t>
      </w:r>
      <w:r w:rsidR="00597B60">
        <w:rPr>
          <w:szCs w:val="24"/>
        </w:rPr>
        <w:t>lapkričio 30</w:t>
      </w:r>
      <w:r>
        <w:rPr>
          <w:szCs w:val="24"/>
        </w:rPr>
        <w:t xml:space="preserve"> d.  nutarimu Nr. 13P-</w:t>
      </w:r>
      <w:r w:rsidR="00A439BC">
        <w:rPr>
          <w:szCs w:val="24"/>
        </w:rPr>
        <w:t>128</w:t>
      </w:r>
      <w:bookmarkStart w:id="0" w:name="_GoBack"/>
      <w:bookmarkEnd w:id="0"/>
      <w:r>
        <w:rPr>
          <w:szCs w:val="24"/>
        </w:rPr>
        <w:t>-(7.1.2)</w:t>
      </w:r>
    </w:p>
    <w:p w:rsidR="00C32387" w:rsidRDefault="00C32387" w:rsidP="00C32387">
      <w:pPr>
        <w:ind w:firstLine="709"/>
        <w:jc w:val="center"/>
        <w:rPr>
          <w:b/>
          <w:color w:val="000000"/>
          <w:szCs w:val="24"/>
        </w:rPr>
      </w:pPr>
    </w:p>
    <w:p w:rsidR="00C32387" w:rsidRDefault="00C32387" w:rsidP="00C32387">
      <w:pPr>
        <w:ind w:firstLine="709"/>
        <w:jc w:val="center"/>
        <w:rPr>
          <w:b/>
          <w:color w:val="000000"/>
          <w:szCs w:val="24"/>
        </w:rPr>
      </w:pPr>
    </w:p>
    <w:p w:rsidR="00C32387" w:rsidRPr="00C32387" w:rsidRDefault="00C32387" w:rsidP="00C32387">
      <w:pPr>
        <w:ind w:firstLine="709"/>
        <w:jc w:val="center"/>
        <w:rPr>
          <w:b/>
        </w:rPr>
      </w:pPr>
      <w:r w:rsidRPr="00C32387">
        <w:rPr>
          <w:b/>
          <w:color w:val="000000"/>
          <w:szCs w:val="24"/>
        </w:rPr>
        <w:t xml:space="preserve">ESMINIAI KRITERIJAI </w:t>
      </w:r>
      <w:r w:rsidR="00BC54BF">
        <w:rPr>
          <w:b/>
          <w:color w:val="000000"/>
          <w:szCs w:val="24"/>
        </w:rPr>
        <w:t>2019</w:t>
      </w:r>
      <w:r w:rsidR="001A27D4">
        <w:rPr>
          <w:b/>
          <w:color w:val="000000"/>
          <w:szCs w:val="24"/>
        </w:rPr>
        <w:t>–</w:t>
      </w:r>
      <w:r w:rsidR="00BC54BF">
        <w:rPr>
          <w:b/>
          <w:color w:val="000000"/>
          <w:szCs w:val="24"/>
        </w:rPr>
        <w:t>2020</w:t>
      </w:r>
      <w:r w:rsidRPr="00C32387">
        <w:rPr>
          <w:b/>
          <w:color w:val="000000"/>
          <w:szCs w:val="24"/>
        </w:rPr>
        <w:t xml:space="preserve"> METŲ PLANINI</w:t>
      </w:r>
      <w:r w:rsidR="00651C95">
        <w:rPr>
          <w:b/>
          <w:color w:val="000000"/>
          <w:szCs w:val="24"/>
        </w:rPr>
        <w:t>AMS</w:t>
      </w:r>
      <w:r w:rsidRPr="00C32387">
        <w:rPr>
          <w:b/>
          <w:color w:val="000000"/>
          <w:szCs w:val="24"/>
        </w:rPr>
        <w:t xml:space="preserve"> KOMPLEKSINI</w:t>
      </w:r>
      <w:r w:rsidR="00651C95">
        <w:rPr>
          <w:b/>
          <w:color w:val="000000"/>
          <w:szCs w:val="24"/>
        </w:rPr>
        <w:t>AMS</w:t>
      </w:r>
      <w:r w:rsidRPr="00C32387">
        <w:rPr>
          <w:b/>
          <w:color w:val="000000"/>
          <w:szCs w:val="24"/>
        </w:rPr>
        <w:t xml:space="preserve"> PATIKRINIM</w:t>
      </w:r>
      <w:r w:rsidR="00651C95">
        <w:rPr>
          <w:b/>
          <w:color w:val="000000"/>
          <w:szCs w:val="24"/>
        </w:rPr>
        <w:t>AMS</w:t>
      </w:r>
      <w:r w:rsidRPr="00C32387">
        <w:rPr>
          <w:b/>
          <w:color w:val="000000"/>
          <w:szCs w:val="24"/>
        </w:rPr>
        <w:t xml:space="preserve"> ATLIK</w:t>
      </w:r>
      <w:r w:rsidR="00651C95">
        <w:rPr>
          <w:b/>
          <w:color w:val="000000"/>
          <w:szCs w:val="24"/>
        </w:rPr>
        <w:t>TI</w:t>
      </w:r>
    </w:p>
    <w:p w:rsidR="00C32387" w:rsidRPr="00C32387" w:rsidRDefault="00C32387" w:rsidP="00C32387">
      <w:pPr>
        <w:ind w:firstLine="709"/>
        <w:jc w:val="center"/>
        <w:rPr>
          <w:b/>
        </w:rPr>
      </w:pPr>
    </w:p>
    <w:p w:rsidR="00C32387" w:rsidRPr="00C32387" w:rsidRDefault="00C32387" w:rsidP="00C32387">
      <w:pPr>
        <w:jc w:val="both"/>
        <w:rPr>
          <w:b/>
        </w:rPr>
      </w:pPr>
    </w:p>
    <w:p w:rsidR="00C32387" w:rsidRPr="00C32387" w:rsidRDefault="00C32387" w:rsidP="00651C95">
      <w:pPr>
        <w:numPr>
          <w:ilvl w:val="2"/>
          <w:numId w:val="6"/>
        </w:numPr>
        <w:ind w:left="0" w:firstLine="709"/>
        <w:contextualSpacing/>
        <w:jc w:val="both"/>
        <w:rPr>
          <w:b/>
        </w:rPr>
      </w:pPr>
      <w:r w:rsidRPr="00C32387">
        <w:rPr>
          <w:b/>
        </w:rPr>
        <w:t xml:space="preserve">Bylų administracinės priežiūros apimtis, vykdymo būdai ir priemonės </w:t>
      </w:r>
    </w:p>
    <w:p w:rsidR="00C32387" w:rsidRPr="00C32387" w:rsidRDefault="00C32387" w:rsidP="00651C95">
      <w:pPr>
        <w:ind w:firstLine="709"/>
        <w:jc w:val="both"/>
      </w:pPr>
    </w:p>
    <w:p w:rsidR="00D35FA5" w:rsidRDefault="00C32387" w:rsidP="00D35FA5">
      <w:pPr>
        <w:ind w:firstLine="709"/>
        <w:jc w:val="both"/>
        <w:rPr>
          <w:szCs w:val="24"/>
        </w:rPr>
      </w:pPr>
      <w:r w:rsidRPr="00C32387">
        <w:rPr>
          <w:szCs w:val="24"/>
        </w:rPr>
        <w:t xml:space="preserve">Tikrinant bylų administracinės priežiūros apimtis, vykdymo būdus ir priemones, </w:t>
      </w:r>
      <w:r w:rsidR="008F0B9B" w:rsidRPr="008F0B9B">
        <w:rPr>
          <w:szCs w:val="24"/>
        </w:rPr>
        <w:t>darbo organizavimo trūkumų nustatymui ir/ar  bylų nagrinėjimo vilkinimo atvejų išaiškinimui</w:t>
      </w:r>
      <w:r w:rsidR="008F0B9B">
        <w:rPr>
          <w:szCs w:val="24"/>
        </w:rPr>
        <w:t xml:space="preserve">, </w:t>
      </w:r>
      <w:r w:rsidRPr="00C32387">
        <w:rPr>
          <w:szCs w:val="24"/>
        </w:rPr>
        <w:t>reikalinga atkreipti dėmesį į to</w:t>
      </w:r>
      <w:r w:rsidR="00D35FA5">
        <w:rPr>
          <w:szCs w:val="24"/>
        </w:rPr>
        <w:t>kius aspektus:</w:t>
      </w:r>
    </w:p>
    <w:p w:rsidR="00D35FA5" w:rsidRDefault="00D35FA5" w:rsidP="00D35FA5">
      <w:pPr>
        <w:numPr>
          <w:ilvl w:val="1"/>
          <w:numId w:val="2"/>
        </w:numPr>
        <w:tabs>
          <w:tab w:val="left" w:pos="1276"/>
        </w:tabs>
        <w:ind w:left="0" w:firstLine="680"/>
        <w:contextualSpacing/>
        <w:jc w:val="both"/>
      </w:pPr>
      <w:r w:rsidRPr="00D35FA5">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r w:rsidR="008D3430">
        <w:t>;</w:t>
      </w:r>
    </w:p>
    <w:p w:rsidR="00C32387" w:rsidRPr="00C32387" w:rsidRDefault="00C32387" w:rsidP="00651C95">
      <w:pPr>
        <w:numPr>
          <w:ilvl w:val="1"/>
          <w:numId w:val="2"/>
        </w:numPr>
        <w:ind w:left="0" w:firstLine="709"/>
        <w:contextualSpacing/>
        <w:jc w:val="both"/>
      </w:pPr>
      <w:r w:rsidRPr="00C32387">
        <w:t>Bylos (galimai už tam tikrą konkretų laikotarpį), kuriose įvykiai pagal LITEKO iki bylos išnagrinėjimo įvykio įvyko rečiau nei kas 6 mėnesius (darbo organizavimo trūkumų nustatymui ir bylų nagrinėjimo vilkinimo atvejų išaiškinimui);</w:t>
      </w:r>
    </w:p>
    <w:p w:rsidR="00C32387" w:rsidRPr="00C32387" w:rsidRDefault="00C32387" w:rsidP="00651C95">
      <w:pPr>
        <w:numPr>
          <w:ilvl w:val="1"/>
          <w:numId w:val="2"/>
        </w:numPr>
        <w:ind w:left="0" w:firstLine="709"/>
        <w:contextualSpacing/>
        <w:jc w:val="both"/>
      </w:pPr>
      <w:r w:rsidRPr="00C32387">
        <w:t>Bylos, gautos daugiau nei prieš vienerius metus (nurodant konkrečius metus) ir kurios dar neišnagrinėtos tikrinimo metu (galimo bylų nagrinėjimo vilkinimo atvejų išaiškinimui);</w:t>
      </w:r>
    </w:p>
    <w:p w:rsidR="00C32387" w:rsidRPr="00AA754D" w:rsidRDefault="00C32387" w:rsidP="00651C95">
      <w:pPr>
        <w:numPr>
          <w:ilvl w:val="1"/>
          <w:numId w:val="2"/>
        </w:numPr>
        <w:ind w:left="0" w:firstLine="709"/>
        <w:contextualSpacing/>
        <w:jc w:val="both"/>
      </w:pPr>
      <w:r w:rsidRPr="00AA754D">
        <w:t>Baudžiamosios bylos, kuriose nuo bylos gavimo iki baudžiamojo įsakymo išdavimo</w:t>
      </w:r>
      <w:r w:rsidR="0005658C" w:rsidRPr="00AA754D">
        <w:t xml:space="preserve"> (nutarties priėmimo)</w:t>
      </w:r>
      <w:r w:rsidRPr="00AA754D">
        <w:t xml:space="preserve"> praėjo daugiau nei 7 dienos</w:t>
      </w:r>
      <w:r w:rsidR="00F37D0B" w:rsidRPr="00AA754D">
        <w:t>;</w:t>
      </w:r>
    </w:p>
    <w:p w:rsidR="00C32387" w:rsidRPr="00AA754D" w:rsidRDefault="00972686" w:rsidP="00651C95">
      <w:pPr>
        <w:numPr>
          <w:ilvl w:val="1"/>
          <w:numId w:val="2"/>
        </w:numPr>
        <w:ind w:left="0" w:firstLine="709"/>
        <w:contextualSpacing/>
        <w:jc w:val="both"/>
      </w:pPr>
      <w:r w:rsidRPr="00AA754D">
        <w:t>Baudžiamosios b</w:t>
      </w:r>
      <w:r w:rsidR="00C32387" w:rsidRPr="00AA754D">
        <w:t>ylos, kuriose nuo parengimo nagrinėti iki teisiamojo posėdžio praėjo daugiau nei 20 dienų;</w:t>
      </w:r>
    </w:p>
    <w:p w:rsidR="00C32387" w:rsidRPr="00C32387" w:rsidRDefault="00C32387" w:rsidP="00651C95">
      <w:pPr>
        <w:numPr>
          <w:ilvl w:val="1"/>
          <w:numId w:val="2"/>
        </w:numPr>
        <w:ind w:left="0" w:firstLine="709"/>
        <w:contextualSpacing/>
        <w:jc w:val="both"/>
      </w:pPr>
      <w:r w:rsidRPr="00C32387">
        <w:t>Civilinės bylos, kuriose vyko daugiau nei 2 parengiamieji posėdžiai;</w:t>
      </w:r>
    </w:p>
    <w:p w:rsidR="00C32387" w:rsidRPr="00716117" w:rsidRDefault="00C32387" w:rsidP="00651C95">
      <w:pPr>
        <w:numPr>
          <w:ilvl w:val="1"/>
          <w:numId w:val="2"/>
        </w:numPr>
        <w:ind w:left="0" w:firstLine="709"/>
        <w:contextualSpacing/>
        <w:jc w:val="both"/>
      </w:pPr>
      <w:r w:rsidRPr="00716117">
        <w:t>Bylos, kuriose</w:t>
      </w:r>
      <w:r w:rsidR="00C72CF7" w:rsidRPr="00716117">
        <w:t xml:space="preserve"> posėdžiai vyko rečiau nei kas</w:t>
      </w:r>
      <w:r w:rsidR="00A04B68" w:rsidRPr="00716117">
        <w:t xml:space="preserve"> </w:t>
      </w:r>
      <w:r w:rsidR="00707D69" w:rsidRPr="00716117">
        <w:t>6</w:t>
      </w:r>
      <w:r w:rsidR="009F7A1D" w:rsidRPr="00716117">
        <w:t>0</w:t>
      </w:r>
      <w:r w:rsidRPr="00716117">
        <w:t xml:space="preserve"> dienų;</w:t>
      </w:r>
    </w:p>
    <w:p w:rsidR="00C32387" w:rsidRPr="00680EDE" w:rsidRDefault="00C32387" w:rsidP="00651C95">
      <w:pPr>
        <w:numPr>
          <w:ilvl w:val="1"/>
          <w:numId w:val="2"/>
        </w:numPr>
        <w:ind w:left="0" w:firstLine="709"/>
        <w:contextualSpacing/>
        <w:jc w:val="both"/>
      </w:pPr>
      <w:r w:rsidRPr="00680EDE">
        <w:t>Administracinių teisės pažeidimų</w:t>
      </w:r>
      <w:r w:rsidR="00972686" w:rsidRPr="00680EDE">
        <w:t xml:space="preserve"> ar administracinių nusižengimų</w:t>
      </w:r>
      <w:r w:rsidRPr="00680EDE">
        <w:t xml:space="preserve"> bylos ir baudžiamosios bylos, kuriose procesas nutrauktas</w:t>
      </w:r>
      <w:r w:rsidR="00C153E3" w:rsidRPr="00680EDE">
        <w:t>,</w:t>
      </w:r>
      <w:r w:rsidRPr="00680EDE">
        <w:t xml:space="preserve"> </w:t>
      </w:r>
      <w:r w:rsidR="00C153E3" w:rsidRPr="00680EDE">
        <w:t>nes</w:t>
      </w:r>
      <w:r w:rsidRPr="00680EDE">
        <w:t xml:space="preserve"> suėjo baudžiamosios atsakomybės senaties</w:t>
      </w:r>
      <w:r w:rsidR="00C153E3" w:rsidRPr="00680EDE">
        <w:t xml:space="preserve"> ar administracinės nuobaudos skyrimo</w:t>
      </w:r>
      <w:r w:rsidRPr="00680EDE">
        <w:t xml:space="preserve"> termin</w:t>
      </w:r>
      <w:r w:rsidR="00A046C2" w:rsidRPr="00680EDE">
        <w:t>ai</w:t>
      </w:r>
      <w:r w:rsidRPr="00680EDE">
        <w:t>;</w:t>
      </w:r>
    </w:p>
    <w:p w:rsidR="00C32387" w:rsidRPr="00AA754D" w:rsidRDefault="00C32387" w:rsidP="00651C95">
      <w:pPr>
        <w:numPr>
          <w:ilvl w:val="1"/>
          <w:numId w:val="2"/>
        </w:numPr>
        <w:ind w:left="0" w:firstLine="709"/>
        <w:contextualSpacing/>
        <w:jc w:val="both"/>
      </w:pPr>
      <w:r w:rsidRPr="00AA754D">
        <w:t>Baudžiamosios bylos, kuriose nuo įvykio rezultato „įsiteisėjo“ arba nuo bylos grąžinimo iš apeliacinės instancijos teismo</w:t>
      </w:r>
      <w:r w:rsidR="00995056" w:rsidRPr="00AA754D">
        <w:t xml:space="preserve"> dienos</w:t>
      </w:r>
      <w:r w:rsidRPr="00AA754D">
        <w:t xml:space="preserve"> iki </w:t>
      </w:r>
      <w:r w:rsidR="00995056" w:rsidRPr="00AA754D">
        <w:t xml:space="preserve">įvykio procese </w:t>
      </w:r>
      <w:r w:rsidRPr="00AA754D">
        <w:t>„atiduota vykdyti“ praėjo daugiau nei 3 dienos (pateikimo vykdyti terminų laikymasis)</w:t>
      </w:r>
      <w:r w:rsidR="00972686" w:rsidRPr="00AA754D">
        <w:t>;</w:t>
      </w:r>
    </w:p>
    <w:p w:rsidR="00C32387" w:rsidRDefault="00972686" w:rsidP="00651C95">
      <w:pPr>
        <w:numPr>
          <w:ilvl w:val="1"/>
          <w:numId w:val="2"/>
        </w:numPr>
        <w:ind w:left="0" w:firstLine="709"/>
        <w:contextualSpacing/>
        <w:jc w:val="both"/>
      </w:pPr>
      <w:r>
        <w:t>Civilinės b</w:t>
      </w:r>
      <w:r w:rsidR="00C32387" w:rsidRPr="00C32387">
        <w:t>ylos dėl darbo teisinių santykių, kurių nagrinėjimas truko ilgiau nei 120 dienų;</w:t>
      </w:r>
    </w:p>
    <w:p w:rsidR="00712EA9" w:rsidRPr="00716117" w:rsidRDefault="00712EA9" w:rsidP="00712EA9">
      <w:pPr>
        <w:numPr>
          <w:ilvl w:val="1"/>
          <w:numId w:val="2"/>
        </w:numPr>
        <w:ind w:left="0" w:firstLine="709"/>
        <w:contextualSpacing/>
        <w:jc w:val="both"/>
      </w:pPr>
      <w:r w:rsidRPr="00716117">
        <w:t>Nagrinėjamos ir išnagrinėtos civilinės bylos dėl viešųjų pirkimų, kurių nagrinėjimas nuo ieškinio priėmimo teisme trunka (truko) ilgiau nei 60 dienų;</w:t>
      </w:r>
    </w:p>
    <w:p w:rsidR="00EA5E52" w:rsidRPr="00716117" w:rsidRDefault="00CF5323" w:rsidP="00EA5E52">
      <w:pPr>
        <w:numPr>
          <w:ilvl w:val="1"/>
          <w:numId w:val="2"/>
        </w:numPr>
        <w:ind w:left="0" w:firstLine="709"/>
        <w:contextualSpacing/>
        <w:jc w:val="both"/>
      </w:pPr>
      <w:r w:rsidRPr="00716117">
        <w:t>Civilinės b</w:t>
      </w:r>
      <w:r w:rsidR="00C32387" w:rsidRPr="00716117">
        <w:t>ylos, kuriose sprendimo (nutarties) priėmimas ir paskelbimas atidėtas daugiau nei 2 kartus;</w:t>
      </w:r>
    </w:p>
    <w:p w:rsidR="00EA5E52" w:rsidRPr="00716117" w:rsidRDefault="00EA5E52" w:rsidP="00EA5E52">
      <w:pPr>
        <w:numPr>
          <w:ilvl w:val="1"/>
          <w:numId w:val="2"/>
        </w:numPr>
        <w:ind w:left="0" w:firstLine="709"/>
        <w:contextualSpacing/>
        <w:jc w:val="both"/>
      </w:pPr>
      <w:r w:rsidRPr="00716117">
        <w:t>Baudžiamosios bylos, kuriose nuosprendžio priėmimas ir paskelbimas atidėtas daugiau negu vieną kartą;</w:t>
      </w:r>
    </w:p>
    <w:p w:rsidR="008F0B9B" w:rsidRDefault="00C32387" w:rsidP="008F0B9B">
      <w:pPr>
        <w:numPr>
          <w:ilvl w:val="1"/>
          <w:numId w:val="2"/>
        </w:numPr>
        <w:ind w:left="0" w:firstLine="709"/>
        <w:contextualSpacing/>
        <w:jc w:val="both"/>
      </w:pPr>
      <w:r w:rsidRPr="00716117">
        <w:t>Civilinės bylos, kuriose nuo bylos gavimo iki teismo įsakymo išdavimo praėjo daugiau nei 2 darbo dienos</w:t>
      </w:r>
      <w:r w:rsidR="001A27D4" w:rsidRPr="00716117">
        <w:t>;</w:t>
      </w:r>
    </w:p>
    <w:p w:rsidR="00C32387" w:rsidRPr="008F0B9B" w:rsidRDefault="008F0B9B" w:rsidP="008F0B9B">
      <w:pPr>
        <w:numPr>
          <w:ilvl w:val="1"/>
          <w:numId w:val="2"/>
        </w:numPr>
        <w:ind w:left="0" w:firstLine="709"/>
        <w:contextualSpacing/>
        <w:jc w:val="both"/>
      </w:pPr>
      <w:r w:rsidRPr="008F0B9B">
        <w:t>Įmonių bankroto bylos, kurių nagrinėjimas užsitęsė ilgiau kaip ketverius metus</w:t>
      </w:r>
      <w:r w:rsidR="00F37D0B" w:rsidRPr="00716117">
        <w:t xml:space="preserve">. </w:t>
      </w:r>
    </w:p>
    <w:p w:rsidR="00C32387" w:rsidRPr="00C32387" w:rsidRDefault="00C32387" w:rsidP="00651C95">
      <w:pPr>
        <w:ind w:firstLine="709"/>
        <w:jc w:val="both"/>
        <w:rPr>
          <w:b/>
        </w:rPr>
      </w:pPr>
    </w:p>
    <w:p w:rsidR="00C32387" w:rsidRPr="00C32387" w:rsidRDefault="00C32387" w:rsidP="00651C95">
      <w:pPr>
        <w:numPr>
          <w:ilvl w:val="2"/>
          <w:numId w:val="6"/>
        </w:numPr>
        <w:tabs>
          <w:tab w:val="left" w:pos="1276"/>
        </w:tabs>
        <w:ind w:left="0" w:firstLine="709"/>
        <w:contextualSpacing/>
        <w:jc w:val="both"/>
        <w:rPr>
          <w:b/>
        </w:rPr>
      </w:pPr>
      <w:r w:rsidRPr="00C32387">
        <w:rPr>
          <w:b/>
        </w:rPr>
        <w:t>Bylų paruošimo teisminiam nagrinėjimui, nagrinėjimo kokybė bei proceso operatyvumas</w:t>
      </w:r>
      <w:r w:rsidRPr="00C32387">
        <w:t xml:space="preserve"> </w:t>
      </w:r>
    </w:p>
    <w:p w:rsidR="00C32387" w:rsidRPr="00C32387" w:rsidRDefault="00C32387" w:rsidP="00651C95">
      <w:pPr>
        <w:tabs>
          <w:tab w:val="left" w:pos="1276"/>
        </w:tabs>
        <w:ind w:firstLine="709"/>
        <w:jc w:val="both"/>
      </w:pPr>
    </w:p>
    <w:p w:rsidR="00C32387" w:rsidRPr="00C32387" w:rsidRDefault="00C32387" w:rsidP="00651C95">
      <w:pPr>
        <w:tabs>
          <w:tab w:val="left" w:pos="1276"/>
        </w:tabs>
        <w:ind w:firstLine="709"/>
        <w:jc w:val="both"/>
        <w:rPr>
          <w:szCs w:val="24"/>
        </w:rPr>
      </w:pPr>
      <w:r w:rsidRPr="00C32387">
        <w:rPr>
          <w:szCs w:val="24"/>
        </w:rPr>
        <w:lastRenderedPageBreak/>
        <w:t>Tikrinant, kaip laikomasi bylų nagrinėjimo kokybės ir proceso operatyvumo reikalavimų, reikalinga atkreipti dėmesį į tokius aspektus:</w:t>
      </w:r>
    </w:p>
    <w:p w:rsidR="00C32387" w:rsidRPr="00C32387" w:rsidRDefault="00C32387" w:rsidP="00651C95">
      <w:pPr>
        <w:numPr>
          <w:ilvl w:val="1"/>
          <w:numId w:val="7"/>
        </w:numPr>
        <w:tabs>
          <w:tab w:val="left" w:pos="1276"/>
        </w:tabs>
        <w:ind w:left="0" w:firstLine="709"/>
        <w:contextualSpacing/>
        <w:jc w:val="both"/>
      </w:pPr>
      <w:r w:rsidRPr="00C32387">
        <w:t>Informavimas apie teismo posėdžius;</w:t>
      </w:r>
    </w:p>
    <w:p w:rsidR="00C32387" w:rsidRPr="00C32387" w:rsidRDefault="00C32387" w:rsidP="00651C95">
      <w:pPr>
        <w:numPr>
          <w:ilvl w:val="1"/>
          <w:numId w:val="7"/>
        </w:numPr>
        <w:tabs>
          <w:tab w:val="left" w:pos="1276"/>
        </w:tabs>
        <w:ind w:left="0" w:firstLine="709"/>
        <w:contextualSpacing/>
        <w:jc w:val="both"/>
      </w:pPr>
      <w:r w:rsidRPr="00C32387">
        <w:t>Teisėjo darbo organizavimo (vilkinimo, aplaidumo) vertinimas bylose, kurių nagrinėjimas užsitęsė ilgiau negu 6 mėnesius;</w:t>
      </w:r>
    </w:p>
    <w:p w:rsidR="00C32387" w:rsidRPr="00C32387" w:rsidRDefault="00C32387" w:rsidP="00651C95">
      <w:pPr>
        <w:numPr>
          <w:ilvl w:val="1"/>
          <w:numId w:val="7"/>
        </w:numPr>
        <w:tabs>
          <w:tab w:val="left" w:pos="1276"/>
        </w:tabs>
        <w:ind w:left="0" w:firstLine="709"/>
        <w:contextualSpacing/>
        <w:jc w:val="both"/>
      </w:pPr>
      <w:r w:rsidRPr="00C32387">
        <w:t>Bylų nagrinėjimo atidėjimo praktikos vertinimas;</w:t>
      </w:r>
    </w:p>
    <w:p w:rsidR="00C32387" w:rsidRDefault="00C32387" w:rsidP="00651C95">
      <w:pPr>
        <w:numPr>
          <w:ilvl w:val="1"/>
          <w:numId w:val="7"/>
        </w:numPr>
        <w:tabs>
          <w:tab w:val="left" w:pos="1276"/>
        </w:tabs>
        <w:ind w:left="0" w:firstLine="709"/>
        <w:contextualSpacing/>
        <w:jc w:val="both"/>
      </w:pPr>
      <w:r w:rsidRPr="00C32387">
        <w:t>Bylos išsiuntimo aukštesnės instancijos teismui, gavus apeliacinį</w:t>
      </w:r>
      <w:r w:rsidR="005D44FD">
        <w:t xml:space="preserve"> (atskirąjį)</w:t>
      </w:r>
      <w:r w:rsidRPr="00C32387">
        <w:t xml:space="preserve"> skundą ir </w:t>
      </w:r>
      <w:r w:rsidR="00EA5E52" w:rsidRPr="00707D69">
        <w:t>atsiliepimus</w:t>
      </w:r>
      <w:r w:rsidR="00EA5E52">
        <w:t xml:space="preserve"> </w:t>
      </w:r>
      <w:r w:rsidRPr="00C32387">
        <w:t>į jį, terminų laikymasis</w:t>
      </w:r>
      <w:r w:rsidR="002B6E49">
        <w:t>;</w:t>
      </w:r>
    </w:p>
    <w:p w:rsidR="002B6E49" w:rsidRPr="00C32387" w:rsidRDefault="002B6E49" w:rsidP="00651C95">
      <w:pPr>
        <w:numPr>
          <w:ilvl w:val="1"/>
          <w:numId w:val="7"/>
        </w:numPr>
        <w:tabs>
          <w:tab w:val="left" w:pos="1276"/>
        </w:tabs>
        <w:ind w:left="0" w:firstLine="709"/>
        <w:contextualSpacing/>
        <w:jc w:val="both"/>
      </w:pPr>
      <w:r>
        <w:t>S</w:t>
      </w:r>
      <w:r w:rsidRPr="002B6E49">
        <w:t>ustabdytų bylų eigos kontrolė</w:t>
      </w:r>
      <w:r>
        <w:t>.</w:t>
      </w:r>
    </w:p>
    <w:p w:rsidR="00C32387" w:rsidRPr="00C32387" w:rsidRDefault="00C32387" w:rsidP="00651C95">
      <w:pPr>
        <w:tabs>
          <w:tab w:val="left" w:pos="1276"/>
        </w:tabs>
        <w:ind w:firstLine="709"/>
        <w:jc w:val="both"/>
      </w:pPr>
    </w:p>
    <w:p w:rsidR="00C32387" w:rsidRPr="00C32387" w:rsidRDefault="00C32387" w:rsidP="00651C95">
      <w:pPr>
        <w:numPr>
          <w:ilvl w:val="2"/>
          <w:numId w:val="6"/>
        </w:numPr>
        <w:tabs>
          <w:tab w:val="left" w:pos="1276"/>
        </w:tabs>
        <w:ind w:left="0" w:firstLine="709"/>
        <w:contextualSpacing/>
        <w:jc w:val="both"/>
        <w:rPr>
          <w:b/>
        </w:rPr>
      </w:pPr>
      <w:r w:rsidRPr="00C32387">
        <w:rPr>
          <w:b/>
        </w:rPr>
        <w:t xml:space="preserve">Bylų nagrinėjimo organizavimas </w:t>
      </w:r>
    </w:p>
    <w:p w:rsidR="00C32387" w:rsidRPr="00C32387" w:rsidRDefault="00C32387" w:rsidP="00651C95">
      <w:pPr>
        <w:tabs>
          <w:tab w:val="left" w:pos="1276"/>
        </w:tabs>
        <w:ind w:firstLine="709"/>
        <w:jc w:val="both"/>
      </w:pPr>
    </w:p>
    <w:p w:rsidR="00706E90" w:rsidRDefault="00C32387" w:rsidP="00706E90">
      <w:pPr>
        <w:tabs>
          <w:tab w:val="left" w:pos="1276"/>
        </w:tabs>
        <w:ind w:firstLine="709"/>
        <w:jc w:val="both"/>
        <w:rPr>
          <w:szCs w:val="24"/>
        </w:rPr>
      </w:pPr>
      <w:r w:rsidRPr="00C32387">
        <w:rPr>
          <w:szCs w:val="24"/>
        </w:rPr>
        <w:t>Vertinant, ar bylų nagrinėjimas teisme yra organizuojamas tinkamai, reikalinga atkr</w:t>
      </w:r>
      <w:r w:rsidR="00706E90">
        <w:rPr>
          <w:szCs w:val="24"/>
        </w:rPr>
        <w:t>eipti dėmesį į tokius aspektus:</w:t>
      </w:r>
    </w:p>
    <w:p w:rsidR="00706E90" w:rsidRDefault="00706E90" w:rsidP="00706E90">
      <w:pPr>
        <w:tabs>
          <w:tab w:val="left" w:pos="1276"/>
        </w:tabs>
        <w:ind w:firstLine="709"/>
        <w:jc w:val="both"/>
        <w:rPr>
          <w:szCs w:val="24"/>
        </w:rPr>
      </w:pPr>
      <w:r>
        <w:t xml:space="preserve">3.1. </w:t>
      </w:r>
      <w:r w:rsidR="00C32387" w:rsidRPr="00C32387">
        <w:t>Asmenų aptarnavimo teisme tvarkos bylų nagrinėjimo klausimais reglamentavimas, jos  laikymasis;</w:t>
      </w:r>
    </w:p>
    <w:p w:rsidR="00706E90" w:rsidRDefault="00706E90" w:rsidP="00706E90">
      <w:pPr>
        <w:tabs>
          <w:tab w:val="left" w:pos="1276"/>
        </w:tabs>
        <w:ind w:firstLine="709"/>
        <w:jc w:val="both"/>
        <w:rPr>
          <w:szCs w:val="24"/>
        </w:rPr>
      </w:pPr>
      <w:r>
        <w:t xml:space="preserve">3.2. </w:t>
      </w:r>
      <w:r w:rsidR="00C32387" w:rsidRPr="00C32387">
        <w:t>Atsakymų į asmenų skundus dėl teisėjų, nagrinėjančių bylas, neprocesinių veiksmų, nesusijusių su teisingumo vykdymu, bei dėl teismo personalo veiksmų savalaikiškumas ir išsamumas;</w:t>
      </w:r>
    </w:p>
    <w:p w:rsidR="00706E90" w:rsidRDefault="00706E90" w:rsidP="00706E90">
      <w:pPr>
        <w:tabs>
          <w:tab w:val="left" w:pos="1276"/>
        </w:tabs>
        <w:ind w:firstLine="709"/>
        <w:jc w:val="both"/>
        <w:rPr>
          <w:szCs w:val="24"/>
        </w:rPr>
      </w:pPr>
      <w:r>
        <w:t xml:space="preserve">3.3. </w:t>
      </w:r>
      <w:r w:rsidR="00C32387" w:rsidRPr="00C32387">
        <w:t>Administracinės veiklos kontrolės, siekiant užkirsti kelią bylų išnagrinėjimo vilkinimui, efektyvumas;</w:t>
      </w:r>
    </w:p>
    <w:p w:rsidR="00706E90" w:rsidRDefault="00706E90" w:rsidP="00706E90">
      <w:pPr>
        <w:tabs>
          <w:tab w:val="left" w:pos="1276"/>
        </w:tabs>
        <w:ind w:firstLine="709"/>
        <w:jc w:val="both"/>
        <w:rPr>
          <w:szCs w:val="24"/>
        </w:rPr>
      </w:pPr>
      <w:r>
        <w:t xml:space="preserve">3.4. </w:t>
      </w:r>
      <w:r w:rsidR="008F0B9B" w:rsidRPr="008F0B9B">
        <w:t>Bylų paskirstymo tvarkos laikymasis (ar bylas išnagrinėja tie teisėjai, kuriems bylos  buvo paskirtos naudojantis LITEKO bylų skirstymo moduliu, bylų paskyrimo rankiniu būdu priežastys)</w:t>
      </w:r>
      <w:r w:rsidR="00EB50FF">
        <w:t>;</w:t>
      </w:r>
    </w:p>
    <w:p w:rsidR="00706E90" w:rsidRDefault="00706E90" w:rsidP="00706E90">
      <w:pPr>
        <w:tabs>
          <w:tab w:val="left" w:pos="1276"/>
        </w:tabs>
        <w:ind w:firstLine="709"/>
        <w:jc w:val="both"/>
        <w:rPr>
          <w:szCs w:val="24"/>
        </w:rPr>
      </w:pPr>
      <w:r>
        <w:t xml:space="preserve">3.5. </w:t>
      </w:r>
      <w:r w:rsidR="00C32387" w:rsidRPr="00A83573">
        <w:t>Ankstesniuose patikrinimo aktuose nustatytų teismo veiklos, organizuojant bylų nagrinėjimą, trūkumų šalinimas</w:t>
      </w:r>
      <w:r w:rsidR="00A046C2" w:rsidRPr="00A83573">
        <w:t>;</w:t>
      </w:r>
    </w:p>
    <w:p w:rsidR="00706E90" w:rsidRDefault="00706E90" w:rsidP="00706E90">
      <w:pPr>
        <w:tabs>
          <w:tab w:val="left" w:pos="1276"/>
        </w:tabs>
        <w:ind w:firstLine="709"/>
        <w:jc w:val="both"/>
        <w:rPr>
          <w:szCs w:val="24"/>
        </w:rPr>
      </w:pPr>
      <w:r>
        <w:rPr>
          <w:szCs w:val="24"/>
        </w:rPr>
        <w:t xml:space="preserve">3.6. </w:t>
      </w:r>
      <w:r w:rsidR="00A046C2" w:rsidRPr="00FB24D0">
        <w:rPr>
          <w:szCs w:val="24"/>
        </w:rPr>
        <w:t xml:space="preserve">Teismo posėdžio garso įrašo darymo, jo </w:t>
      </w:r>
      <w:r w:rsidR="00C22FFF" w:rsidRPr="00FB24D0">
        <w:rPr>
          <w:szCs w:val="24"/>
        </w:rPr>
        <w:t>įkėlimo į LITEKO</w:t>
      </w:r>
      <w:r w:rsidR="00A046C2" w:rsidRPr="00FB24D0">
        <w:rPr>
          <w:szCs w:val="24"/>
        </w:rPr>
        <w:t>, saugojimo tvarkos</w:t>
      </w:r>
      <w:r w:rsidR="00C22FFF" w:rsidRPr="00FB24D0">
        <w:rPr>
          <w:szCs w:val="24"/>
        </w:rPr>
        <w:t xml:space="preserve"> bei teismo/teisiamojo posėdžio protokolo įkėlimo į LITEKO,  informacinės pažymos įkėlimo į LITEKO terminų</w:t>
      </w:r>
      <w:r w:rsidR="00A046C2" w:rsidRPr="00FB24D0">
        <w:rPr>
          <w:szCs w:val="24"/>
        </w:rPr>
        <w:t xml:space="preserve"> patikrinimas</w:t>
      </w:r>
      <w:r w:rsidR="00815058" w:rsidRPr="00FB24D0">
        <w:rPr>
          <w:szCs w:val="24"/>
        </w:rPr>
        <w:t>;</w:t>
      </w:r>
    </w:p>
    <w:p w:rsidR="008A10F6" w:rsidRPr="00FB24D0" w:rsidRDefault="00706E90" w:rsidP="00706E90">
      <w:pPr>
        <w:tabs>
          <w:tab w:val="left" w:pos="1276"/>
        </w:tabs>
        <w:ind w:firstLine="709"/>
        <w:jc w:val="both"/>
        <w:rPr>
          <w:szCs w:val="24"/>
        </w:rPr>
      </w:pPr>
      <w:r>
        <w:rPr>
          <w:szCs w:val="24"/>
        </w:rPr>
        <w:t xml:space="preserve">3.7. </w:t>
      </w:r>
      <w:r w:rsidR="008A10F6" w:rsidRPr="00FB24D0">
        <w:rPr>
          <w:szCs w:val="24"/>
        </w:rPr>
        <w:t>Procesinių dokumentų įteikimo proceso dalyviams tvarkos laikymasis, nustatant dažniausia</w:t>
      </w:r>
      <w:r w:rsidR="00EB7595" w:rsidRPr="00FB24D0">
        <w:rPr>
          <w:szCs w:val="24"/>
        </w:rPr>
        <w:t>s</w:t>
      </w:r>
      <w:r w:rsidR="008A10F6" w:rsidRPr="00FB24D0">
        <w:rPr>
          <w:szCs w:val="24"/>
        </w:rPr>
        <w:t xml:space="preserve"> procesini</w:t>
      </w:r>
      <w:r w:rsidR="00EB7595" w:rsidRPr="00FB24D0">
        <w:rPr>
          <w:szCs w:val="24"/>
        </w:rPr>
        <w:t>ų</w:t>
      </w:r>
      <w:r w:rsidR="008A10F6" w:rsidRPr="00FB24D0">
        <w:rPr>
          <w:szCs w:val="24"/>
        </w:rPr>
        <w:t xml:space="preserve"> dokument</w:t>
      </w:r>
      <w:r w:rsidR="00EB7595" w:rsidRPr="00FB24D0">
        <w:rPr>
          <w:szCs w:val="24"/>
        </w:rPr>
        <w:t>ų neįteikimo, nesavalaikio, netinkamo įteikimo ir pan. priežastis</w:t>
      </w:r>
      <w:r w:rsidR="008F0B9B">
        <w:rPr>
          <w:szCs w:val="24"/>
        </w:rPr>
        <w:t>.</w:t>
      </w:r>
      <w:r w:rsidR="008A10F6" w:rsidRPr="00FB24D0">
        <w:rPr>
          <w:szCs w:val="24"/>
        </w:rPr>
        <w:t xml:space="preserve"> </w:t>
      </w:r>
    </w:p>
    <w:p w:rsidR="00C32387" w:rsidRPr="00C22FFF" w:rsidRDefault="00C32387" w:rsidP="00651C95">
      <w:pPr>
        <w:tabs>
          <w:tab w:val="left" w:pos="1276"/>
        </w:tabs>
        <w:ind w:firstLine="709"/>
        <w:jc w:val="both"/>
        <w:rPr>
          <w:b/>
        </w:rPr>
      </w:pPr>
    </w:p>
    <w:p w:rsidR="00C32387" w:rsidRPr="00C32387" w:rsidRDefault="00C32387" w:rsidP="00651C95">
      <w:pPr>
        <w:numPr>
          <w:ilvl w:val="2"/>
          <w:numId w:val="6"/>
        </w:numPr>
        <w:tabs>
          <w:tab w:val="left" w:pos="1276"/>
        </w:tabs>
        <w:ind w:left="0" w:firstLine="709"/>
        <w:contextualSpacing/>
        <w:jc w:val="both"/>
        <w:rPr>
          <w:b/>
        </w:rPr>
      </w:pPr>
      <w:r w:rsidRPr="00C32387">
        <w:rPr>
          <w:b/>
        </w:rPr>
        <w:t>Darbas su teismų informacine sistema LITEKO</w:t>
      </w:r>
    </w:p>
    <w:p w:rsidR="00C32387" w:rsidRPr="00C32387" w:rsidRDefault="00C32387" w:rsidP="00651C95">
      <w:pPr>
        <w:tabs>
          <w:tab w:val="left" w:pos="1276"/>
        </w:tabs>
        <w:ind w:firstLine="709"/>
        <w:jc w:val="both"/>
      </w:pPr>
    </w:p>
    <w:p w:rsidR="00C32387" w:rsidRPr="00FB24D0" w:rsidRDefault="00C32387" w:rsidP="00651C95">
      <w:pPr>
        <w:tabs>
          <w:tab w:val="left" w:pos="1276"/>
        </w:tabs>
        <w:ind w:firstLine="709"/>
        <w:jc w:val="both"/>
      </w:pPr>
      <w:r w:rsidRPr="00FB24D0">
        <w:t>Tikrinant, kaip laikomasi darbo su LITEKO sistema reikalavimų, reikalinga atkreipti dėmesį į tokius aspektus:</w:t>
      </w:r>
    </w:p>
    <w:p w:rsidR="00352C33" w:rsidRPr="00FB24D0" w:rsidRDefault="00352C33" w:rsidP="00352C33">
      <w:pPr>
        <w:tabs>
          <w:tab w:val="left" w:pos="1276"/>
        </w:tabs>
        <w:ind w:left="709"/>
        <w:contextualSpacing/>
        <w:jc w:val="both"/>
      </w:pPr>
      <w:r w:rsidRPr="00FB24D0">
        <w:t xml:space="preserve">4.1. </w:t>
      </w:r>
      <w:r w:rsidR="008F0B9B" w:rsidRPr="008F0B9B">
        <w:t>Nustatytos tvarkos ir terminų  laikymasis, suvedant duomenis į LITEKO sistemą</w:t>
      </w:r>
      <w:r w:rsidRPr="00FB24D0">
        <w:t>;</w:t>
      </w:r>
    </w:p>
    <w:p w:rsidR="00C32387" w:rsidRPr="00FB24D0" w:rsidRDefault="00352C33" w:rsidP="00C22FFF">
      <w:pPr>
        <w:tabs>
          <w:tab w:val="left" w:pos="1276"/>
        </w:tabs>
        <w:ind w:firstLine="709"/>
        <w:contextualSpacing/>
        <w:jc w:val="both"/>
      </w:pPr>
      <w:r w:rsidRPr="00FB24D0">
        <w:t xml:space="preserve">4.2. </w:t>
      </w:r>
      <w:r w:rsidR="00C32387" w:rsidRPr="00FB24D0">
        <w:t>Nustatytos tvarkos ir terminų laikymasis parengiant ir į LITEKO sistemą perkeliant viešai skelbtin</w:t>
      </w:r>
      <w:r w:rsidRPr="00FB24D0">
        <w:t>ų procesinių sprendimų versijas;</w:t>
      </w:r>
    </w:p>
    <w:p w:rsidR="00352C33" w:rsidRPr="00FB24D0" w:rsidRDefault="00352C33" w:rsidP="006B1753">
      <w:pPr>
        <w:tabs>
          <w:tab w:val="left" w:pos="1276"/>
        </w:tabs>
        <w:ind w:firstLine="709"/>
        <w:contextualSpacing/>
        <w:jc w:val="both"/>
      </w:pPr>
      <w:r w:rsidRPr="00FB24D0">
        <w:t xml:space="preserve">4.3. </w:t>
      </w:r>
      <w:r w:rsidR="008F0B9B">
        <w:t>Tinkamas b</w:t>
      </w:r>
      <w:r w:rsidRPr="00FB24D0">
        <w:t xml:space="preserve">ylų ir procesinių sprendimų </w:t>
      </w:r>
      <w:r w:rsidR="00EB7595" w:rsidRPr="00FB24D0">
        <w:t xml:space="preserve">kategorijų </w:t>
      </w:r>
      <w:r w:rsidRPr="00FB24D0">
        <w:t xml:space="preserve">klasifikatorių LITEKO sistemoje </w:t>
      </w:r>
      <w:r w:rsidR="008F0B9B">
        <w:t>pažymėjimas</w:t>
      </w:r>
      <w:r w:rsidRPr="00FB24D0">
        <w:t xml:space="preserve">; </w:t>
      </w:r>
    </w:p>
    <w:p w:rsidR="00352C33" w:rsidRPr="00FB24D0" w:rsidRDefault="00352C33" w:rsidP="00352C33">
      <w:pPr>
        <w:tabs>
          <w:tab w:val="left" w:pos="1276"/>
        </w:tabs>
        <w:ind w:firstLine="709"/>
        <w:contextualSpacing/>
        <w:jc w:val="both"/>
      </w:pPr>
      <w:r w:rsidRPr="00FB24D0">
        <w:t xml:space="preserve">4.4. Tinkamas </w:t>
      </w:r>
      <w:r w:rsidR="0095522D" w:rsidRPr="00FB24D0">
        <w:t xml:space="preserve">Teisminės mediacijos </w:t>
      </w:r>
      <w:r w:rsidR="00B5268C" w:rsidRPr="00FB24D0">
        <w:t>kort</w:t>
      </w:r>
      <w:r w:rsidRPr="00FB24D0">
        <w:t xml:space="preserve">elės </w:t>
      </w:r>
      <w:r w:rsidR="0095522D" w:rsidRPr="00FB24D0">
        <w:t>ir bylos kortelės proceso</w:t>
      </w:r>
      <w:r w:rsidR="00EB7595" w:rsidRPr="00FB24D0">
        <w:t>, susijusio su teismine mediacija,</w:t>
      </w:r>
      <w:r w:rsidR="0095522D" w:rsidRPr="00FB24D0">
        <w:t xml:space="preserve"> </w:t>
      </w:r>
      <w:r w:rsidRPr="00FB24D0">
        <w:t xml:space="preserve">pildymas; </w:t>
      </w:r>
    </w:p>
    <w:p w:rsidR="00B7111D" w:rsidRPr="00FB24D0" w:rsidRDefault="00352C33" w:rsidP="00352C33">
      <w:pPr>
        <w:tabs>
          <w:tab w:val="left" w:pos="1276"/>
        </w:tabs>
        <w:ind w:firstLine="709"/>
        <w:contextualSpacing/>
        <w:jc w:val="both"/>
      </w:pPr>
      <w:r w:rsidRPr="00FB24D0">
        <w:t xml:space="preserve">4.5. </w:t>
      </w:r>
      <w:r w:rsidR="008D7ACE" w:rsidRPr="00FB24D0">
        <w:t>Asmens duomenų tvarkymo klausimų patikrinimas, įskaitant ir n</w:t>
      </w:r>
      <w:r w:rsidR="00E93CBC" w:rsidRPr="00FB24D0">
        <w:t>audojimosi L</w:t>
      </w:r>
      <w:r w:rsidR="00B7111D" w:rsidRPr="00FB24D0">
        <w:t>ITEKO</w:t>
      </w:r>
      <w:r w:rsidR="00E93CBC" w:rsidRPr="00FB24D0">
        <w:t xml:space="preserve"> </w:t>
      </w:r>
      <w:r w:rsidR="005B0EAE" w:rsidRPr="00FB24D0">
        <w:t>paiešk</w:t>
      </w:r>
      <w:r w:rsidR="00EB7595" w:rsidRPr="00FB24D0">
        <w:t>a</w:t>
      </w:r>
      <w:r w:rsidR="005B0EAE" w:rsidRPr="00FB24D0">
        <w:t xml:space="preserve"> priežasčių šablonų įvedim</w:t>
      </w:r>
      <w:r w:rsidR="008D7ACE" w:rsidRPr="00FB24D0">
        <w:t>ą</w:t>
      </w:r>
      <w:r w:rsidR="00EB7595" w:rsidRPr="00FB24D0">
        <w:t xml:space="preserve">, nurodytų priežasčių  atitikimo pagal atliekamas funkcijas </w:t>
      </w:r>
      <w:r w:rsidR="00DB13D4" w:rsidRPr="00FB24D0">
        <w:t>vertinim</w:t>
      </w:r>
      <w:r w:rsidR="008F0B9B">
        <w:t>as.</w:t>
      </w:r>
      <w:r w:rsidR="00E93CBC" w:rsidRPr="00FB24D0">
        <w:t xml:space="preserve"> </w:t>
      </w:r>
    </w:p>
    <w:p w:rsidR="00C32387" w:rsidRPr="00C22FFF" w:rsidRDefault="00C32387" w:rsidP="00651C95">
      <w:pPr>
        <w:tabs>
          <w:tab w:val="left" w:pos="1276"/>
        </w:tabs>
        <w:ind w:firstLine="709"/>
        <w:contextualSpacing/>
        <w:jc w:val="both"/>
        <w:rPr>
          <w:b/>
        </w:rPr>
      </w:pPr>
    </w:p>
    <w:p w:rsidR="00C32387" w:rsidRPr="00C32387" w:rsidRDefault="00B76C80" w:rsidP="00651C95">
      <w:pPr>
        <w:numPr>
          <w:ilvl w:val="2"/>
          <w:numId w:val="6"/>
        </w:numPr>
        <w:tabs>
          <w:tab w:val="left" w:pos="1276"/>
        </w:tabs>
        <w:ind w:left="0" w:firstLine="709"/>
        <w:contextualSpacing/>
        <w:jc w:val="both"/>
        <w:rPr>
          <w:b/>
        </w:rPr>
      </w:pPr>
      <w:r>
        <w:rPr>
          <w:b/>
        </w:rPr>
        <w:t>Kitas teismo veiklos organizavimas</w:t>
      </w:r>
      <w:r w:rsidR="00C32387" w:rsidRPr="00C32387">
        <w:rPr>
          <w:b/>
        </w:rPr>
        <w:t xml:space="preserve">: </w:t>
      </w:r>
    </w:p>
    <w:p w:rsidR="00C32387" w:rsidRPr="00C32387" w:rsidRDefault="00C32387" w:rsidP="00651C95">
      <w:pPr>
        <w:tabs>
          <w:tab w:val="left" w:pos="1276"/>
        </w:tabs>
        <w:ind w:firstLine="709"/>
        <w:jc w:val="both"/>
      </w:pPr>
    </w:p>
    <w:p w:rsidR="00C32387" w:rsidRPr="00C32387" w:rsidRDefault="00C32387" w:rsidP="00651C95">
      <w:pPr>
        <w:tabs>
          <w:tab w:val="left" w:pos="1276"/>
        </w:tabs>
        <w:ind w:firstLine="709"/>
        <w:jc w:val="both"/>
      </w:pPr>
      <w:r w:rsidRPr="00C32387">
        <w:rPr>
          <w:szCs w:val="24"/>
        </w:rPr>
        <w:t>Tikrinant teismo vidinį ir išorinį administravimą, reikalinga atkreipti dėmesį į tokius aspektus:</w:t>
      </w:r>
    </w:p>
    <w:p w:rsidR="00A046C2" w:rsidRDefault="00F52A2E" w:rsidP="00A046C2">
      <w:pPr>
        <w:numPr>
          <w:ilvl w:val="1"/>
          <w:numId w:val="5"/>
        </w:numPr>
        <w:tabs>
          <w:tab w:val="left" w:pos="1276"/>
        </w:tabs>
        <w:spacing w:after="160" w:line="276" w:lineRule="auto"/>
        <w:ind w:left="0" w:firstLine="709"/>
        <w:contextualSpacing/>
        <w:jc w:val="both"/>
        <w:rPr>
          <w:szCs w:val="24"/>
        </w:rPr>
      </w:pPr>
      <w:r w:rsidRPr="00174E7E">
        <w:rPr>
          <w:szCs w:val="24"/>
        </w:rPr>
        <w:lastRenderedPageBreak/>
        <w:t>Proceso ir kitų įstatymų nustatytų bylų nagrinėjimo terminų pažeidimų atvejų patikrinimas, nepagrįstai ilgo bylų nagrinėjimo atvejų patikrinimai, užsitęsusio bylų nagrinėjimo priežasčių išsiaiškinimas, nepateisinamai ilgo bylos nagrinėjimo priežasčių šalinimas</w:t>
      </w:r>
      <w:r>
        <w:rPr>
          <w:szCs w:val="24"/>
        </w:rPr>
        <w:t>;</w:t>
      </w:r>
      <w:r w:rsidR="00142791">
        <w:rPr>
          <w:szCs w:val="24"/>
        </w:rPr>
        <w:t xml:space="preserve">          </w:t>
      </w:r>
    </w:p>
    <w:p w:rsidR="00C32387" w:rsidRPr="00C32387" w:rsidRDefault="00A107DD" w:rsidP="00A046C2">
      <w:pPr>
        <w:numPr>
          <w:ilvl w:val="1"/>
          <w:numId w:val="5"/>
        </w:numPr>
        <w:tabs>
          <w:tab w:val="left" w:pos="1276"/>
        </w:tabs>
        <w:spacing w:after="160" w:line="276" w:lineRule="auto"/>
        <w:ind w:left="0" w:firstLine="709"/>
        <w:contextualSpacing/>
        <w:jc w:val="both"/>
        <w:rPr>
          <w:szCs w:val="24"/>
        </w:rPr>
      </w:pPr>
      <w:r>
        <w:rPr>
          <w:szCs w:val="24"/>
        </w:rPr>
        <w:t>T</w:t>
      </w:r>
      <w:r w:rsidR="00C32387" w:rsidRPr="00C32387">
        <w:rPr>
          <w:szCs w:val="24"/>
        </w:rPr>
        <w:t>inkamas dokumentų perdavimo teismo archyvui, jų saugojimo, dokumentų vertės ekspertizės atlikimas, užbaigtų bylų apskaitos taisyklių laikymasis, tinkamo daiktinių įrodymų saugojimo užtikrinimas;</w:t>
      </w:r>
    </w:p>
    <w:p w:rsidR="00930457" w:rsidRDefault="00930457" w:rsidP="00651C95">
      <w:pPr>
        <w:numPr>
          <w:ilvl w:val="1"/>
          <w:numId w:val="5"/>
        </w:numPr>
        <w:tabs>
          <w:tab w:val="left" w:pos="1276"/>
        </w:tabs>
        <w:spacing w:after="160" w:line="276" w:lineRule="auto"/>
        <w:ind w:left="0" w:firstLine="709"/>
        <w:contextualSpacing/>
        <w:jc w:val="both"/>
        <w:rPr>
          <w:szCs w:val="24"/>
        </w:rPr>
      </w:pPr>
      <w:r>
        <w:rPr>
          <w:szCs w:val="24"/>
        </w:rPr>
        <w:t>T</w:t>
      </w:r>
      <w:r w:rsidRPr="00930457">
        <w:rPr>
          <w:szCs w:val="24"/>
        </w:rPr>
        <w:t>eisėjų, teismo personalo mokymo, jų kvalifikacijos kėlimo organizavimo, prioritetinių mokymosi krypčių nustatymo klausimų sprendimas</w:t>
      </w:r>
      <w:r>
        <w:rPr>
          <w:szCs w:val="24"/>
        </w:rPr>
        <w:t>;</w:t>
      </w:r>
    </w:p>
    <w:p w:rsidR="008F0B9B" w:rsidRDefault="00C32387" w:rsidP="008F0B9B">
      <w:pPr>
        <w:numPr>
          <w:ilvl w:val="1"/>
          <w:numId w:val="5"/>
        </w:numPr>
        <w:tabs>
          <w:tab w:val="left" w:pos="1276"/>
        </w:tabs>
        <w:spacing w:after="160" w:line="276" w:lineRule="auto"/>
        <w:ind w:left="0" w:firstLine="709"/>
        <w:contextualSpacing/>
        <w:jc w:val="both"/>
        <w:rPr>
          <w:szCs w:val="24"/>
        </w:rPr>
      </w:pPr>
      <w:r w:rsidRPr="00C32387">
        <w:rPr>
          <w:szCs w:val="24"/>
        </w:rPr>
        <w:t>Komunikacijos su žiniasklaida bei išoriniais pareiškėjais sparta ir išsamumas</w:t>
      </w:r>
      <w:r w:rsidR="001B1D5F">
        <w:rPr>
          <w:szCs w:val="24"/>
        </w:rPr>
        <w:t xml:space="preserve">; </w:t>
      </w:r>
      <w:r w:rsidR="001B1D5F" w:rsidRPr="001B1D5F">
        <w:rPr>
          <w:szCs w:val="24"/>
        </w:rPr>
        <w:t>teismų pranešimų spaudai</w:t>
      </w:r>
      <w:r w:rsidR="001B1D5F">
        <w:rPr>
          <w:szCs w:val="24"/>
        </w:rPr>
        <w:t xml:space="preserve"> kokybė</w:t>
      </w:r>
      <w:r w:rsidRPr="00C32387">
        <w:rPr>
          <w:szCs w:val="24"/>
        </w:rPr>
        <w:t>.</w:t>
      </w:r>
    </w:p>
    <w:p w:rsidR="0094094B" w:rsidRPr="008F0B9B" w:rsidRDefault="0094094B" w:rsidP="008F0B9B">
      <w:pPr>
        <w:numPr>
          <w:ilvl w:val="1"/>
          <w:numId w:val="5"/>
        </w:numPr>
        <w:tabs>
          <w:tab w:val="left" w:pos="1276"/>
        </w:tabs>
        <w:spacing w:after="160" w:line="276" w:lineRule="auto"/>
        <w:ind w:left="0" w:firstLine="709"/>
        <w:contextualSpacing/>
        <w:jc w:val="both"/>
        <w:rPr>
          <w:szCs w:val="24"/>
        </w:rPr>
      </w:pPr>
      <w:r w:rsidRPr="008F0B9B">
        <w:rPr>
          <w:szCs w:val="24"/>
        </w:rPr>
        <w:t xml:space="preserve">Gerosios praktikos organizuojant teisėjo darbą, bylų </w:t>
      </w:r>
      <w:r w:rsidR="008F0B9B" w:rsidRPr="008F0B9B">
        <w:rPr>
          <w:szCs w:val="24"/>
        </w:rPr>
        <w:t>nagrinėjimą ir laikantis Teisėjų tarybos 2016 m. gegužės 27 d. nutarimu Nr.13P-65-(7.1.2) patvirtintų rekomenduojamų teismų procesinių sprendimų kokybės standartų, rengiant procesinių sprendimų projektus, sklaida</w:t>
      </w:r>
      <w:r w:rsidRPr="008F0B9B">
        <w:rPr>
          <w:szCs w:val="24"/>
        </w:rPr>
        <w:t xml:space="preserve">. </w:t>
      </w:r>
    </w:p>
    <w:p w:rsidR="008835E7" w:rsidRDefault="008835E7" w:rsidP="008835E7">
      <w:pPr>
        <w:tabs>
          <w:tab w:val="left" w:pos="1276"/>
        </w:tabs>
        <w:spacing w:after="160" w:line="276" w:lineRule="auto"/>
        <w:contextualSpacing/>
        <w:jc w:val="both"/>
        <w:rPr>
          <w:szCs w:val="24"/>
        </w:rPr>
      </w:pPr>
    </w:p>
    <w:p w:rsidR="0049552A" w:rsidRDefault="00651C95">
      <w:pPr>
        <w:tabs>
          <w:tab w:val="left" w:pos="1276"/>
        </w:tabs>
        <w:spacing w:after="160" w:line="276" w:lineRule="auto"/>
        <w:contextualSpacing/>
        <w:jc w:val="center"/>
        <w:rPr>
          <w:szCs w:val="24"/>
        </w:rPr>
      </w:pPr>
      <w:r>
        <w:rPr>
          <w:szCs w:val="24"/>
        </w:rPr>
        <w:t>_______________</w:t>
      </w:r>
    </w:p>
    <w:p w:rsidR="003D4E5C" w:rsidRDefault="003D4E5C" w:rsidP="00651C95">
      <w:pPr>
        <w:tabs>
          <w:tab w:val="left" w:pos="1276"/>
        </w:tabs>
        <w:ind w:firstLine="709"/>
        <w:jc w:val="both"/>
      </w:pPr>
    </w:p>
    <w:sectPr w:rsidR="003D4E5C" w:rsidSect="00C22FF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9D8" w:rsidRDefault="00CE29D8" w:rsidP="003D4E5C">
      <w:r>
        <w:separator/>
      </w:r>
    </w:p>
  </w:endnote>
  <w:endnote w:type="continuationSeparator" w:id="0">
    <w:p w:rsidR="00CE29D8" w:rsidRDefault="00CE29D8" w:rsidP="003D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9D8" w:rsidRDefault="00CE29D8" w:rsidP="003D4E5C">
      <w:r>
        <w:separator/>
      </w:r>
    </w:p>
  </w:footnote>
  <w:footnote w:type="continuationSeparator" w:id="0">
    <w:p w:rsidR="00CE29D8" w:rsidRDefault="00CE29D8" w:rsidP="003D4E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BA0"/>
    <w:multiLevelType w:val="multilevel"/>
    <w:tmpl w:val="E5E07FE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E009F"/>
    <w:multiLevelType w:val="multilevel"/>
    <w:tmpl w:val="56C66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C14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2613F"/>
    <w:multiLevelType w:val="hybridMultilevel"/>
    <w:tmpl w:val="CD0A7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1C7EBE"/>
    <w:multiLevelType w:val="multilevel"/>
    <w:tmpl w:val="9766B69E"/>
    <w:lvl w:ilvl="0">
      <w:start w:val="1"/>
      <w:numFmt w:val="decimal"/>
      <w:lvlText w:val="%1."/>
      <w:lvlJc w:val="left"/>
      <w:pPr>
        <w:ind w:left="360" w:hanging="360"/>
      </w:pPr>
      <w:rPr>
        <w:rFonts w:hint="default"/>
      </w:rPr>
    </w:lvl>
    <w:lvl w:ilvl="1">
      <w:start w:val="1"/>
      <w:numFmt w:val="decimal"/>
      <w:lvlText w:val="%1.%2."/>
      <w:lvlJc w:val="left"/>
      <w:pPr>
        <w:ind w:left="7095"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BC6107"/>
    <w:multiLevelType w:val="multilevel"/>
    <w:tmpl w:val="90E4DDF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7D3A53"/>
    <w:multiLevelType w:val="multilevel"/>
    <w:tmpl w:val="9064CE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7E"/>
    <w:rsid w:val="00013060"/>
    <w:rsid w:val="000301F1"/>
    <w:rsid w:val="0003666E"/>
    <w:rsid w:val="00044836"/>
    <w:rsid w:val="000466B0"/>
    <w:rsid w:val="0005658C"/>
    <w:rsid w:val="00061EF9"/>
    <w:rsid w:val="00094F0C"/>
    <w:rsid w:val="000972C1"/>
    <w:rsid w:val="000B1155"/>
    <w:rsid w:val="000C3A0B"/>
    <w:rsid w:val="000E3BEE"/>
    <w:rsid w:val="000E5B66"/>
    <w:rsid w:val="00142791"/>
    <w:rsid w:val="00153475"/>
    <w:rsid w:val="001A27D4"/>
    <w:rsid w:val="001B1D5F"/>
    <w:rsid w:val="0020224D"/>
    <w:rsid w:val="00220328"/>
    <w:rsid w:val="00254B75"/>
    <w:rsid w:val="0025658B"/>
    <w:rsid w:val="00265D17"/>
    <w:rsid w:val="00286C06"/>
    <w:rsid w:val="002A0184"/>
    <w:rsid w:val="002B6E49"/>
    <w:rsid w:val="00300B2B"/>
    <w:rsid w:val="003329E1"/>
    <w:rsid w:val="0034074B"/>
    <w:rsid w:val="00352C33"/>
    <w:rsid w:val="003A0DAB"/>
    <w:rsid w:val="003A3012"/>
    <w:rsid w:val="003B137E"/>
    <w:rsid w:val="003D04FD"/>
    <w:rsid w:val="003D298D"/>
    <w:rsid w:val="003D4E5C"/>
    <w:rsid w:val="00404AB1"/>
    <w:rsid w:val="00414C11"/>
    <w:rsid w:val="00417A3C"/>
    <w:rsid w:val="00422920"/>
    <w:rsid w:val="00464BD6"/>
    <w:rsid w:val="00491197"/>
    <w:rsid w:val="0049552A"/>
    <w:rsid w:val="004D5CA2"/>
    <w:rsid w:val="004F382F"/>
    <w:rsid w:val="00500849"/>
    <w:rsid w:val="00504FAE"/>
    <w:rsid w:val="005129A5"/>
    <w:rsid w:val="005200B2"/>
    <w:rsid w:val="00536E7F"/>
    <w:rsid w:val="00541C7E"/>
    <w:rsid w:val="0054729E"/>
    <w:rsid w:val="00597B60"/>
    <w:rsid w:val="005B0EAE"/>
    <w:rsid w:val="005D0542"/>
    <w:rsid w:val="005D44FD"/>
    <w:rsid w:val="005D4DE5"/>
    <w:rsid w:val="005E71CB"/>
    <w:rsid w:val="005F0C84"/>
    <w:rsid w:val="005F5E36"/>
    <w:rsid w:val="00651C95"/>
    <w:rsid w:val="00662E1C"/>
    <w:rsid w:val="0067403E"/>
    <w:rsid w:val="00680EDE"/>
    <w:rsid w:val="00692E30"/>
    <w:rsid w:val="006B1753"/>
    <w:rsid w:val="006B728A"/>
    <w:rsid w:val="006F5B0E"/>
    <w:rsid w:val="0070636E"/>
    <w:rsid w:val="00706E90"/>
    <w:rsid w:val="00707D69"/>
    <w:rsid w:val="00712EA9"/>
    <w:rsid w:val="00716117"/>
    <w:rsid w:val="00720FF4"/>
    <w:rsid w:val="007262BA"/>
    <w:rsid w:val="007340B3"/>
    <w:rsid w:val="007401E6"/>
    <w:rsid w:val="00756D33"/>
    <w:rsid w:val="00780417"/>
    <w:rsid w:val="007B4199"/>
    <w:rsid w:val="007B705E"/>
    <w:rsid w:val="007C290C"/>
    <w:rsid w:val="007E7CDE"/>
    <w:rsid w:val="007F012A"/>
    <w:rsid w:val="00815058"/>
    <w:rsid w:val="008331C6"/>
    <w:rsid w:val="00857141"/>
    <w:rsid w:val="00865EEB"/>
    <w:rsid w:val="008835E7"/>
    <w:rsid w:val="0089739F"/>
    <w:rsid w:val="008A10F6"/>
    <w:rsid w:val="008A2FB3"/>
    <w:rsid w:val="008C7DF3"/>
    <w:rsid w:val="008D3430"/>
    <w:rsid w:val="008D7ACE"/>
    <w:rsid w:val="008F0B9B"/>
    <w:rsid w:val="008F30E6"/>
    <w:rsid w:val="009007FA"/>
    <w:rsid w:val="00930457"/>
    <w:rsid w:val="00933426"/>
    <w:rsid w:val="00936953"/>
    <w:rsid w:val="0094094B"/>
    <w:rsid w:val="0095470D"/>
    <w:rsid w:val="0095522D"/>
    <w:rsid w:val="00972686"/>
    <w:rsid w:val="009853C0"/>
    <w:rsid w:val="00987389"/>
    <w:rsid w:val="00995056"/>
    <w:rsid w:val="009B08C6"/>
    <w:rsid w:val="009B3C95"/>
    <w:rsid w:val="009B7DD4"/>
    <w:rsid w:val="009C7A91"/>
    <w:rsid w:val="009E20F8"/>
    <w:rsid w:val="009F7A1D"/>
    <w:rsid w:val="00A046C2"/>
    <w:rsid w:val="00A04B68"/>
    <w:rsid w:val="00A05931"/>
    <w:rsid w:val="00A107DD"/>
    <w:rsid w:val="00A158B5"/>
    <w:rsid w:val="00A16DAC"/>
    <w:rsid w:val="00A26CFE"/>
    <w:rsid w:val="00A439BC"/>
    <w:rsid w:val="00A633B0"/>
    <w:rsid w:val="00A83573"/>
    <w:rsid w:val="00A936DA"/>
    <w:rsid w:val="00AA754D"/>
    <w:rsid w:val="00AD1FDF"/>
    <w:rsid w:val="00AD3747"/>
    <w:rsid w:val="00AE2944"/>
    <w:rsid w:val="00B5268C"/>
    <w:rsid w:val="00B7111D"/>
    <w:rsid w:val="00B76C80"/>
    <w:rsid w:val="00B76DF4"/>
    <w:rsid w:val="00BA364D"/>
    <w:rsid w:val="00BA436A"/>
    <w:rsid w:val="00BC54BF"/>
    <w:rsid w:val="00BF163F"/>
    <w:rsid w:val="00C153E3"/>
    <w:rsid w:val="00C17D5C"/>
    <w:rsid w:val="00C22FFF"/>
    <w:rsid w:val="00C32387"/>
    <w:rsid w:val="00C43ECB"/>
    <w:rsid w:val="00C4485D"/>
    <w:rsid w:val="00C72CF7"/>
    <w:rsid w:val="00CB4746"/>
    <w:rsid w:val="00CE29D8"/>
    <w:rsid w:val="00CF5323"/>
    <w:rsid w:val="00CF58DE"/>
    <w:rsid w:val="00D35FA5"/>
    <w:rsid w:val="00DA607C"/>
    <w:rsid w:val="00DB09CF"/>
    <w:rsid w:val="00DB13D4"/>
    <w:rsid w:val="00DE3850"/>
    <w:rsid w:val="00DE3BCE"/>
    <w:rsid w:val="00DF3388"/>
    <w:rsid w:val="00DF3CA1"/>
    <w:rsid w:val="00DF59D4"/>
    <w:rsid w:val="00E266C3"/>
    <w:rsid w:val="00E276B2"/>
    <w:rsid w:val="00E36C16"/>
    <w:rsid w:val="00E46470"/>
    <w:rsid w:val="00E470FE"/>
    <w:rsid w:val="00E87419"/>
    <w:rsid w:val="00E93CBC"/>
    <w:rsid w:val="00E95D79"/>
    <w:rsid w:val="00EA5E52"/>
    <w:rsid w:val="00EB50FF"/>
    <w:rsid w:val="00EB7018"/>
    <w:rsid w:val="00EB7595"/>
    <w:rsid w:val="00EC7A29"/>
    <w:rsid w:val="00EE1FFF"/>
    <w:rsid w:val="00F1585D"/>
    <w:rsid w:val="00F304D8"/>
    <w:rsid w:val="00F37D0B"/>
    <w:rsid w:val="00F52A2E"/>
    <w:rsid w:val="00F82870"/>
    <w:rsid w:val="00F9142C"/>
    <w:rsid w:val="00F914F5"/>
    <w:rsid w:val="00FB24D0"/>
    <w:rsid w:val="00FB7C7F"/>
    <w:rsid w:val="00FE3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F7FA"/>
  <w15:docId w15:val="{607813FD-FAFF-4737-AA6B-3D24F15A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7E"/>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37E"/>
    <w:rPr>
      <w:rFonts w:ascii="Segoe UI" w:hAnsi="Segoe UI"/>
      <w:sz w:val="18"/>
      <w:szCs w:val="18"/>
      <w:lang w:val="x-none" w:eastAsia="x-none"/>
    </w:rPr>
  </w:style>
  <w:style w:type="character" w:customStyle="1" w:styleId="BalloonTextChar">
    <w:name w:val="Balloon Text Char"/>
    <w:link w:val="BalloonText"/>
    <w:uiPriority w:val="99"/>
    <w:semiHidden/>
    <w:rsid w:val="003B137E"/>
    <w:rPr>
      <w:rFonts w:ascii="Segoe UI" w:eastAsia="Times New Roman" w:hAnsi="Segoe UI" w:cs="Segoe UI"/>
      <w:sz w:val="18"/>
      <w:szCs w:val="18"/>
    </w:rPr>
  </w:style>
  <w:style w:type="paragraph" w:styleId="Title">
    <w:name w:val="Title"/>
    <w:basedOn w:val="Normal"/>
    <w:link w:val="TitleChar"/>
    <w:qFormat/>
    <w:rsid w:val="003D4E5C"/>
    <w:pPr>
      <w:spacing w:before="40" w:after="40"/>
      <w:ind w:right="1959"/>
    </w:pPr>
    <w:rPr>
      <w:caps/>
      <w:szCs w:val="24"/>
      <w:lang w:val="x-none" w:eastAsia="lt-LT"/>
    </w:rPr>
  </w:style>
  <w:style w:type="character" w:customStyle="1" w:styleId="TitleChar">
    <w:name w:val="Title Char"/>
    <w:link w:val="Title"/>
    <w:rsid w:val="003D4E5C"/>
    <w:rPr>
      <w:rFonts w:ascii="Times New Roman" w:eastAsia="Times New Roman" w:hAnsi="Times New Roman" w:cs="Times New Roman"/>
      <w:caps/>
      <w:sz w:val="24"/>
      <w:szCs w:val="24"/>
      <w:lang w:eastAsia="lt-LT"/>
    </w:rPr>
  </w:style>
  <w:style w:type="paragraph" w:styleId="CommentText">
    <w:name w:val="annotation text"/>
    <w:basedOn w:val="Normal"/>
    <w:link w:val="CommentTextChar"/>
    <w:uiPriority w:val="99"/>
    <w:semiHidden/>
    <w:unhideWhenUsed/>
    <w:rsid w:val="003D4E5C"/>
    <w:pPr>
      <w:spacing w:after="200"/>
    </w:pPr>
    <w:rPr>
      <w:rFonts w:ascii="Calibri" w:hAnsi="Calibri"/>
      <w:sz w:val="20"/>
      <w:lang w:val="x-none" w:eastAsia="lt-LT"/>
    </w:rPr>
  </w:style>
  <w:style w:type="character" w:customStyle="1" w:styleId="CommentTextChar">
    <w:name w:val="Comment Text Char"/>
    <w:link w:val="CommentText"/>
    <w:uiPriority w:val="99"/>
    <w:semiHidden/>
    <w:rsid w:val="003D4E5C"/>
    <w:rPr>
      <w:rFonts w:ascii="Calibri" w:eastAsia="Times New Roman" w:hAnsi="Calibri" w:cs="Times New Roman"/>
      <w:sz w:val="20"/>
      <w:szCs w:val="20"/>
      <w:lang w:eastAsia="lt-LT"/>
    </w:rPr>
  </w:style>
  <w:style w:type="paragraph" w:styleId="ListParagraph">
    <w:name w:val="List Paragraph"/>
    <w:basedOn w:val="Normal"/>
    <w:uiPriority w:val="34"/>
    <w:qFormat/>
    <w:rsid w:val="003D4E5C"/>
    <w:pPr>
      <w:ind w:left="720"/>
    </w:pPr>
    <w:rPr>
      <w:rFonts w:ascii="Calibri" w:eastAsia="Calibri" w:hAnsi="Calibri"/>
      <w:sz w:val="22"/>
      <w:szCs w:val="22"/>
    </w:rPr>
  </w:style>
  <w:style w:type="character" w:styleId="CommentReference">
    <w:name w:val="annotation reference"/>
    <w:uiPriority w:val="99"/>
    <w:semiHidden/>
    <w:unhideWhenUsed/>
    <w:rsid w:val="003D4E5C"/>
    <w:rPr>
      <w:sz w:val="16"/>
      <w:szCs w:val="16"/>
    </w:rPr>
  </w:style>
  <w:style w:type="paragraph" w:styleId="FootnoteText">
    <w:name w:val="footnote text"/>
    <w:basedOn w:val="Normal"/>
    <w:link w:val="FootnoteTextChar"/>
    <w:uiPriority w:val="99"/>
    <w:unhideWhenUsed/>
    <w:rsid w:val="003D4E5C"/>
    <w:rPr>
      <w:rFonts w:ascii="Calibri" w:eastAsia="Calibri" w:hAnsi="Calibri"/>
      <w:sz w:val="20"/>
      <w:lang w:val="x-none" w:eastAsia="x-none"/>
    </w:rPr>
  </w:style>
  <w:style w:type="character" w:customStyle="1" w:styleId="FootnoteTextChar">
    <w:name w:val="Footnote Text Char"/>
    <w:link w:val="FootnoteText"/>
    <w:uiPriority w:val="99"/>
    <w:rsid w:val="003D4E5C"/>
    <w:rPr>
      <w:rFonts w:ascii="Calibri" w:eastAsia="Calibri" w:hAnsi="Calibri" w:cs="Times New Roman"/>
      <w:sz w:val="20"/>
      <w:szCs w:val="20"/>
    </w:rPr>
  </w:style>
  <w:style w:type="character" w:styleId="FootnoteReference">
    <w:name w:val="footnote reference"/>
    <w:uiPriority w:val="99"/>
    <w:semiHidden/>
    <w:unhideWhenUsed/>
    <w:rsid w:val="003D4E5C"/>
    <w:rPr>
      <w:vertAlign w:val="superscript"/>
    </w:rPr>
  </w:style>
  <w:style w:type="character" w:customStyle="1" w:styleId="apple-converted-space">
    <w:name w:val="apple-converted-space"/>
    <w:basedOn w:val="DefaultParagraphFont"/>
    <w:rsid w:val="003D4E5C"/>
  </w:style>
  <w:style w:type="paragraph" w:styleId="CommentSubject">
    <w:name w:val="annotation subject"/>
    <w:basedOn w:val="CommentText"/>
    <w:next w:val="CommentText"/>
    <w:link w:val="CommentSubjectChar"/>
    <w:uiPriority w:val="99"/>
    <w:semiHidden/>
    <w:unhideWhenUsed/>
    <w:rsid w:val="00C153E3"/>
    <w:pPr>
      <w:spacing w:after="0"/>
    </w:pPr>
    <w:rPr>
      <w:rFonts w:ascii="Times New Roman" w:hAnsi="Times New Roman"/>
      <w:b/>
      <w:bCs/>
      <w:lang w:eastAsia="en-US"/>
    </w:rPr>
  </w:style>
  <w:style w:type="character" w:customStyle="1" w:styleId="CommentSubjectChar">
    <w:name w:val="Comment Subject Char"/>
    <w:link w:val="CommentSubject"/>
    <w:uiPriority w:val="99"/>
    <w:semiHidden/>
    <w:rsid w:val="00C153E3"/>
    <w:rPr>
      <w:rFonts w:ascii="Times New Roman" w:eastAsia="Times New Roman" w:hAnsi="Times New Roman" w:cs="Times New Roman"/>
      <w:b/>
      <w:bCs/>
      <w:sz w:val="20"/>
      <w:szCs w:val="20"/>
      <w:lang w:eastAsia="en-US"/>
    </w:rPr>
  </w:style>
  <w:style w:type="paragraph" w:styleId="Revision">
    <w:name w:val="Revision"/>
    <w:hidden/>
    <w:uiPriority w:val="99"/>
    <w:semiHidden/>
    <w:rsid w:val="00E470FE"/>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3588-06AC-43B4-9A92-AA66F3A5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4457</Words>
  <Characters>2541</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 Raugalaite</dc:creator>
  <cp:lastModifiedBy>Alina Dokutovičienė</cp:lastModifiedBy>
  <cp:revision>3</cp:revision>
  <cp:lastPrinted>2016-11-18T10:15:00Z</cp:lastPrinted>
  <dcterms:created xsi:type="dcterms:W3CDTF">2018-12-03T11:17:00Z</dcterms:created>
  <dcterms:modified xsi:type="dcterms:W3CDTF">2018-12-03T11:18:00Z</dcterms:modified>
</cp:coreProperties>
</file>