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BB36D" w14:textId="13E877EA" w:rsidR="00D00F6D" w:rsidRPr="00D00F6D" w:rsidRDefault="00D20BBC" w:rsidP="00D20BBC">
      <w:pPr>
        <w:pStyle w:val="Date"/>
      </w:pPr>
      <w:r w:rsidRPr="00312912">
        <w:rPr>
          <w:noProof/>
          <w:sz w:val="16"/>
          <w:lang w:eastAsia="lt-LT"/>
        </w:rPr>
        <w:drawing>
          <wp:inline distT="0" distB="0" distL="0" distR="0" wp14:anchorId="584D0075" wp14:editId="1D17680A">
            <wp:extent cx="727075" cy="76009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7075" cy="760095"/>
                    </a:xfrm>
                    <a:prstGeom prst="rect">
                      <a:avLst/>
                    </a:prstGeom>
                    <a:noFill/>
                    <a:ln w="9525">
                      <a:noFill/>
                      <a:miter lim="800000"/>
                      <a:headEnd/>
                      <a:tailEnd/>
                    </a:ln>
                  </pic:spPr>
                </pic:pic>
              </a:graphicData>
            </a:graphic>
          </wp:inline>
        </w:drawing>
      </w:r>
    </w:p>
    <w:p w14:paraId="6BAF40D9" w14:textId="77777777" w:rsidR="00312912" w:rsidRPr="00C240DD" w:rsidRDefault="00312912">
      <w:pPr>
        <w:pStyle w:val="Date"/>
        <w:rPr>
          <w:sz w:val="16"/>
        </w:rPr>
      </w:pPr>
    </w:p>
    <w:p w14:paraId="3D57C662" w14:textId="77777777" w:rsidR="0015345C" w:rsidRPr="00C240DD" w:rsidRDefault="00756290">
      <w:pPr>
        <w:pStyle w:val="Title"/>
        <w:rPr>
          <w:sz w:val="24"/>
        </w:rPr>
      </w:pPr>
      <w:r w:rsidRPr="00C240DD">
        <w:rPr>
          <w:sz w:val="24"/>
        </w:rPr>
        <w:t>TEISĖJŲ TARYBA</w:t>
      </w:r>
    </w:p>
    <w:p w14:paraId="6B6279B0" w14:textId="77777777" w:rsidR="0015345C" w:rsidRPr="00C240DD" w:rsidRDefault="0015345C">
      <w:pPr>
        <w:pStyle w:val="Title"/>
        <w:spacing w:line="360" w:lineRule="auto"/>
        <w:rPr>
          <w:sz w:val="24"/>
        </w:rPr>
      </w:pPr>
    </w:p>
    <w:p w14:paraId="3BE337D8" w14:textId="77777777" w:rsidR="0015345C" w:rsidRPr="00C240DD" w:rsidRDefault="00756290">
      <w:pPr>
        <w:pStyle w:val="Title"/>
        <w:rPr>
          <w:sz w:val="24"/>
        </w:rPr>
      </w:pPr>
      <w:r w:rsidRPr="00C240DD">
        <w:rPr>
          <w:sz w:val="24"/>
        </w:rPr>
        <w:t>NUTARIMAS</w:t>
      </w:r>
    </w:p>
    <w:p w14:paraId="16E22A52" w14:textId="77777777" w:rsidR="001117EB" w:rsidRPr="00C240DD" w:rsidRDefault="00756290" w:rsidP="001117EB">
      <w:pPr>
        <w:pStyle w:val="Date"/>
        <w:rPr>
          <w:b/>
        </w:rPr>
      </w:pPr>
      <w:r w:rsidRPr="00C240DD">
        <w:rPr>
          <w:b/>
        </w:rPr>
        <w:t xml:space="preserve">DĖL </w:t>
      </w:r>
      <w:r w:rsidR="001117EB" w:rsidRPr="00C240DD">
        <w:rPr>
          <w:b/>
        </w:rPr>
        <w:t>TEISĖJŲ TARYBOS 2008 M. LAPKRIČIO 13 d. NUTARIMO NR. 13P-202-(7.1.2)</w:t>
      </w:r>
    </w:p>
    <w:p w14:paraId="7D7E3EE3" w14:textId="4CB1C367" w:rsidR="0015345C" w:rsidRPr="00C240DD" w:rsidRDefault="001117EB">
      <w:pPr>
        <w:pStyle w:val="Title"/>
        <w:rPr>
          <w:sz w:val="24"/>
        </w:rPr>
      </w:pPr>
      <w:r w:rsidRPr="00C240DD">
        <w:rPr>
          <w:sz w:val="24"/>
        </w:rPr>
        <w:t xml:space="preserve">„DĖL </w:t>
      </w:r>
      <w:r w:rsidR="00756290" w:rsidRPr="00C240DD">
        <w:rPr>
          <w:sz w:val="24"/>
        </w:rPr>
        <w:t>TEISĖJŲ SPECIALIZACIJOS TAM TIKRŲ KATEGORIJŲ BYLOMS NAGRINĖTI NUSTATYMO TVARKOS APRAŠO PATVIRTINIMO</w:t>
      </w:r>
      <w:r w:rsidRPr="00C240DD">
        <w:rPr>
          <w:sz w:val="24"/>
        </w:rPr>
        <w:t>“ PAKEITIMO</w:t>
      </w:r>
      <w:r w:rsidR="002F63C6">
        <w:rPr>
          <w:sz w:val="24"/>
        </w:rPr>
        <w:t xml:space="preserve"> </w:t>
      </w:r>
    </w:p>
    <w:p w14:paraId="6F3F8605" w14:textId="77777777" w:rsidR="0015345C" w:rsidRPr="00C240DD" w:rsidRDefault="0015345C">
      <w:pPr>
        <w:pStyle w:val="Title"/>
        <w:rPr>
          <w:sz w:val="24"/>
        </w:rPr>
      </w:pPr>
    </w:p>
    <w:p w14:paraId="73055BE2" w14:textId="7AA03553" w:rsidR="0015345C" w:rsidRPr="00C240DD" w:rsidRDefault="008D1B94">
      <w:pPr>
        <w:pStyle w:val="Date"/>
      </w:pPr>
      <w:r>
        <w:t xml:space="preserve">2019 m. gegužės 31 d. </w:t>
      </w:r>
      <w:r w:rsidR="00756290" w:rsidRPr="00C240DD">
        <w:t>Nr. 13P-</w:t>
      </w:r>
      <w:r>
        <w:t>88</w:t>
      </w:r>
      <w:bookmarkStart w:id="0" w:name="_GoBack"/>
      <w:bookmarkEnd w:id="0"/>
      <w:r>
        <w:t>-</w:t>
      </w:r>
      <w:r w:rsidR="00D20BBC">
        <w:t>(7.1.2)</w:t>
      </w:r>
    </w:p>
    <w:p w14:paraId="2FA2E6DD" w14:textId="77777777" w:rsidR="0015345C" w:rsidRPr="00C240DD" w:rsidRDefault="003A2C77">
      <w:pPr>
        <w:pStyle w:val="Date"/>
      </w:pPr>
      <w:r>
        <w:t>Vilnius</w:t>
      </w:r>
    </w:p>
    <w:p w14:paraId="177F6635" w14:textId="77777777" w:rsidR="0015345C" w:rsidRPr="00C240DD" w:rsidRDefault="0015345C">
      <w:pPr>
        <w:pStyle w:val="Header"/>
        <w:tabs>
          <w:tab w:val="left" w:pos="1296"/>
        </w:tabs>
        <w:spacing w:line="360" w:lineRule="auto"/>
      </w:pPr>
    </w:p>
    <w:p w14:paraId="7C90B2B7" w14:textId="7BB3E8DB" w:rsidR="00F837C7" w:rsidRPr="00C240DD" w:rsidRDefault="00756290">
      <w:pPr>
        <w:spacing w:line="360" w:lineRule="auto"/>
        <w:ind w:firstLine="720"/>
        <w:jc w:val="both"/>
      </w:pPr>
      <w:r w:rsidRPr="00C240DD">
        <w:t>Vadovaudamasi Lietu</w:t>
      </w:r>
      <w:r w:rsidR="00BE2B7C" w:rsidRPr="00C240DD">
        <w:t xml:space="preserve">vos Respublikos teismų įstatymo </w:t>
      </w:r>
      <w:r w:rsidRPr="00C240DD">
        <w:t>120 straipsnio 16 punktu, Teisėjų taryba n u t a r i a:</w:t>
      </w:r>
    </w:p>
    <w:p w14:paraId="1FAE4694" w14:textId="6236BEA7" w:rsidR="00FB7AEA" w:rsidRPr="007D64E8" w:rsidRDefault="00FB7AEA" w:rsidP="007D64E8">
      <w:pPr>
        <w:spacing w:line="360" w:lineRule="auto"/>
        <w:ind w:firstLine="720"/>
        <w:jc w:val="both"/>
      </w:pPr>
      <w:r w:rsidRPr="007D64E8">
        <w:t xml:space="preserve"> </w:t>
      </w:r>
      <w:r w:rsidR="001117EB" w:rsidRPr="0023259E">
        <w:t xml:space="preserve">Pakeisti </w:t>
      </w:r>
      <w:r w:rsidR="00E67DB8" w:rsidRPr="0023259E">
        <w:t>Teisėjų specializacijos tam tikrų kategorijų byloms nagrinėti nustatymo tvarkos aprašą</w:t>
      </w:r>
      <w:r w:rsidR="00E67DB8">
        <w:t>, patvirtintą</w:t>
      </w:r>
      <w:r w:rsidR="00E67DB8" w:rsidRPr="0023259E">
        <w:t xml:space="preserve"> </w:t>
      </w:r>
      <w:r w:rsidR="001117EB" w:rsidRPr="0023259E">
        <w:t xml:space="preserve">Teisėjų tarybos 2008 m. lapkričio 13 d. nutarimu Nr. 13P-202-(7.1.2) </w:t>
      </w:r>
      <w:r w:rsidR="00E67DB8">
        <w:t xml:space="preserve">„Dėl </w:t>
      </w:r>
      <w:r w:rsidR="00E67DB8" w:rsidRPr="0023259E">
        <w:t>Teisėjų specializacijos tam tikrų kategorijų byloms nagrinėti nustatymo tvarkos apraš</w:t>
      </w:r>
      <w:r w:rsidR="00E67DB8">
        <w:t>o patvirtinimo“</w:t>
      </w:r>
      <w:r w:rsidR="0037403E">
        <w:t>, su visais pakeitimais ir papildymais</w:t>
      </w:r>
      <w:r w:rsidR="00E67DB8">
        <w:t>:</w:t>
      </w:r>
      <w:r w:rsidR="003A2C77" w:rsidRPr="0023259E">
        <w:t xml:space="preserve"> </w:t>
      </w:r>
    </w:p>
    <w:p w14:paraId="6949CE0D" w14:textId="615DEFA5" w:rsidR="009653BD" w:rsidRDefault="009653BD" w:rsidP="00AD0BCA">
      <w:pPr>
        <w:spacing w:line="360" w:lineRule="auto"/>
        <w:ind w:firstLine="720"/>
        <w:jc w:val="both"/>
      </w:pPr>
      <w:r>
        <w:t>1.</w:t>
      </w:r>
      <w:r w:rsidR="00F837C7">
        <w:t xml:space="preserve"> Pa</w:t>
      </w:r>
      <w:r w:rsidR="00E67DB8">
        <w:t xml:space="preserve">keisti </w:t>
      </w:r>
      <w:r>
        <w:t>4 punktą</w:t>
      </w:r>
      <w:r w:rsidR="00F837C7">
        <w:t xml:space="preserve"> ir jį išdėstyti taip</w:t>
      </w:r>
      <w:r>
        <w:t xml:space="preserve">: </w:t>
      </w:r>
    </w:p>
    <w:p w14:paraId="351BC59C" w14:textId="1C35C5C7" w:rsidR="009653BD" w:rsidRDefault="009653BD" w:rsidP="00AD0BCA">
      <w:pPr>
        <w:spacing w:line="360" w:lineRule="auto"/>
        <w:ind w:firstLine="720"/>
        <w:jc w:val="both"/>
      </w:pPr>
      <w:r>
        <w:t xml:space="preserve">„4. </w:t>
      </w:r>
      <w:r w:rsidR="003F0265" w:rsidRPr="003F0265">
        <w:t>Specializacija  negali būti nustatoma vienam teismo teisėjui (išskyrus ikiteisminio tyrimo teisėją). Specializacijai priskirtiną teisėjų skaičių nustato teismo pirmininkas, atsižvelgdamas į  gaunamų tam tikros kategorijos bylų skaičių teisme, taip pat įvertinęs įstatyme įtvirtintus tam tikrų kategorijų maksimalius bylų išnagrinėjimo terminus</w:t>
      </w:r>
      <w:r>
        <w:t>“.</w:t>
      </w:r>
    </w:p>
    <w:p w14:paraId="55F11438" w14:textId="6A78AC1A" w:rsidR="003F0265" w:rsidRDefault="009653BD" w:rsidP="00AD0BCA">
      <w:pPr>
        <w:spacing w:line="360" w:lineRule="auto"/>
        <w:ind w:firstLine="720"/>
        <w:jc w:val="both"/>
      </w:pPr>
      <w:r>
        <w:t xml:space="preserve">2. </w:t>
      </w:r>
      <w:r w:rsidR="003F0265">
        <w:t>Pakeisti 6 punktą ir išdėstyti jį taip:</w:t>
      </w:r>
    </w:p>
    <w:p w14:paraId="326F4913" w14:textId="0FED4C29" w:rsidR="003F0265" w:rsidRDefault="003F0265" w:rsidP="00AD0BCA">
      <w:pPr>
        <w:spacing w:line="360" w:lineRule="auto"/>
        <w:ind w:firstLine="720"/>
        <w:jc w:val="both"/>
      </w:pPr>
      <w:r>
        <w:t xml:space="preserve">„6. </w:t>
      </w:r>
      <w:r w:rsidRPr="003F0265">
        <w:t>Teisėjų specializacija gali būti nustatoma bet kurių kategorijų byloms, jei teismo pirmininkas, atsižvelgdamas į teisėjų kvalifikaciją ir atskiros srities žinias, įžvelgia poreikį tokią specializaciją nustatyti (pavyzdžiui, padidėjus tam tikros kategorijos bylų skaičiui teisme)</w:t>
      </w:r>
      <w:r>
        <w:t>.</w:t>
      </w:r>
    </w:p>
    <w:p w14:paraId="6910859D" w14:textId="7E8FCE43" w:rsidR="009653BD" w:rsidRDefault="003F0265" w:rsidP="00AD0BCA">
      <w:pPr>
        <w:spacing w:line="360" w:lineRule="auto"/>
        <w:ind w:firstLine="720"/>
        <w:jc w:val="both"/>
      </w:pPr>
      <w:r>
        <w:t xml:space="preserve">3. </w:t>
      </w:r>
      <w:r w:rsidR="009653BD">
        <w:t xml:space="preserve">Papildyti </w:t>
      </w:r>
      <w:r w:rsidR="0037403E">
        <w:t>6</w:t>
      </w:r>
      <w:r w:rsidR="00E67DB8">
        <w:rPr>
          <w:vertAlign w:val="superscript"/>
        </w:rPr>
        <w:t>1</w:t>
      </w:r>
      <w:r w:rsidR="009653BD">
        <w:t xml:space="preserve"> punktu:</w:t>
      </w:r>
    </w:p>
    <w:p w14:paraId="6C3F37EB" w14:textId="77777777" w:rsidR="003F0265" w:rsidRDefault="009653BD" w:rsidP="003F0265">
      <w:pPr>
        <w:spacing w:line="360" w:lineRule="auto"/>
        <w:ind w:firstLine="720"/>
        <w:jc w:val="both"/>
      </w:pPr>
      <w:r>
        <w:t>„</w:t>
      </w:r>
      <w:r w:rsidR="0037403E">
        <w:t>6</w:t>
      </w:r>
      <w:r w:rsidR="00E67DB8">
        <w:rPr>
          <w:vertAlign w:val="superscript"/>
        </w:rPr>
        <w:t>1</w:t>
      </w:r>
      <w:r>
        <w:t xml:space="preserve">. </w:t>
      </w:r>
      <w:r w:rsidR="003F0265">
        <w:t>Kriterijai, kuriais gali būti remiamasi paskirstant teisėjus į jau nustatytas specializacijas teisme:</w:t>
      </w:r>
    </w:p>
    <w:p w14:paraId="50511CBB" w14:textId="26667D5D" w:rsidR="003F0265" w:rsidRDefault="003F0265" w:rsidP="003F0265">
      <w:pPr>
        <w:spacing w:line="360" w:lineRule="auto"/>
        <w:ind w:firstLine="720"/>
        <w:jc w:val="both"/>
      </w:pPr>
      <w:r>
        <w:t>6.1. karjeros ar į pensiją išėjusių teisėjų, teisėjų, kurių įgaliojimai sustabd</w:t>
      </w:r>
      <w:r w:rsidR="00D20BBC">
        <w:t>yti ar pasibaigę, specializacijo</w:t>
      </w:r>
      <w:r>
        <w:t>s;</w:t>
      </w:r>
    </w:p>
    <w:p w14:paraId="52C818CF" w14:textId="00DBBCC9" w:rsidR="003F0265" w:rsidRDefault="003F0265" w:rsidP="003F0265">
      <w:pPr>
        <w:spacing w:line="360" w:lineRule="auto"/>
        <w:ind w:firstLine="720"/>
        <w:jc w:val="both"/>
      </w:pPr>
      <w:r>
        <w:t>6.2. teisėjo prašym</w:t>
      </w:r>
      <w:r w:rsidR="00D20BBC">
        <w:t>as</w:t>
      </w:r>
      <w:r>
        <w:t xml:space="preserve"> specializuotis tam tikros kategorijos bylose;</w:t>
      </w:r>
    </w:p>
    <w:p w14:paraId="616CA619" w14:textId="5BB057AD" w:rsidR="003F0265" w:rsidRDefault="003F0265" w:rsidP="003F0265">
      <w:pPr>
        <w:spacing w:line="360" w:lineRule="auto"/>
        <w:ind w:firstLine="720"/>
        <w:jc w:val="both"/>
      </w:pPr>
      <w:r>
        <w:lastRenderedPageBreak/>
        <w:t>6.3. teismo teisėjų susirinkimo išreikšt</w:t>
      </w:r>
      <w:r w:rsidR="00D20BBC">
        <w:t>a</w:t>
      </w:r>
      <w:r>
        <w:t xml:space="preserve"> nuomon</w:t>
      </w:r>
      <w:r w:rsidR="00D20BBC">
        <w:t>ė</w:t>
      </w:r>
      <w:r>
        <w:t xml:space="preserve"> arba teismo teisėjų apklausos metu gaut</w:t>
      </w:r>
      <w:r w:rsidR="00D20BBC">
        <w:t>a</w:t>
      </w:r>
      <w:r>
        <w:t xml:space="preserve"> nuomon</w:t>
      </w:r>
      <w:r w:rsidR="00D20BBC">
        <w:t>ė</w:t>
      </w:r>
      <w:r>
        <w:t xml:space="preserve"> dėl teisėjų specializacijų teisme;</w:t>
      </w:r>
    </w:p>
    <w:p w14:paraId="2A3525DA" w14:textId="1F74F78E" w:rsidR="009653BD" w:rsidRDefault="003F0265" w:rsidP="003F0265">
      <w:pPr>
        <w:spacing w:line="360" w:lineRule="auto"/>
        <w:ind w:firstLine="720"/>
        <w:jc w:val="both"/>
      </w:pPr>
      <w:r>
        <w:t>6.4. kitos objektyvios aplinkybės, pagrįstos motyvuotu teismo pirmininko sprendimu</w:t>
      </w:r>
      <w:r w:rsidR="009653BD">
        <w:t>“</w:t>
      </w:r>
      <w:r w:rsidR="00056E8F">
        <w:t>.</w:t>
      </w:r>
    </w:p>
    <w:p w14:paraId="6BE93128" w14:textId="073E867F" w:rsidR="003F0265" w:rsidRDefault="0037403E" w:rsidP="007D64E8">
      <w:pPr>
        <w:spacing w:line="360" w:lineRule="auto"/>
        <w:ind w:firstLine="720"/>
        <w:jc w:val="both"/>
      </w:pPr>
      <w:r w:rsidDel="00E67DB8">
        <w:t xml:space="preserve"> </w:t>
      </w:r>
      <w:r w:rsidR="003F0265">
        <w:t>4</w:t>
      </w:r>
      <w:r w:rsidR="009653BD">
        <w:t xml:space="preserve">. </w:t>
      </w:r>
      <w:r w:rsidR="003F0265">
        <w:t>Papildyti 6</w:t>
      </w:r>
      <w:r w:rsidR="003F0265" w:rsidRPr="003F0265">
        <w:rPr>
          <w:vertAlign w:val="superscript"/>
        </w:rPr>
        <w:t>2</w:t>
      </w:r>
      <w:r w:rsidR="003F0265">
        <w:t xml:space="preserve"> punktu: </w:t>
      </w:r>
    </w:p>
    <w:p w14:paraId="04BA62A6" w14:textId="25A3A8D0" w:rsidR="003F0265" w:rsidRDefault="003F0265" w:rsidP="007D64E8">
      <w:pPr>
        <w:spacing w:line="360" w:lineRule="auto"/>
        <w:ind w:firstLine="720"/>
        <w:jc w:val="both"/>
      </w:pPr>
      <w:r>
        <w:t>„6</w:t>
      </w:r>
      <w:r w:rsidRPr="003F0265">
        <w:rPr>
          <w:vertAlign w:val="superscript"/>
        </w:rPr>
        <w:t>2</w:t>
      </w:r>
      <w:r>
        <w:t xml:space="preserve">. </w:t>
      </w:r>
      <w:r w:rsidRPr="003F0265">
        <w:t>Teisme specializacija gali būti nenustatoma, jei per mažas teisėjų skaičius teisme (o kai teismas sudarytas iš teismo rūmų - teismo rūmuose), ar teismo pirmininkas nusprendžia, kad nustatyti specializaciją netikslinga</w:t>
      </w:r>
      <w:r>
        <w:t>.“</w:t>
      </w:r>
    </w:p>
    <w:p w14:paraId="61158A36" w14:textId="128FF3B4" w:rsidR="009653BD" w:rsidRDefault="003F0265" w:rsidP="007D64E8">
      <w:pPr>
        <w:spacing w:line="360" w:lineRule="auto"/>
        <w:ind w:firstLine="720"/>
        <w:jc w:val="both"/>
      </w:pPr>
      <w:r>
        <w:t xml:space="preserve">5. </w:t>
      </w:r>
      <w:r w:rsidR="009653BD">
        <w:t xml:space="preserve">Pakeisti </w:t>
      </w:r>
      <w:r w:rsidR="0037403E">
        <w:t>10</w:t>
      </w:r>
      <w:r w:rsidR="009653BD">
        <w:t xml:space="preserve"> punktą ir </w:t>
      </w:r>
      <w:r w:rsidR="00E67DB8">
        <w:t xml:space="preserve">jį </w:t>
      </w:r>
      <w:r w:rsidR="009653BD">
        <w:t xml:space="preserve">išdėstyti </w:t>
      </w:r>
      <w:r w:rsidR="00E67DB8">
        <w:t>taip</w:t>
      </w:r>
      <w:r w:rsidR="009653BD">
        <w:t>:</w:t>
      </w:r>
    </w:p>
    <w:p w14:paraId="5370F4D9" w14:textId="50F4473D" w:rsidR="009653BD" w:rsidRPr="00C240DD" w:rsidRDefault="009653BD" w:rsidP="004413A8">
      <w:pPr>
        <w:spacing w:line="360" w:lineRule="auto"/>
        <w:ind w:firstLine="720"/>
        <w:jc w:val="both"/>
      </w:pPr>
      <w:r>
        <w:t>„1</w:t>
      </w:r>
      <w:r w:rsidR="0037403E">
        <w:t>0</w:t>
      </w:r>
      <w:r>
        <w:t xml:space="preserve">. </w:t>
      </w:r>
      <w:r w:rsidR="003F0265" w:rsidRPr="003F0265">
        <w:t>Jei sutikimo nagrinėti tam tikros kategorijos bylas nepareiškia reikiamas teisėjų skaičius arba nepavyksta nustatyti teisėjų specializacijos pagal teisėjų prašymus, teisėjų specializaciją nustato teismo pirmininkas, įvertinęs teismo teisėjų susirinkimo arba teismo teisėjų apklausos būdu išreikštą nuomonę</w:t>
      </w:r>
      <w:r w:rsidR="00D20BBC">
        <w:t xml:space="preserve">. </w:t>
      </w:r>
      <w:r w:rsidR="003F0265" w:rsidRPr="003F0265">
        <w:t>Teisėjai paskirstomi į specializacijas gali būti  paskiriant teisėją eilės tvarka pagal teismo teisėjų sąrašą, sudarytą pagal unikalius teisėjų kodus, pavyzdžiui, pradedant nuo mažiausio arba nuo didžiausio, arba vieną kartą skiriant pagal mažiausią, kitą – pag</w:t>
      </w:r>
      <w:r w:rsidR="003F0265">
        <w:t>al didžiausią, ir kitais būdais</w:t>
      </w:r>
      <w:r w:rsidRPr="009653BD">
        <w:t>.</w:t>
      </w:r>
      <w:r w:rsidR="00056E8F">
        <w:t>“</w:t>
      </w:r>
      <w:r w:rsidRPr="009653BD">
        <w:t xml:space="preserve"> </w:t>
      </w:r>
    </w:p>
    <w:p w14:paraId="54AF1F94" w14:textId="5D5B4D4D" w:rsidR="000D0C2C" w:rsidRDefault="000D0C2C">
      <w:pPr>
        <w:spacing w:line="360" w:lineRule="auto"/>
        <w:ind w:firstLine="720"/>
        <w:jc w:val="both"/>
      </w:pPr>
    </w:p>
    <w:p w14:paraId="12B16954" w14:textId="77777777" w:rsidR="000D0C2C" w:rsidRPr="00C240DD" w:rsidRDefault="000D0C2C">
      <w:pPr>
        <w:spacing w:line="360" w:lineRule="auto"/>
        <w:ind w:firstLine="720"/>
        <w:jc w:val="both"/>
      </w:pPr>
    </w:p>
    <w:tbl>
      <w:tblPr>
        <w:tblW w:w="9798" w:type="dxa"/>
        <w:tblLayout w:type="fixed"/>
        <w:tblLook w:val="04A0" w:firstRow="1" w:lastRow="0" w:firstColumn="1" w:lastColumn="0" w:noHBand="0" w:noVBand="1"/>
      </w:tblPr>
      <w:tblGrid>
        <w:gridCol w:w="7308"/>
        <w:gridCol w:w="2490"/>
      </w:tblGrid>
      <w:tr w:rsidR="00312912" w:rsidRPr="00430FE0" w14:paraId="57FAB6AE" w14:textId="77777777" w:rsidTr="0050218B">
        <w:trPr>
          <w:trHeight w:val="332"/>
        </w:trPr>
        <w:tc>
          <w:tcPr>
            <w:tcW w:w="7308" w:type="dxa"/>
          </w:tcPr>
          <w:p w14:paraId="147F4A90" w14:textId="77777777" w:rsidR="00312912" w:rsidRPr="00430FE0" w:rsidRDefault="00312912" w:rsidP="0050218B">
            <w:r w:rsidRPr="00430FE0">
              <w:t>Pirmininkas</w:t>
            </w:r>
          </w:p>
        </w:tc>
        <w:tc>
          <w:tcPr>
            <w:tcW w:w="2490" w:type="dxa"/>
            <w:hideMark/>
          </w:tcPr>
          <w:p w14:paraId="725C3F71" w14:textId="465DC3D4" w:rsidR="00312912" w:rsidRPr="00430FE0" w:rsidRDefault="00D20BBC" w:rsidP="0050218B">
            <w:r>
              <w:t>Algimantas Valantinas</w:t>
            </w:r>
          </w:p>
        </w:tc>
      </w:tr>
      <w:tr w:rsidR="00312912" w:rsidRPr="00430FE0" w14:paraId="5B68D52D" w14:textId="77777777" w:rsidTr="0050218B">
        <w:tc>
          <w:tcPr>
            <w:tcW w:w="7308" w:type="dxa"/>
          </w:tcPr>
          <w:p w14:paraId="483F08F4" w14:textId="77777777" w:rsidR="00312912" w:rsidRPr="00430FE0" w:rsidRDefault="00312912" w:rsidP="0050218B"/>
        </w:tc>
        <w:tc>
          <w:tcPr>
            <w:tcW w:w="2490" w:type="dxa"/>
            <w:hideMark/>
          </w:tcPr>
          <w:p w14:paraId="35474704" w14:textId="77777777" w:rsidR="00312912" w:rsidRDefault="00312912" w:rsidP="0050218B"/>
          <w:p w14:paraId="0A7C3E25" w14:textId="77777777" w:rsidR="00312912" w:rsidRPr="00430FE0" w:rsidRDefault="00312912" w:rsidP="0050218B"/>
        </w:tc>
      </w:tr>
      <w:tr w:rsidR="00312912" w:rsidRPr="00430FE0" w14:paraId="1671A831" w14:textId="77777777" w:rsidTr="0050218B">
        <w:tc>
          <w:tcPr>
            <w:tcW w:w="7308" w:type="dxa"/>
            <w:hideMark/>
          </w:tcPr>
          <w:p w14:paraId="5FC700FA" w14:textId="7EB3DE96" w:rsidR="00312912" w:rsidRPr="00430FE0" w:rsidRDefault="00312912">
            <w:r w:rsidRPr="00430FE0">
              <w:t>Sekretor</w:t>
            </w:r>
            <w:r w:rsidR="00D20BBC">
              <w:t>ė</w:t>
            </w:r>
          </w:p>
        </w:tc>
        <w:tc>
          <w:tcPr>
            <w:tcW w:w="2490" w:type="dxa"/>
            <w:hideMark/>
          </w:tcPr>
          <w:p w14:paraId="707D6AA8" w14:textId="75F3413A" w:rsidR="00312912" w:rsidRPr="00430FE0" w:rsidRDefault="00D20BBC" w:rsidP="0050218B">
            <w:r>
              <w:t xml:space="preserve">       Neringa Švedienė</w:t>
            </w:r>
          </w:p>
        </w:tc>
      </w:tr>
      <w:tr w:rsidR="00D20BBC" w:rsidRPr="00430FE0" w14:paraId="2300EF91" w14:textId="77777777" w:rsidTr="0050218B">
        <w:tc>
          <w:tcPr>
            <w:tcW w:w="7308" w:type="dxa"/>
          </w:tcPr>
          <w:p w14:paraId="7455284D" w14:textId="77777777" w:rsidR="00D20BBC" w:rsidRPr="00430FE0" w:rsidRDefault="00D20BBC"/>
        </w:tc>
        <w:tc>
          <w:tcPr>
            <w:tcW w:w="2490" w:type="dxa"/>
          </w:tcPr>
          <w:p w14:paraId="01F805BE" w14:textId="77777777" w:rsidR="00D20BBC" w:rsidRDefault="00D20BBC" w:rsidP="0050218B"/>
        </w:tc>
      </w:tr>
    </w:tbl>
    <w:p w14:paraId="214E2EB4" w14:textId="77777777" w:rsidR="0015345C" w:rsidRPr="00C240DD" w:rsidRDefault="0015345C">
      <w:pPr>
        <w:tabs>
          <w:tab w:val="left" w:pos="1418"/>
          <w:tab w:val="left" w:pos="1560"/>
        </w:tabs>
        <w:jc w:val="both"/>
      </w:pPr>
    </w:p>
    <w:p w14:paraId="4F626D22" w14:textId="77777777" w:rsidR="0015345C" w:rsidRPr="00C240DD" w:rsidRDefault="0015345C">
      <w:pPr>
        <w:tabs>
          <w:tab w:val="left" w:pos="1418"/>
          <w:tab w:val="left" w:pos="1560"/>
        </w:tabs>
        <w:jc w:val="both"/>
      </w:pPr>
    </w:p>
    <w:sectPr w:rsidR="0015345C" w:rsidRPr="00C240DD" w:rsidSect="00CA2A0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7D2F" w14:textId="77777777" w:rsidR="003E63B3" w:rsidRDefault="003E63B3" w:rsidP="00D00F6D">
      <w:r>
        <w:separator/>
      </w:r>
    </w:p>
  </w:endnote>
  <w:endnote w:type="continuationSeparator" w:id="0">
    <w:p w14:paraId="7D8EF093" w14:textId="77777777" w:rsidR="003E63B3" w:rsidRDefault="003E63B3" w:rsidP="00D0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FE4DE" w14:textId="77777777" w:rsidR="003E63B3" w:rsidRDefault="003E63B3" w:rsidP="00D00F6D">
      <w:r>
        <w:separator/>
      </w:r>
    </w:p>
  </w:footnote>
  <w:footnote w:type="continuationSeparator" w:id="0">
    <w:p w14:paraId="5E97231C" w14:textId="77777777" w:rsidR="003E63B3" w:rsidRDefault="003E63B3" w:rsidP="00D00F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665D"/>
    <w:multiLevelType w:val="multilevel"/>
    <w:tmpl w:val="BFEC6994"/>
    <w:lvl w:ilvl="0">
      <w:start w:val="1"/>
      <w:numFmt w:val="decimal"/>
      <w:lvlText w:val="%1."/>
      <w:lvlJc w:val="left"/>
      <w:pPr>
        <w:ind w:left="8015" w:hanging="360"/>
      </w:pPr>
      <w:rPr>
        <w:rFonts w:ascii="Times New Roman" w:eastAsia="Times New Roman" w:hAnsi="Times New Roman" w:cs="Times New Roman"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E8"/>
    <w:rsid w:val="000259E3"/>
    <w:rsid w:val="000449E8"/>
    <w:rsid w:val="00056E8F"/>
    <w:rsid w:val="000914C8"/>
    <w:rsid w:val="000961CE"/>
    <w:rsid w:val="000A4B36"/>
    <w:rsid w:val="000D0C2C"/>
    <w:rsid w:val="001117EB"/>
    <w:rsid w:val="001121CF"/>
    <w:rsid w:val="0012006B"/>
    <w:rsid w:val="00145F3D"/>
    <w:rsid w:val="0015345C"/>
    <w:rsid w:val="00165E58"/>
    <w:rsid w:val="00181919"/>
    <w:rsid w:val="001F62DF"/>
    <w:rsid w:val="0020689B"/>
    <w:rsid w:val="0023259E"/>
    <w:rsid w:val="00246952"/>
    <w:rsid w:val="002656F2"/>
    <w:rsid w:val="00273AC0"/>
    <w:rsid w:val="002A38F4"/>
    <w:rsid w:val="002B38D5"/>
    <w:rsid w:val="002C1EF2"/>
    <w:rsid w:val="002C33AB"/>
    <w:rsid w:val="002D212D"/>
    <w:rsid w:val="002F2967"/>
    <w:rsid w:val="002F5162"/>
    <w:rsid w:val="002F63C6"/>
    <w:rsid w:val="00311AFE"/>
    <w:rsid w:val="00312912"/>
    <w:rsid w:val="00315825"/>
    <w:rsid w:val="00321080"/>
    <w:rsid w:val="0037403E"/>
    <w:rsid w:val="003A0A5E"/>
    <w:rsid w:val="003A1FF2"/>
    <w:rsid w:val="003A2C77"/>
    <w:rsid w:val="003A5584"/>
    <w:rsid w:val="003B04EB"/>
    <w:rsid w:val="003C01AB"/>
    <w:rsid w:val="003C3DF2"/>
    <w:rsid w:val="003C56F7"/>
    <w:rsid w:val="003E5EF3"/>
    <w:rsid w:val="003E63B3"/>
    <w:rsid w:val="003E7D16"/>
    <w:rsid w:val="003F0265"/>
    <w:rsid w:val="00420C8F"/>
    <w:rsid w:val="00425219"/>
    <w:rsid w:val="00430B1B"/>
    <w:rsid w:val="004413A8"/>
    <w:rsid w:val="00454241"/>
    <w:rsid w:val="004568EB"/>
    <w:rsid w:val="00466DAE"/>
    <w:rsid w:val="00473820"/>
    <w:rsid w:val="00473A6A"/>
    <w:rsid w:val="00473E56"/>
    <w:rsid w:val="00475DA1"/>
    <w:rsid w:val="00485A4A"/>
    <w:rsid w:val="004A346E"/>
    <w:rsid w:val="004A77CC"/>
    <w:rsid w:val="004C21DF"/>
    <w:rsid w:val="004E6C3B"/>
    <w:rsid w:val="00501FFD"/>
    <w:rsid w:val="00522880"/>
    <w:rsid w:val="00551FD3"/>
    <w:rsid w:val="0055354F"/>
    <w:rsid w:val="0057085B"/>
    <w:rsid w:val="00573718"/>
    <w:rsid w:val="00584466"/>
    <w:rsid w:val="00597E33"/>
    <w:rsid w:val="005C5106"/>
    <w:rsid w:val="005C6D16"/>
    <w:rsid w:val="005D7204"/>
    <w:rsid w:val="005F034A"/>
    <w:rsid w:val="006223D4"/>
    <w:rsid w:val="0062276C"/>
    <w:rsid w:val="006247D1"/>
    <w:rsid w:val="00641F3C"/>
    <w:rsid w:val="00647E4D"/>
    <w:rsid w:val="00650A5C"/>
    <w:rsid w:val="006527FA"/>
    <w:rsid w:val="00662246"/>
    <w:rsid w:val="0068734F"/>
    <w:rsid w:val="006A246D"/>
    <w:rsid w:val="006B0747"/>
    <w:rsid w:val="006D35B4"/>
    <w:rsid w:val="00732BB1"/>
    <w:rsid w:val="00756290"/>
    <w:rsid w:val="00762F00"/>
    <w:rsid w:val="00763EFF"/>
    <w:rsid w:val="00770283"/>
    <w:rsid w:val="007A1E25"/>
    <w:rsid w:val="007A5300"/>
    <w:rsid w:val="007A618F"/>
    <w:rsid w:val="007B74CD"/>
    <w:rsid w:val="007D64E8"/>
    <w:rsid w:val="007E47F0"/>
    <w:rsid w:val="00806046"/>
    <w:rsid w:val="00807B81"/>
    <w:rsid w:val="00847D02"/>
    <w:rsid w:val="0085044C"/>
    <w:rsid w:val="00855CDA"/>
    <w:rsid w:val="008634D8"/>
    <w:rsid w:val="00871859"/>
    <w:rsid w:val="008A6306"/>
    <w:rsid w:val="008A7329"/>
    <w:rsid w:val="008B642A"/>
    <w:rsid w:val="008D1B94"/>
    <w:rsid w:val="008D722B"/>
    <w:rsid w:val="008F5ADA"/>
    <w:rsid w:val="00901926"/>
    <w:rsid w:val="00911D8B"/>
    <w:rsid w:val="00917CB7"/>
    <w:rsid w:val="0094144F"/>
    <w:rsid w:val="00944487"/>
    <w:rsid w:val="0095027B"/>
    <w:rsid w:val="009607D8"/>
    <w:rsid w:val="009653BD"/>
    <w:rsid w:val="00992912"/>
    <w:rsid w:val="009B76A5"/>
    <w:rsid w:val="009C5494"/>
    <w:rsid w:val="009E5478"/>
    <w:rsid w:val="009F2E1E"/>
    <w:rsid w:val="00A02AFF"/>
    <w:rsid w:val="00A319CC"/>
    <w:rsid w:val="00A37921"/>
    <w:rsid w:val="00A817AB"/>
    <w:rsid w:val="00A94150"/>
    <w:rsid w:val="00A9580D"/>
    <w:rsid w:val="00AA09DA"/>
    <w:rsid w:val="00AB0ACD"/>
    <w:rsid w:val="00AB188C"/>
    <w:rsid w:val="00AD0BCA"/>
    <w:rsid w:val="00AD1ECF"/>
    <w:rsid w:val="00AD4D1F"/>
    <w:rsid w:val="00B56518"/>
    <w:rsid w:val="00B63E48"/>
    <w:rsid w:val="00B7213E"/>
    <w:rsid w:val="00B87E86"/>
    <w:rsid w:val="00B901A4"/>
    <w:rsid w:val="00BB2E42"/>
    <w:rsid w:val="00BC22C4"/>
    <w:rsid w:val="00BE2B7C"/>
    <w:rsid w:val="00BF6B0E"/>
    <w:rsid w:val="00C02E38"/>
    <w:rsid w:val="00C13A0E"/>
    <w:rsid w:val="00C240DD"/>
    <w:rsid w:val="00C247E8"/>
    <w:rsid w:val="00C3056E"/>
    <w:rsid w:val="00C503B2"/>
    <w:rsid w:val="00C50C63"/>
    <w:rsid w:val="00C60907"/>
    <w:rsid w:val="00C83C6E"/>
    <w:rsid w:val="00C91B33"/>
    <w:rsid w:val="00CA2A00"/>
    <w:rsid w:val="00CA371E"/>
    <w:rsid w:val="00CD175E"/>
    <w:rsid w:val="00CD6243"/>
    <w:rsid w:val="00CD7637"/>
    <w:rsid w:val="00D00B58"/>
    <w:rsid w:val="00D00F6D"/>
    <w:rsid w:val="00D127A2"/>
    <w:rsid w:val="00D20BBC"/>
    <w:rsid w:val="00D23E69"/>
    <w:rsid w:val="00D61052"/>
    <w:rsid w:val="00D67601"/>
    <w:rsid w:val="00D850EA"/>
    <w:rsid w:val="00DC70B6"/>
    <w:rsid w:val="00DF1E87"/>
    <w:rsid w:val="00E03BE9"/>
    <w:rsid w:val="00E1476D"/>
    <w:rsid w:val="00E52F16"/>
    <w:rsid w:val="00E675D3"/>
    <w:rsid w:val="00E67DB8"/>
    <w:rsid w:val="00E75574"/>
    <w:rsid w:val="00EC29B7"/>
    <w:rsid w:val="00ED32DE"/>
    <w:rsid w:val="00ED5EA3"/>
    <w:rsid w:val="00ED71A9"/>
    <w:rsid w:val="00EE6A7D"/>
    <w:rsid w:val="00EE7AF6"/>
    <w:rsid w:val="00F031F8"/>
    <w:rsid w:val="00F0445D"/>
    <w:rsid w:val="00F16AAA"/>
    <w:rsid w:val="00F34DE1"/>
    <w:rsid w:val="00F41AE4"/>
    <w:rsid w:val="00F436A4"/>
    <w:rsid w:val="00F535D9"/>
    <w:rsid w:val="00F57DF9"/>
    <w:rsid w:val="00F65DB6"/>
    <w:rsid w:val="00F660A6"/>
    <w:rsid w:val="00F837C7"/>
    <w:rsid w:val="00F942A1"/>
    <w:rsid w:val="00F9798B"/>
    <w:rsid w:val="00F97D56"/>
    <w:rsid w:val="00FA4D85"/>
    <w:rsid w:val="00FB0C5D"/>
    <w:rsid w:val="00FB7AEA"/>
    <w:rsid w:val="00FD1D5C"/>
    <w:rsid w:val="00FD2950"/>
    <w:rsid w:val="00FD4A3A"/>
    <w:rsid w:val="00FD6718"/>
    <w:rsid w:val="00FF6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55591"/>
  <w15:docId w15:val="{11556F76-C43F-419C-89DD-8CEEB8A3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5C"/>
    <w:rPr>
      <w:sz w:val="24"/>
      <w:szCs w:val="24"/>
      <w:lang w:eastAsia="en-US"/>
    </w:rPr>
  </w:style>
  <w:style w:type="paragraph" w:styleId="Heading1">
    <w:name w:val="heading 1"/>
    <w:basedOn w:val="Normal"/>
    <w:next w:val="Normal"/>
    <w:qFormat/>
    <w:rsid w:val="0015345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345C"/>
    <w:pPr>
      <w:tabs>
        <w:tab w:val="center" w:pos="4153"/>
        <w:tab w:val="right" w:pos="8306"/>
      </w:tabs>
    </w:pPr>
  </w:style>
  <w:style w:type="paragraph" w:styleId="Title">
    <w:name w:val="Title"/>
    <w:basedOn w:val="Heading1"/>
    <w:link w:val="TitleChar"/>
    <w:uiPriority w:val="99"/>
    <w:qFormat/>
    <w:rsid w:val="0015345C"/>
    <w:pPr>
      <w:spacing w:before="0" w:after="0"/>
      <w:ind w:left="1134" w:right="1134"/>
      <w:jc w:val="center"/>
    </w:pPr>
    <w:rPr>
      <w:rFonts w:ascii="Times New Roman" w:hAnsi="Times New Roman" w:cs="Times New Roman"/>
      <w:caps/>
      <w:kern w:val="0"/>
      <w:sz w:val="26"/>
      <w:szCs w:val="24"/>
    </w:rPr>
  </w:style>
  <w:style w:type="paragraph" w:styleId="Date">
    <w:name w:val="Date"/>
    <w:basedOn w:val="Header"/>
    <w:link w:val="DateChar"/>
    <w:uiPriority w:val="99"/>
    <w:rsid w:val="0015345C"/>
    <w:pPr>
      <w:tabs>
        <w:tab w:val="clear" w:pos="4153"/>
        <w:tab w:val="clear" w:pos="8306"/>
      </w:tabs>
      <w:jc w:val="center"/>
    </w:pPr>
  </w:style>
  <w:style w:type="paragraph" w:styleId="BodyText">
    <w:name w:val="Body Text"/>
    <w:basedOn w:val="Normal"/>
    <w:semiHidden/>
    <w:rsid w:val="0015345C"/>
    <w:pPr>
      <w:jc w:val="both"/>
    </w:pPr>
  </w:style>
  <w:style w:type="paragraph" w:styleId="BalloonText">
    <w:name w:val="Balloon Text"/>
    <w:basedOn w:val="Normal"/>
    <w:link w:val="BalloonTextChar"/>
    <w:uiPriority w:val="99"/>
    <w:semiHidden/>
    <w:unhideWhenUsed/>
    <w:rsid w:val="00756290"/>
    <w:rPr>
      <w:rFonts w:ascii="Tahoma" w:hAnsi="Tahoma" w:cs="Tahoma"/>
      <w:sz w:val="16"/>
      <w:szCs w:val="16"/>
    </w:rPr>
  </w:style>
  <w:style w:type="character" w:customStyle="1" w:styleId="BalloonTextChar">
    <w:name w:val="Balloon Text Char"/>
    <w:basedOn w:val="DefaultParagraphFont"/>
    <w:link w:val="BalloonText"/>
    <w:uiPriority w:val="99"/>
    <w:semiHidden/>
    <w:rsid w:val="00756290"/>
    <w:rPr>
      <w:rFonts w:ascii="Tahoma" w:hAnsi="Tahoma" w:cs="Tahoma"/>
      <w:sz w:val="16"/>
      <w:szCs w:val="16"/>
      <w:lang w:eastAsia="en-US"/>
    </w:rPr>
  </w:style>
  <w:style w:type="character" w:customStyle="1" w:styleId="TitleChar">
    <w:name w:val="Title Char"/>
    <w:basedOn w:val="DefaultParagraphFont"/>
    <w:link w:val="Title"/>
    <w:uiPriority w:val="99"/>
    <w:rsid w:val="00756290"/>
    <w:rPr>
      <w:b/>
      <w:bCs/>
      <w:caps/>
      <w:sz w:val="26"/>
      <w:szCs w:val="24"/>
      <w:lang w:eastAsia="en-US"/>
    </w:rPr>
  </w:style>
  <w:style w:type="character" w:customStyle="1" w:styleId="DateChar">
    <w:name w:val="Date Char"/>
    <w:basedOn w:val="DefaultParagraphFont"/>
    <w:link w:val="Date"/>
    <w:uiPriority w:val="99"/>
    <w:rsid w:val="00756290"/>
    <w:rPr>
      <w:sz w:val="24"/>
      <w:szCs w:val="24"/>
      <w:lang w:eastAsia="en-US"/>
    </w:rPr>
  </w:style>
  <w:style w:type="paragraph" w:styleId="ListParagraph">
    <w:name w:val="List Paragraph"/>
    <w:basedOn w:val="Normal"/>
    <w:uiPriority w:val="34"/>
    <w:qFormat/>
    <w:rsid w:val="00756290"/>
    <w:pPr>
      <w:ind w:left="720"/>
      <w:contextualSpacing/>
    </w:pPr>
  </w:style>
  <w:style w:type="character" w:styleId="CommentReference">
    <w:name w:val="annotation reference"/>
    <w:basedOn w:val="DefaultParagraphFont"/>
    <w:uiPriority w:val="99"/>
    <w:semiHidden/>
    <w:unhideWhenUsed/>
    <w:rsid w:val="00ED32DE"/>
    <w:rPr>
      <w:sz w:val="16"/>
      <w:szCs w:val="16"/>
    </w:rPr>
  </w:style>
  <w:style w:type="paragraph" w:styleId="CommentText">
    <w:name w:val="annotation text"/>
    <w:basedOn w:val="Normal"/>
    <w:link w:val="CommentTextChar"/>
    <w:uiPriority w:val="99"/>
    <w:semiHidden/>
    <w:unhideWhenUsed/>
    <w:rsid w:val="00ED32DE"/>
    <w:rPr>
      <w:sz w:val="20"/>
      <w:szCs w:val="20"/>
    </w:rPr>
  </w:style>
  <w:style w:type="character" w:customStyle="1" w:styleId="CommentTextChar">
    <w:name w:val="Comment Text Char"/>
    <w:basedOn w:val="DefaultParagraphFont"/>
    <w:link w:val="CommentText"/>
    <w:uiPriority w:val="99"/>
    <w:semiHidden/>
    <w:rsid w:val="00ED32DE"/>
    <w:rPr>
      <w:lang w:eastAsia="en-US"/>
    </w:rPr>
  </w:style>
  <w:style w:type="paragraph" w:styleId="CommentSubject">
    <w:name w:val="annotation subject"/>
    <w:basedOn w:val="CommentText"/>
    <w:next w:val="CommentText"/>
    <w:link w:val="CommentSubjectChar"/>
    <w:uiPriority w:val="99"/>
    <w:semiHidden/>
    <w:unhideWhenUsed/>
    <w:rsid w:val="00ED32DE"/>
    <w:rPr>
      <w:b/>
      <w:bCs/>
    </w:rPr>
  </w:style>
  <w:style w:type="character" w:customStyle="1" w:styleId="CommentSubjectChar">
    <w:name w:val="Comment Subject Char"/>
    <w:basedOn w:val="CommentTextChar"/>
    <w:link w:val="CommentSubject"/>
    <w:uiPriority w:val="99"/>
    <w:semiHidden/>
    <w:rsid w:val="00ED32DE"/>
    <w:rPr>
      <w:b/>
      <w:bCs/>
      <w:lang w:eastAsia="en-US"/>
    </w:rPr>
  </w:style>
  <w:style w:type="paragraph" w:styleId="Revision">
    <w:name w:val="Revision"/>
    <w:hidden/>
    <w:uiPriority w:val="99"/>
    <w:semiHidden/>
    <w:rsid w:val="00FB7AEA"/>
    <w:rPr>
      <w:sz w:val="24"/>
      <w:szCs w:val="24"/>
      <w:lang w:eastAsia="en-US"/>
    </w:rPr>
  </w:style>
  <w:style w:type="table" w:styleId="TableGrid">
    <w:name w:val="Table Grid"/>
    <w:basedOn w:val="TableNormal"/>
    <w:uiPriority w:val="59"/>
    <w:rsid w:val="00C240D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00F6D"/>
    <w:pPr>
      <w:tabs>
        <w:tab w:val="center" w:pos="4819"/>
        <w:tab w:val="right" w:pos="9638"/>
      </w:tabs>
    </w:pPr>
  </w:style>
  <w:style w:type="character" w:customStyle="1" w:styleId="FooterChar">
    <w:name w:val="Footer Char"/>
    <w:basedOn w:val="DefaultParagraphFont"/>
    <w:link w:val="Footer"/>
    <w:uiPriority w:val="99"/>
    <w:rsid w:val="00D00F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72046">
      <w:bodyDiv w:val="1"/>
      <w:marLeft w:val="0"/>
      <w:marRight w:val="0"/>
      <w:marTop w:val="0"/>
      <w:marBottom w:val="0"/>
      <w:divBdr>
        <w:top w:val="none" w:sz="0" w:space="0" w:color="auto"/>
        <w:left w:val="none" w:sz="0" w:space="0" w:color="auto"/>
        <w:bottom w:val="none" w:sz="0" w:space="0" w:color="auto"/>
        <w:right w:val="none" w:sz="0" w:space="0" w:color="auto"/>
      </w:divBdr>
    </w:div>
    <w:div w:id="272790602">
      <w:bodyDiv w:val="1"/>
      <w:marLeft w:val="0"/>
      <w:marRight w:val="0"/>
      <w:marTop w:val="0"/>
      <w:marBottom w:val="0"/>
      <w:divBdr>
        <w:top w:val="none" w:sz="0" w:space="0" w:color="auto"/>
        <w:left w:val="none" w:sz="0" w:space="0" w:color="auto"/>
        <w:bottom w:val="none" w:sz="0" w:space="0" w:color="auto"/>
        <w:right w:val="none" w:sz="0" w:space="0" w:color="auto"/>
      </w:divBdr>
    </w:div>
    <w:div w:id="279721954">
      <w:bodyDiv w:val="1"/>
      <w:marLeft w:val="0"/>
      <w:marRight w:val="0"/>
      <w:marTop w:val="0"/>
      <w:marBottom w:val="0"/>
      <w:divBdr>
        <w:top w:val="none" w:sz="0" w:space="0" w:color="auto"/>
        <w:left w:val="none" w:sz="0" w:space="0" w:color="auto"/>
        <w:bottom w:val="none" w:sz="0" w:space="0" w:color="auto"/>
        <w:right w:val="none" w:sz="0" w:space="0" w:color="auto"/>
      </w:divBdr>
    </w:div>
    <w:div w:id="310401463">
      <w:bodyDiv w:val="1"/>
      <w:marLeft w:val="0"/>
      <w:marRight w:val="0"/>
      <w:marTop w:val="0"/>
      <w:marBottom w:val="0"/>
      <w:divBdr>
        <w:top w:val="none" w:sz="0" w:space="0" w:color="auto"/>
        <w:left w:val="none" w:sz="0" w:space="0" w:color="auto"/>
        <w:bottom w:val="none" w:sz="0" w:space="0" w:color="auto"/>
        <w:right w:val="none" w:sz="0" w:space="0" w:color="auto"/>
      </w:divBdr>
    </w:div>
    <w:div w:id="320502271">
      <w:bodyDiv w:val="1"/>
      <w:marLeft w:val="0"/>
      <w:marRight w:val="0"/>
      <w:marTop w:val="0"/>
      <w:marBottom w:val="0"/>
      <w:divBdr>
        <w:top w:val="none" w:sz="0" w:space="0" w:color="auto"/>
        <w:left w:val="none" w:sz="0" w:space="0" w:color="auto"/>
        <w:bottom w:val="none" w:sz="0" w:space="0" w:color="auto"/>
        <w:right w:val="none" w:sz="0" w:space="0" w:color="auto"/>
      </w:divBdr>
    </w:div>
    <w:div w:id="468979455">
      <w:bodyDiv w:val="1"/>
      <w:marLeft w:val="0"/>
      <w:marRight w:val="0"/>
      <w:marTop w:val="0"/>
      <w:marBottom w:val="0"/>
      <w:divBdr>
        <w:top w:val="none" w:sz="0" w:space="0" w:color="auto"/>
        <w:left w:val="none" w:sz="0" w:space="0" w:color="auto"/>
        <w:bottom w:val="none" w:sz="0" w:space="0" w:color="auto"/>
        <w:right w:val="none" w:sz="0" w:space="0" w:color="auto"/>
      </w:divBdr>
    </w:div>
    <w:div w:id="757167888">
      <w:bodyDiv w:val="1"/>
      <w:marLeft w:val="0"/>
      <w:marRight w:val="0"/>
      <w:marTop w:val="0"/>
      <w:marBottom w:val="0"/>
      <w:divBdr>
        <w:top w:val="none" w:sz="0" w:space="0" w:color="auto"/>
        <w:left w:val="none" w:sz="0" w:space="0" w:color="auto"/>
        <w:bottom w:val="none" w:sz="0" w:space="0" w:color="auto"/>
        <w:right w:val="none" w:sz="0" w:space="0" w:color="auto"/>
      </w:divBdr>
    </w:div>
    <w:div w:id="813372288">
      <w:bodyDiv w:val="1"/>
      <w:marLeft w:val="0"/>
      <w:marRight w:val="0"/>
      <w:marTop w:val="0"/>
      <w:marBottom w:val="0"/>
      <w:divBdr>
        <w:top w:val="none" w:sz="0" w:space="0" w:color="auto"/>
        <w:left w:val="none" w:sz="0" w:space="0" w:color="auto"/>
        <w:bottom w:val="none" w:sz="0" w:space="0" w:color="auto"/>
        <w:right w:val="none" w:sz="0" w:space="0" w:color="auto"/>
      </w:divBdr>
    </w:div>
    <w:div w:id="928271994">
      <w:bodyDiv w:val="1"/>
      <w:marLeft w:val="0"/>
      <w:marRight w:val="0"/>
      <w:marTop w:val="0"/>
      <w:marBottom w:val="0"/>
      <w:divBdr>
        <w:top w:val="none" w:sz="0" w:space="0" w:color="auto"/>
        <w:left w:val="none" w:sz="0" w:space="0" w:color="auto"/>
        <w:bottom w:val="none" w:sz="0" w:space="0" w:color="auto"/>
        <w:right w:val="none" w:sz="0" w:space="0" w:color="auto"/>
      </w:divBdr>
    </w:div>
    <w:div w:id="1111049805">
      <w:bodyDiv w:val="1"/>
      <w:marLeft w:val="0"/>
      <w:marRight w:val="0"/>
      <w:marTop w:val="0"/>
      <w:marBottom w:val="0"/>
      <w:divBdr>
        <w:top w:val="none" w:sz="0" w:space="0" w:color="auto"/>
        <w:left w:val="none" w:sz="0" w:space="0" w:color="auto"/>
        <w:bottom w:val="none" w:sz="0" w:space="0" w:color="auto"/>
        <w:right w:val="none" w:sz="0" w:space="0" w:color="auto"/>
      </w:divBdr>
    </w:div>
    <w:div w:id="1377389000">
      <w:bodyDiv w:val="1"/>
      <w:marLeft w:val="0"/>
      <w:marRight w:val="0"/>
      <w:marTop w:val="0"/>
      <w:marBottom w:val="0"/>
      <w:divBdr>
        <w:top w:val="none" w:sz="0" w:space="0" w:color="auto"/>
        <w:left w:val="none" w:sz="0" w:space="0" w:color="auto"/>
        <w:bottom w:val="none" w:sz="0" w:space="0" w:color="auto"/>
        <w:right w:val="none" w:sz="0" w:space="0" w:color="auto"/>
      </w:divBdr>
    </w:div>
    <w:div w:id="1828479087">
      <w:bodyDiv w:val="1"/>
      <w:marLeft w:val="0"/>
      <w:marRight w:val="0"/>
      <w:marTop w:val="0"/>
      <w:marBottom w:val="0"/>
      <w:divBdr>
        <w:top w:val="none" w:sz="0" w:space="0" w:color="auto"/>
        <w:left w:val="none" w:sz="0" w:space="0" w:color="auto"/>
        <w:bottom w:val="none" w:sz="0" w:space="0" w:color="auto"/>
        <w:right w:val="none" w:sz="0" w:space="0" w:color="auto"/>
      </w:divBdr>
    </w:div>
    <w:div w:id="20816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8DA3-0987-47DD-A2E2-52E8F763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1871</Words>
  <Characters>1068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Nacionalinė teismų administracija</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M.Pauzuolis</dc:creator>
  <cp:lastModifiedBy>Alina Dokutovičienė</cp:lastModifiedBy>
  <cp:revision>7</cp:revision>
  <dcterms:created xsi:type="dcterms:W3CDTF">2019-05-13T10:53:00Z</dcterms:created>
  <dcterms:modified xsi:type="dcterms:W3CDTF">2019-06-03T12:18:00Z</dcterms:modified>
</cp:coreProperties>
</file>