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33DF5" w14:textId="1BAE2675" w:rsidR="005A4FA8" w:rsidRPr="006A7C44" w:rsidRDefault="00E365D5" w:rsidP="00034622">
      <w:pPr>
        <w:keepNext/>
        <w:ind w:firstLine="851"/>
        <w:jc w:val="center"/>
        <w:rPr>
          <w:b/>
          <w:szCs w:val="24"/>
        </w:rPr>
      </w:pPr>
      <w:r w:rsidRPr="00C85199">
        <w:rPr>
          <w:noProof/>
          <w:lang w:eastAsia="lt-LT"/>
        </w:rPr>
        <w:drawing>
          <wp:inline distT="0" distB="0" distL="0" distR="0" wp14:anchorId="03062868" wp14:editId="1E48BF5A">
            <wp:extent cx="731520" cy="763270"/>
            <wp:effectExtent l="19050" t="0" r="0" b="0"/>
            <wp:docPr id="25" name="Paveikslėli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srcRect/>
                    <a:stretch>
                      <a:fillRect/>
                    </a:stretch>
                  </pic:blipFill>
                  <pic:spPr bwMode="auto">
                    <a:xfrm>
                      <a:off x="0" y="0"/>
                      <a:ext cx="731520" cy="763270"/>
                    </a:xfrm>
                    <a:prstGeom prst="rect">
                      <a:avLst/>
                    </a:prstGeom>
                    <a:noFill/>
                    <a:ln w="9525">
                      <a:noFill/>
                      <a:miter lim="800000"/>
                      <a:headEnd/>
                      <a:tailEnd/>
                    </a:ln>
                  </pic:spPr>
                </pic:pic>
              </a:graphicData>
            </a:graphic>
          </wp:inline>
        </w:drawing>
      </w:r>
    </w:p>
    <w:p w14:paraId="67EC8ED5" w14:textId="77777777" w:rsidR="0008049A" w:rsidRPr="006A7C44" w:rsidRDefault="007D5698" w:rsidP="00034622">
      <w:pPr>
        <w:keepNext/>
        <w:ind w:firstLine="851"/>
        <w:jc w:val="center"/>
        <w:rPr>
          <w:b/>
          <w:caps/>
          <w:szCs w:val="24"/>
        </w:rPr>
      </w:pPr>
      <w:r w:rsidRPr="003E5437">
        <w:rPr>
          <w:b/>
          <w:caps/>
          <w:szCs w:val="24"/>
        </w:rPr>
        <w:t>TEISĖJŲ TARYBA</w:t>
      </w:r>
    </w:p>
    <w:p w14:paraId="79306F5F" w14:textId="77777777" w:rsidR="0008049A" w:rsidRPr="006A7C44" w:rsidRDefault="0008049A" w:rsidP="00034622">
      <w:pPr>
        <w:keepNext/>
        <w:ind w:firstLine="851"/>
        <w:jc w:val="center"/>
        <w:rPr>
          <w:b/>
          <w:caps/>
          <w:szCs w:val="24"/>
        </w:rPr>
      </w:pPr>
    </w:p>
    <w:p w14:paraId="522D823A" w14:textId="77777777" w:rsidR="0008049A" w:rsidRPr="006A7C44" w:rsidRDefault="007D5698" w:rsidP="00034622">
      <w:pPr>
        <w:keepNext/>
        <w:ind w:firstLine="851"/>
        <w:jc w:val="center"/>
        <w:rPr>
          <w:b/>
          <w:caps/>
          <w:szCs w:val="24"/>
        </w:rPr>
      </w:pPr>
      <w:r w:rsidRPr="006A7C44">
        <w:rPr>
          <w:b/>
          <w:caps/>
          <w:szCs w:val="24"/>
        </w:rPr>
        <w:t>NUTARIMAS</w:t>
      </w:r>
    </w:p>
    <w:p w14:paraId="36E9C882" w14:textId="77777777" w:rsidR="0008049A" w:rsidRPr="006A7C44" w:rsidRDefault="007D5698" w:rsidP="00034622">
      <w:pPr>
        <w:ind w:firstLine="851"/>
        <w:jc w:val="center"/>
        <w:rPr>
          <w:b/>
          <w:szCs w:val="24"/>
        </w:rPr>
      </w:pPr>
      <w:bookmarkStart w:id="0" w:name="_Hlk31014389"/>
      <w:r w:rsidRPr="006A7C44">
        <w:rPr>
          <w:b/>
          <w:caps/>
          <w:szCs w:val="24"/>
        </w:rPr>
        <w:t>dėl TEISĖJŲ TARYBOS 2015 m. gruodžio 18 d. nutarim</w:t>
      </w:r>
      <w:r w:rsidR="00851ED0" w:rsidRPr="006A7C44">
        <w:rPr>
          <w:b/>
          <w:caps/>
          <w:szCs w:val="24"/>
        </w:rPr>
        <w:t>o</w:t>
      </w:r>
      <w:r w:rsidRPr="006A7C44">
        <w:rPr>
          <w:b/>
          <w:caps/>
          <w:szCs w:val="24"/>
        </w:rPr>
        <w:t xml:space="preserve"> Nr. 13P-157-(7.1.2) „Dėl Administravimo teismuose nuostatų patvirtinimo“ </w:t>
      </w:r>
      <w:r w:rsidRPr="006A7C44">
        <w:rPr>
          <w:b/>
          <w:szCs w:val="24"/>
        </w:rPr>
        <w:t>PAKEITIMO</w:t>
      </w:r>
    </w:p>
    <w:bookmarkEnd w:id="0"/>
    <w:p w14:paraId="41BDEA1C" w14:textId="77777777" w:rsidR="0008049A" w:rsidRPr="003E5437" w:rsidRDefault="0008049A" w:rsidP="00034622">
      <w:pPr>
        <w:ind w:firstLine="851"/>
        <w:jc w:val="center"/>
        <w:rPr>
          <w:bCs/>
          <w:szCs w:val="24"/>
        </w:rPr>
      </w:pPr>
    </w:p>
    <w:p w14:paraId="2DCB0792" w14:textId="5EECAA22" w:rsidR="0008049A" w:rsidRPr="006A7C44" w:rsidRDefault="007D5698" w:rsidP="00034622">
      <w:pPr>
        <w:ind w:firstLine="851"/>
        <w:jc w:val="center"/>
        <w:rPr>
          <w:bCs/>
          <w:szCs w:val="24"/>
        </w:rPr>
      </w:pPr>
      <w:r w:rsidRPr="006A7C44">
        <w:rPr>
          <w:bCs/>
          <w:szCs w:val="24"/>
        </w:rPr>
        <w:t>20</w:t>
      </w:r>
      <w:r w:rsidR="004F0062" w:rsidRPr="006A7C44">
        <w:rPr>
          <w:bCs/>
          <w:szCs w:val="24"/>
        </w:rPr>
        <w:t>20</w:t>
      </w:r>
      <w:r w:rsidRPr="006A7C44">
        <w:rPr>
          <w:bCs/>
          <w:szCs w:val="24"/>
        </w:rPr>
        <w:t xml:space="preserve"> m</w:t>
      </w:r>
      <w:r w:rsidR="005A4FA8" w:rsidRPr="006A7C44">
        <w:rPr>
          <w:bCs/>
          <w:szCs w:val="24"/>
        </w:rPr>
        <w:t>.</w:t>
      </w:r>
      <w:r w:rsidR="00E365D5">
        <w:rPr>
          <w:bCs/>
          <w:szCs w:val="24"/>
        </w:rPr>
        <w:t xml:space="preserve"> sausio 31 </w:t>
      </w:r>
      <w:r w:rsidR="005A4FA8" w:rsidRPr="006A7C44">
        <w:rPr>
          <w:bCs/>
          <w:szCs w:val="24"/>
        </w:rPr>
        <w:t>d. Nr. 13P</w:t>
      </w:r>
      <w:r w:rsidR="00430DC9" w:rsidRPr="006A7C44">
        <w:rPr>
          <w:bCs/>
          <w:szCs w:val="24"/>
        </w:rPr>
        <w:t>-</w:t>
      </w:r>
      <w:r w:rsidR="00430DC9">
        <w:rPr>
          <w:bCs/>
          <w:szCs w:val="24"/>
        </w:rPr>
        <w:t>16</w:t>
      </w:r>
      <w:r w:rsidRPr="006A7C44">
        <w:rPr>
          <w:bCs/>
          <w:szCs w:val="24"/>
        </w:rPr>
        <w:t>-(7.1.2)</w:t>
      </w:r>
    </w:p>
    <w:p w14:paraId="60EE25E2" w14:textId="77777777" w:rsidR="0008049A" w:rsidRPr="006A7C44" w:rsidRDefault="007D5698" w:rsidP="00034622">
      <w:pPr>
        <w:ind w:firstLine="851"/>
        <w:jc w:val="center"/>
        <w:rPr>
          <w:bCs/>
          <w:szCs w:val="24"/>
        </w:rPr>
      </w:pPr>
      <w:r w:rsidRPr="006A7C44">
        <w:rPr>
          <w:bCs/>
          <w:szCs w:val="24"/>
        </w:rPr>
        <w:t>Vilnius</w:t>
      </w:r>
    </w:p>
    <w:p w14:paraId="2B3031A2" w14:textId="77777777" w:rsidR="0008049A" w:rsidRPr="006A7C44" w:rsidRDefault="0008049A" w:rsidP="00034622">
      <w:pPr>
        <w:ind w:firstLine="851"/>
        <w:jc w:val="center"/>
        <w:rPr>
          <w:bCs/>
          <w:szCs w:val="24"/>
        </w:rPr>
      </w:pPr>
    </w:p>
    <w:p w14:paraId="72ECE838" w14:textId="77777777" w:rsidR="007D5698" w:rsidRPr="006A7C44" w:rsidRDefault="007D5698" w:rsidP="00034622">
      <w:pPr>
        <w:ind w:firstLine="851"/>
        <w:jc w:val="center"/>
        <w:rPr>
          <w:bCs/>
          <w:szCs w:val="24"/>
        </w:rPr>
      </w:pPr>
    </w:p>
    <w:p w14:paraId="70C4E197" w14:textId="77777777" w:rsidR="003E5437" w:rsidRPr="006A7C44" w:rsidRDefault="003E5437" w:rsidP="006A7C44">
      <w:pPr>
        <w:ind w:firstLine="680"/>
        <w:jc w:val="both"/>
        <w:rPr>
          <w:bCs/>
          <w:szCs w:val="24"/>
        </w:rPr>
      </w:pPr>
      <w:r w:rsidRPr="006A7C44">
        <w:rPr>
          <w:bCs/>
          <w:szCs w:val="24"/>
        </w:rPr>
        <w:t>Vadovaudamasi Lietuvos Respublikos teismų įstatymo 102 straipsnio 3 dalimi, 120</w:t>
      </w:r>
      <w:r w:rsidRPr="006A7C44">
        <w:rPr>
          <w:bCs/>
          <w:szCs w:val="24"/>
          <w:vertAlign w:val="superscript"/>
        </w:rPr>
        <w:t xml:space="preserve"> </w:t>
      </w:r>
      <w:r w:rsidRPr="006A7C44">
        <w:rPr>
          <w:bCs/>
          <w:szCs w:val="24"/>
        </w:rPr>
        <w:t xml:space="preserve">straipsnio 17 punktu Teisėjų taryba </w:t>
      </w:r>
      <w:r w:rsidRPr="006A7C44">
        <w:rPr>
          <w:bCs/>
          <w:spacing w:val="40"/>
          <w:szCs w:val="24"/>
        </w:rPr>
        <w:t>nutari</w:t>
      </w:r>
      <w:r w:rsidRPr="006A7C44">
        <w:rPr>
          <w:bCs/>
          <w:szCs w:val="24"/>
        </w:rPr>
        <w:t>a:</w:t>
      </w:r>
    </w:p>
    <w:p w14:paraId="4C0F5777" w14:textId="77777777" w:rsidR="003E5437" w:rsidRPr="006A7C44" w:rsidRDefault="003E5437" w:rsidP="006A7C44">
      <w:pPr>
        <w:ind w:firstLine="680"/>
        <w:jc w:val="both"/>
        <w:rPr>
          <w:bCs/>
          <w:szCs w:val="24"/>
        </w:rPr>
      </w:pPr>
      <w:r w:rsidRPr="006A7C44">
        <w:rPr>
          <w:bCs/>
          <w:szCs w:val="24"/>
        </w:rPr>
        <w:t>1. Pakeisti Administravimo teismuose nuostatus, patvirtintus Teisėjų tarybos 2015 m. gruodžio 18 d. nutarimu Nr. 13P-157-(7.1.2) „Dėl Administravimo teismuose nuostatų patvirtinimo“:</w:t>
      </w:r>
    </w:p>
    <w:p w14:paraId="039B4295" w14:textId="77777777" w:rsidR="003E5437" w:rsidRPr="006A7C44" w:rsidRDefault="003E5437" w:rsidP="006A7C44">
      <w:pPr>
        <w:pStyle w:val="Sraopastraipa"/>
        <w:numPr>
          <w:ilvl w:val="1"/>
          <w:numId w:val="1"/>
        </w:numPr>
        <w:ind w:left="0" w:firstLine="680"/>
        <w:contextualSpacing w:val="0"/>
        <w:jc w:val="both"/>
        <w:rPr>
          <w:bCs/>
          <w:szCs w:val="24"/>
          <w:lang w:eastAsia="lt-LT"/>
        </w:rPr>
      </w:pPr>
      <w:r w:rsidRPr="006A7C44">
        <w:rPr>
          <w:bCs/>
          <w:szCs w:val="24"/>
          <w:lang w:eastAsia="lt-LT"/>
        </w:rPr>
        <w:t>Pakeisti 2 punktą ir jį išdėstyti taip:</w:t>
      </w:r>
    </w:p>
    <w:p w14:paraId="7655F324" w14:textId="77777777" w:rsidR="003E5437" w:rsidRPr="006A7C44" w:rsidRDefault="003E5437" w:rsidP="006A7C44">
      <w:pPr>
        <w:tabs>
          <w:tab w:val="left" w:pos="990"/>
          <w:tab w:val="left" w:pos="1080"/>
        </w:tabs>
        <w:ind w:firstLine="680"/>
        <w:jc w:val="both"/>
        <w:rPr>
          <w:bCs/>
          <w:szCs w:val="24"/>
        </w:rPr>
      </w:pPr>
      <w:r w:rsidRPr="006A7C44">
        <w:rPr>
          <w:bCs/>
          <w:szCs w:val="24"/>
        </w:rPr>
        <w:t xml:space="preserve">„2. Administravimas teismuose negali pažeisti teisėjų nepriklausomumo principo, t. y. administravimo veiksmais negali būti </w:t>
      </w:r>
      <w:r w:rsidRPr="006A7C44">
        <w:rPr>
          <w:bCs/>
          <w:szCs w:val="24"/>
          <w:shd w:val="clear" w:color="auto" w:fill="FFFFFF"/>
        </w:rPr>
        <w:t>kišamasi į teisėjo veiklą vykdant teisingumą, t</w:t>
      </w:r>
      <w:r w:rsidRPr="006A7C44">
        <w:rPr>
          <w:bCs/>
          <w:szCs w:val="24"/>
        </w:rPr>
        <w:t>eisėjui negali būti daromas joks neteisėtas poveikis, kuris galėtų turėti įtakos jo sprendimams, neturi būti reikalaujama, kad teisėjas atsiskaitytų dėl konkrečioje byloje priimto sprendimo.</w:t>
      </w:r>
      <w:r w:rsidRPr="003E5437">
        <w:rPr>
          <w:bCs/>
          <w:szCs w:val="24"/>
        </w:rPr>
        <w:t xml:space="preserve"> </w:t>
      </w:r>
      <w:r w:rsidRPr="006A7C44">
        <w:rPr>
          <w:bCs/>
          <w:szCs w:val="24"/>
        </w:rPr>
        <w:t>Teismo administravimo subjektai savo veikloje vadovaujasi sąžiningumo, objektyvumo, pagarbos kitiems, skaidrumo principais.“</w:t>
      </w:r>
    </w:p>
    <w:p w14:paraId="5A5DA1F0" w14:textId="77777777" w:rsidR="003E5437" w:rsidRPr="006A7C44" w:rsidRDefault="003E5437" w:rsidP="006A7C44">
      <w:pPr>
        <w:pStyle w:val="Sraopastraipa"/>
        <w:numPr>
          <w:ilvl w:val="1"/>
          <w:numId w:val="1"/>
        </w:numPr>
        <w:ind w:left="0" w:firstLine="680"/>
        <w:contextualSpacing w:val="0"/>
        <w:jc w:val="both"/>
        <w:rPr>
          <w:bCs/>
          <w:szCs w:val="24"/>
          <w:lang w:eastAsia="lt-LT"/>
        </w:rPr>
      </w:pPr>
      <w:r w:rsidRPr="006A7C44">
        <w:rPr>
          <w:bCs/>
          <w:szCs w:val="24"/>
          <w:lang w:eastAsia="lt-LT"/>
        </w:rPr>
        <w:t>Pakeisti 10 punktą ir jį išdėstyti taip:</w:t>
      </w:r>
    </w:p>
    <w:p w14:paraId="551A69C0" w14:textId="5BECB57A" w:rsidR="003E5437" w:rsidRPr="006A7C44" w:rsidRDefault="003E5437" w:rsidP="006A7C44">
      <w:pPr>
        <w:ind w:firstLine="680"/>
        <w:jc w:val="both"/>
        <w:rPr>
          <w:bCs/>
          <w:szCs w:val="24"/>
          <w:lang w:eastAsia="lt-LT"/>
        </w:rPr>
      </w:pPr>
      <w:r w:rsidRPr="006A7C44">
        <w:rPr>
          <w:bCs/>
          <w:szCs w:val="24"/>
          <w:lang w:eastAsia="lt-LT"/>
        </w:rPr>
        <w:t>„</w:t>
      </w:r>
      <w:r w:rsidRPr="006A7C44">
        <w:rPr>
          <w:bCs/>
          <w:szCs w:val="24"/>
        </w:rPr>
        <w:t>10. Gavęs skundą ar kitą dokumentą dėl administracinės priežiūros veiksmų inicijavimo (toliau – skundas),</w:t>
      </w:r>
      <w:r w:rsidRPr="003E5437">
        <w:rPr>
          <w:bCs/>
          <w:szCs w:val="24"/>
        </w:rPr>
        <w:t xml:space="preserve"> </w:t>
      </w:r>
      <w:r w:rsidRPr="006A7C44">
        <w:rPr>
          <w:bCs/>
          <w:szCs w:val="24"/>
        </w:rPr>
        <w:t>administravimo subjektas įvertina, ar yra pagrindas priimti jį nagrinėti. Nustatęs, kad nėra šių Nuostatų 10</w:t>
      </w:r>
      <w:r w:rsidRPr="006A7C44">
        <w:rPr>
          <w:bCs/>
          <w:szCs w:val="24"/>
          <w:vertAlign w:val="superscript"/>
        </w:rPr>
        <w:t xml:space="preserve">2 </w:t>
      </w:r>
      <w:r w:rsidRPr="006A7C44">
        <w:rPr>
          <w:bCs/>
          <w:szCs w:val="24"/>
        </w:rPr>
        <w:t>punkte nurodytų atsisakymo priimti nagrinėti skundą pagrindų, administravimo subjektas</w:t>
      </w:r>
      <w:r w:rsidRPr="003E5437">
        <w:rPr>
          <w:bCs/>
          <w:szCs w:val="24"/>
        </w:rPr>
        <w:t xml:space="preserve"> atlieka išankstinį tyrimą ir ne vėliau kaip per 20 darbo di</w:t>
      </w:r>
      <w:r w:rsidRPr="006A7C44">
        <w:rPr>
          <w:bCs/>
          <w:szCs w:val="24"/>
        </w:rPr>
        <w:t>enų priima motyvuotą sprendimą dėl tikslinio ar kompleksinio patikrinimo tikslingumo, apie savo sprendimą informuoja skundą ar kitą inicijuojantį dokumentą pateikusį asmenį. Motyvuotu administravimo subjekto sprendimu išankstinio patikrinimo terminas gali būti pratęstas, bet ne ilgiau nei 10 darbo dienų. Apie išankstinio tyrimo termino pratęsimą administravimo subjektas informuoja skundą ar kitą inicijuojantį dokumentą pateikusį asmenį.</w:t>
      </w:r>
      <w:r w:rsidR="00977EB9">
        <w:rPr>
          <w:bCs/>
          <w:szCs w:val="24"/>
        </w:rPr>
        <w:t>“</w:t>
      </w:r>
    </w:p>
    <w:p w14:paraId="7157C45D" w14:textId="77777777" w:rsidR="003E5437" w:rsidRPr="006A7C44" w:rsidRDefault="003E5437" w:rsidP="006A7C44">
      <w:pPr>
        <w:pStyle w:val="Sraopastraipa"/>
        <w:numPr>
          <w:ilvl w:val="1"/>
          <w:numId w:val="1"/>
        </w:numPr>
        <w:ind w:left="0" w:firstLine="680"/>
        <w:rPr>
          <w:bCs/>
          <w:lang w:eastAsia="lt-LT"/>
        </w:rPr>
      </w:pPr>
      <w:r w:rsidRPr="006A7C44">
        <w:rPr>
          <w:bCs/>
          <w:szCs w:val="24"/>
          <w:lang w:eastAsia="lt-LT"/>
        </w:rPr>
        <w:t>Papildyti 10</w:t>
      </w:r>
      <w:r w:rsidRPr="006A7C44">
        <w:rPr>
          <w:bCs/>
          <w:szCs w:val="24"/>
          <w:vertAlign w:val="superscript"/>
          <w:lang w:eastAsia="lt-LT"/>
        </w:rPr>
        <w:t xml:space="preserve">1 </w:t>
      </w:r>
      <w:r w:rsidRPr="006A7C44">
        <w:rPr>
          <w:bCs/>
          <w:szCs w:val="24"/>
          <w:lang w:eastAsia="lt-LT"/>
        </w:rPr>
        <w:t>punktu:</w:t>
      </w:r>
    </w:p>
    <w:p w14:paraId="4F1506EA" w14:textId="77777777" w:rsidR="003E5437" w:rsidRPr="006A7C44" w:rsidRDefault="003E5437" w:rsidP="006A7C44">
      <w:pPr>
        <w:ind w:firstLine="680"/>
        <w:jc w:val="both"/>
        <w:rPr>
          <w:bCs/>
          <w:szCs w:val="24"/>
        </w:rPr>
      </w:pPr>
      <w:r w:rsidRPr="006A7C44">
        <w:rPr>
          <w:bCs/>
          <w:szCs w:val="24"/>
        </w:rPr>
        <w:t>„10</w:t>
      </w:r>
      <w:r w:rsidRPr="006A7C44">
        <w:rPr>
          <w:bCs/>
          <w:szCs w:val="24"/>
          <w:vertAlign w:val="superscript"/>
        </w:rPr>
        <w:t>1</w:t>
      </w:r>
      <w:r w:rsidRPr="006A7C44">
        <w:rPr>
          <w:bCs/>
          <w:szCs w:val="24"/>
        </w:rPr>
        <w:t xml:space="preserve">. Administravimo subjektui teikiamas skundas turi būti </w:t>
      </w:r>
      <w:r w:rsidRPr="006A7C44">
        <w:rPr>
          <w:bCs/>
          <w:color w:val="000000"/>
          <w:szCs w:val="24"/>
        </w:rPr>
        <w:t xml:space="preserve">parašytas įskaitomai, valstybine kalba (arba prie jo turi būti pridėtas vertimas į valstybinę kalbą) bei </w:t>
      </w:r>
      <w:r w:rsidRPr="006A7C44">
        <w:rPr>
          <w:bCs/>
          <w:szCs w:val="24"/>
        </w:rPr>
        <w:t xml:space="preserve">pasirašytas. Skundas, </w:t>
      </w:r>
      <w:r w:rsidRPr="006A7C44">
        <w:rPr>
          <w:bCs/>
          <w:color w:val="000000"/>
          <w:szCs w:val="24"/>
        </w:rPr>
        <w:t xml:space="preserve">atsiųstas elektroninėmis priemonėmis, turi būti pasirašytas kvalifikuotu elektroniniu parašu arba suformuotas elektroninėmis priemonėmis, kurios leidžia užtikrinti teksto vientisumą ir nepakeičiamumą. Skunde </w:t>
      </w:r>
      <w:r w:rsidRPr="006A7C44">
        <w:rPr>
          <w:bCs/>
          <w:szCs w:val="24"/>
        </w:rPr>
        <w:t xml:space="preserve">turi </w:t>
      </w:r>
      <w:r w:rsidRPr="006A7C44">
        <w:rPr>
          <w:bCs/>
          <w:color w:val="000000"/>
          <w:szCs w:val="24"/>
        </w:rPr>
        <w:t xml:space="preserve">būti nurodytas jį teikiančio asmens vardas, pavardė ir pavadinimas (jeigu kreipiamasi juridinio asmens vardu), adresas arba kiti kontaktiniai duomenys, konkretūs skundžiami veiksmai (neveikimas) </w:t>
      </w:r>
      <w:bookmarkStart w:id="1" w:name="_Hlk24536353"/>
      <w:r w:rsidRPr="006A7C44">
        <w:rPr>
          <w:bCs/>
          <w:color w:val="000000"/>
          <w:szCs w:val="24"/>
        </w:rPr>
        <w:t>ir kita skundo nagrinėjimui svarbi informacija. J</w:t>
      </w:r>
      <w:r w:rsidRPr="006A7C44">
        <w:rPr>
          <w:bCs/>
          <w:szCs w:val="24"/>
        </w:rPr>
        <w:t>eigu juridinio asmens vardu kreipiasi atstovas, turi būti pateikiamas atstovavimą patvirtinantis dokumentas ar jo kopija.</w:t>
      </w:r>
      <w:bookmarkEnd w:id="1"/>
      <w:r w:rsidRPr="003E5437">
        <w:rPr>
          <w:bCs/>
          <w:szCs w:val="24"/>
        </w:rPr>
        <w:t>“</w:t>
      </w:r>
    </w:p>
    <w:p w14:paraId="74B724D5" w14:textId="77777777" w:rsidR="003E5437" w:rsidRPr="006A7C44" w:rsidRDefault="003E5437" w:rsidP="006A7C44">
      <w:pPr>
        <w:ind w:firstLine="680"/>
        <w:jc w:val="both"/>
        <w:rPr>
          <w:bCs/>
          <w:szCs w:val="24"/>
          <w:lang w:eastAsia="lt-LT"/>
        </w:rPr>
      </w:pPr>
      <w:r w:rsidRPr="003E5437">
        <w:rPr>
          <w:bCs/>
          <w:szCs w:val="24"/>
          <w:lang w:eastAsia="lt-LT"/>
        </w:rPr>
        <w:t>1</w:t>
      </w:r>
      <w:r w:rsidRPr="006A7C44">
        <w:rPr>
          <w:bCs/>
          <w:szCs w:val="24"/>
          <w:lang w:eastAsia="lt-LT"/>
        </w:rPr>
        <w:t>.4. Papildyti 10</w:t>
      </w:r>
      <w:r w:rsidRPr="006A7C44">
        <w:rPr>
          <w:bCs/>
          <w:szCs w:val="24"/>
          <w:vertAlign w:val="superscript"/>
          <w:lang w:eastAsia="lt-LT"/>
        </w:rPr>
        <w:t xml:space="preserve">2 </w:t>
      </w:r>
      <w:r w:rsidRPr="006A7C44">
        <w:rPr>
          <w:bCs/>
          <w:szCs w:val="24"/>
          <w:lang w:eastAsia="lt-LT"/>
        </w:rPr>
        <w:t>punktu:</w:t>
      </w:r>
    </w:p>
    <w:p w14:paraId="310CF9D0" w14:textId="77777777" w:rsidR="003E5437" w:rsidRPr="003E5437" w:rsidRDefault="003E5437" w:rsidP="006A7C44">
      <w:pPr>
        <w:ind w:firstLine="680"/>
        <w:jc w:val="both"/>
        <w:rPr>
          <w:bCs/>
          <w:szCs w:val="24"/>
          <w:lang w:eastAsia="lt-LT"/>
        </w:rPr>
      </w:pPr>
      <w:r w:rsidRPr="006A7C44">
        <w:rPr>
          <w:bCs/>
          <w:szCs w:val="24"/>
          <w:lang w:eastAsia="lt-LT"/>
        </w:rPr>
        <w:t>„</w:t>
      </w:r>
      <w:r w:rsidRPr="006A7C44">
        <w:rPr>
          <w:bCs/>
          <w:szCs w:val="24"/>
        </w:rPr>
        <w:t>10</w:t>
      </w:r>
      <w:r w:rsidRPr="006A7C44">
        <w:rPr>
          <w:bCs/>
          <w:szCs w:val="24"/>
          <w:vertAlign w:val="superscript"/>
        </w:rPr>
        <w:t>2</w:t>
      </w:r>
      <w:r w:rsidRPr="006A7C44">
        <w:rPr>
          <w:bCs/>
          <w:szCs w:val="24"/>
        </w:rPr>
        <w:t>. Administravimo subjektas atsisako priimti nagrinėti skundą ir per 5 darbo dienas nuo skundo gavimo raštu apie tai informuoja jį pateikusį asmenį šiais atvejais:</w:t>
      </w:r>
    </w:p>
    <w:p w14:paraId="6EEB12FE" w14:textId="73F05200" w:rsidR="006A7C44" w:rsidRDefault="003E5437" w:rsidP="006A7C44">
      <w:pPr>
        <w:ind w:firstLine="680"/>
        <w:jc w:val="both"/>
        <w:rPr>
          <w:bCs/>
        </w:rPr>
      </w:pPr>
      <w:r w:rsidRPr="006A7C44">
        <w:rPr>
          <w:bCs/>
        </w:rPr>
        <w:t>10</w:t>
      </w:r>
      <w:r w:rsidRPr="006A7C44">
        <w:rPr>
          <w:bCs/>
          <w:vertAlign w:val="superscript"/>
        </w:rPr>
        <w:t>2</w:t>
      </w:r>
      <w:r w:rsidRPr="006A7C44">
        <w:rPr>
          <w:bCs/>
        </w:rPr>
        <w:t xml:space="preserve">.1. </w:t>
      </w:r>
      <w:r w:rsidRPr="006A7C44">
        <w:rPr>
          <w:bCs/>
          <w:color w:val="000000"/>
        </w:rPr>
        <w:t xml:space="preserve">kai nustatoma, kad pateiktas skundas </w:t>
      </w:r>
      <w:r w:rsidRPr="006A7C44">
        <w:rPr>
          <w:bCs/>
        </w:rPr>
        <w:t xml:space="preserve">yra neargumentuotas, nekonkretus, deklaratyvaus pobūdžio, nesuprantamo ar įžeidžiančio turinio, grindžiamas akivaizdžiai tikrovės neatitinkančiais faktais, </w:t>
      </w:r>
      <w:r w:rsidRPr="006A7C44">
        <w:rPr>
          <w:bCs/>
          <w:color w:val="000000"/>
        </w:rPr>
        <w:t xml:space="preserve">neatitinka Nuostatų </w:t>
      </w:r>
      <w:r w:rsidRPr="006A7C44">
        <w:rPr>
          <w:bCs/>
        </w:rPr>
        <w:t>10</w:t>
      </w:r>
      <w:r w:rsidRPr="006A7C44">
        <w:rPr>
          <w:bCs/>
          <w:vertAlign w:val="superscript"/>
        </w:rPr>
        <w:t xml:space="preserve">1 </w:t>
      </w:r>
      <w:r w:rsidRPr="006A7C44">
        <w:rPr>
          <w:bCs/>
        </w:rPr>
        <w:t>punkte nurodytų reikalavimų arba pateiktas nesąžiningai naudojantis suteiktomis teisėmis ir jomis piktnaudžiaujant;</w:t>
      </w:r>
    </w:p>
    <w:p w14:paraId="003158D4" w14:textId="77777777" w:rsidR="006A7C44" w:rsidRDefault="003E5437" w:rsidP="006A7C44">
      <w:pPr>
        <w:ind w:firstLine="680"/>
        <w:jc w:val="both"/>
        <w:rPr>
          <w:bCs/>
        </w:rPr>
      </w:pPr>
      <w:r w:rsidRPr="006A7C44">
        <w:rPr>
          <w:bCs/>
        </w:rPr>
        <w:lastRenderedPageBreak/>
        <w:t>10</w:t>
      </w:r>
      <w:r w:rsidRPr="006A7C44">
        <w:rPr>
          <w:bCs/>
          <w:vertAlign w:val="superscript"/>
        </w:rPr>
        <w:t>2</w:t>
      </w:r>
      <w:r w:rsidRPr="006A7C44">
        <w:rPr>
          <w:bCs/>
        </w:rPr>
        <w:t>.2. nuo skundžiamo galimo pažeidimo padarymo dienos praėjo daugiau kaip treji metai</w:t>
      </w:r>
      <w:r w:rsidR="006A7C44">
        <w:rPr>
          <w:bCs/>
        </w:rPr>
        <w:t>;</w:t>
      </w:r>
    </w:p>
    <w:p w14:paraId="1DE977C7" w14:textId="77777777" w:rsidR="006A7C44" w:rsidRDefault="003E5437" w:rsidP="006A7C44">
      <w:pPr>
        <w:ind w:firstLine="680"/>
        <w:jc w:val="both"/>
        <w:rPr>
          <w:bCs/>
          <w:shd w:val="clear" w:color="auto" w:fill="FFFFFF"/>
        </w:rPr>
      </w:pPr>
      <w:r w:rsidRPr="006A7C44">
        <w:rPr>
          <w:bCs/>
        </w:rPr>
        <w:t>10</w:t>
      </w:r>
      <w:r w:rsidRPr="006A7C44">
        <w:rPr>
          <w:bCs/>
          <w:vertAlign w:val="superscript"/>
        </w:rPr>
        <w:t>2</w:t>
      </w:r>
      <w:r w:rsidRPr="006A7C44">
        <w:rPr>
          <w:bCs/>
        </w:rPr>
        <w:t xml:space="preserve">.3. skundas pateiktas pakartotinai ir jame nėra nurodyta </w:t>
      </w:r>
      <w:r w:rsidRPr="006A7C44">
        <w:rPr>
          <w:bCs/>
          <w:shd w:val="clear" w:color="auto" w:fill="FFFFFF"/>
        </w:rPr>
        <w:t>naujų faktinių duomenų, leidžiančių abejoti sprendimo dėl ankstesnio skundo pagrįstumu;</w:t>
      </w:r>
    </w:p>
    <w:p w14:paraId="70667EFB" w14:textId="272246FD" w:rsidR="006A7C44" w:rsidRPr="006A7C44" w:rsidRDefault="003E5437" w:rsidP="006A7C44">
      <w:pPr>
        <w:ind w:firstLine="680"/>
        <w:jc w:val="both"/>
        <w:rPr>
          <w:bCs/>
          <w:color w:val="000000"/>
          <w:shd w:val="clear" w:color="auto" w:fill="FFFFFF"/>
        </w:rPr>
      </w:pPr>
      <w:r w:rsidRPr="006A7C44">
        <w:rPr>
          <w:bCs/>
        </w:rPr>
        <w:t>10</w:t>
      </w:r>
      <w:r w:rsidRPr="006A7C44">
        <w:rPr>
          <w:bCs/>
          <w:vertAlign w:val="superscript"/>
        </w:rPr>
        <w:t>2</w:t>
      </w:r>
      <w:r w:rsidRPr="006A7C44">
        <w:rPr>
          <w:bCs/>
        </w:rPr>
        <w:t xml:space="preserve">.4. </w:t>
      </w:r>
      <w:r w:rsidRPr="006A7C44">
        <w:rPr>
          <w:bCs/>
          <w:color w:val="000000"/>
        </w:rPr>
        <w:t>skunde n</w:t>
      </w:r>
      <w:r w:rsidRPr="006A7C44">
        <w:rPr>
          <w:bCs/>
        </w:rPr>
        <w:t>urodytų aplinkybių, susijusių su teismo procesine ar kita veikla, tyrimas pažeistų Lietuvos Respublikos Konstitucijoje ir Lietuvos Respublikos teismų įstatyme įtvirtintą teismų ir teisėjų nepriklausomumo principą;</w:t>
      </w:r>
    </w:p>
    <w:p w14:paraId="24DB8CE4" w14:textId="5B7607EB" w:rsidR="003E5437" w:rsidRPr="006A7C44" w:rsidRDefault="003E5437" w:rsidP="006A7C44">
      <w:pPr>
        <w:ind w:firstLine="680"/>
        <w:jc w:val="both"/>
        <w:rPr>
          <w:bCs/>
        </w:rPr>
      </w:pPr>
      <w:r w:rsidRPr="006A7C44">
        <w:rPr>
          <w:bCs/>
        </w:rPr>
        <w:t>10</w:t>
      </w:r>
      <w:r w:rsidRPr="006A7C44">
        <w:rPr>
          <w:bCs/>
          <w:vertAlign w:val="superscript"/>
        </w:rPr>
        <w:t>2</w:t>
      </w:r>
      <w:r w:rsidRPr="006A7C44">
        <w:rPr>
          <w:bCs/>
        </w:rPr>
        <w:t xml:space="preserve">.5. kai teisėjas, kurio veiksmai skundžiami, </w:t>
      </w:r>
      <w:r w:rsidR="005E10EC">
        <w:rPr>
          <w:bCs/>
        </w:rPr>
        <w:t>netenka įgaliojimų</w:t>
      </w:r>
      <w:r w:rsidRPr="006A7C44">
        <w:rPr>
          <w:bCs/>
        </w:rPr>
        <w:t>.</w:t>
      </w:r>
      <w:r w:rsidRPr="003E5437">
        <w:rPr>
          <w:bCs/>
        </w:rPr>
        <w:t>“</w:t>
      </w:r>
    </w:p>
    <w:p w14:paraId="15B8C7B8" w14:textId="77777777" w:rsidR="003E5437" w:rsidRPr="006A7C44" w:rsidRDefault="003E5437" w:rsidP="006A7C44">
      <w:pPr>
        <w:ind w:firstLine="680"/>
        <w:jc w:val="both"/>
        <w:rPr>
          <w:bCs/>
          <w:szCs w:val="24"/>
          <w:lang w:eastAsia="lt-LT"/>
        </w:rPr>
      </w:pPr>
      <w:r w:rsidRPr="003E5437">
        <w:rPr>
          <w:bCs/>
          <w:szCs w:val="24"/>
          <w:lang w:eastAsia="lt-LT"/>
        </w:rPr>
        <w:t>1</w:t>
      </w:r>
      <w:r w:rsidRPr="006A7C44">
        <w:rPr>
          <w:bCs/>
          <w:szCs w:val="24"/>
          <w:lang w:eastAsia="lt-LT"/>
        </w:rPr>
        <w:t>.5. Papildyti 10</w:t>
      </w:r>
      <w:r w:rsidRPr="006A7C44">
        <w:rPr>
          <w:bCs/>
          <w:szCs w:val="24"/>
          <w:vertAlign w:val="superscript"/>
          <w:lang w:eastAsia="lt-LT"/>
        </w:rPr>
        <w:t xml:space="preserve">3 </w:t>
      </w:r>
      <w:r w:rsidRPr="006A7C44">
        <w:rPr>
          <w:bCs/>
          <w:szCs w:val="24"/>
          <w:lang w:eastAsia="lt-LT"/>
        </w:rPr>
        <w:t>punktu:</w:t>
      </w:r>
    </w:p>
    <w:p w14:paraId="6CD29CDB" w14:textId="77777777" w:rsidR="003E5437" w:rsidRPr="003E5437" w:rsidRDefault="003E5437" w:rsidP="006A7C44">
      <w:pPr>
        <w:ind w:firstLine="680"/>
        <w:jc w:val="both"/>
        <w:rPr>
          <w:bCs/>
          <w:szCs w:val="24"/>
          <w:lang w:eastAsia="lt-LT"/>
        </w:rPr>
      </w:pPr>
      <w:r w:rsidRPr="006A7C44">
        <w:rPr>
          <w:bCs/>
          <w:szCs w:val="24"/>
          <w:lang w:eastAsia="lt-LT"/>
        </w:rPr>
        <w:t>„1</w:t>
      </w:r>
      <w:r w:rsidRPr="006A7C44">
        <w:rPr>
          <w:bCs/>
          <w:szCs w:val="24"/>
        </w:rPr>
        <w:t>0</w:t>
      </w:r>
      <w:r w:rsidRPr="006A7C44">
        <w:rPr>
          <w:bCs/>
          <w:szCs w:val="24"/>
          <w:vertAlign w:val="superscript"/>
        </w:rPr>
        <w:t>3</w:t>
      </w:r>
      <w:r w:rsidRPr="006A7C44">
        <w:rPr>
          <w:bCs/>
          <w:szCs w:val="24"/>
        </w:rPr>
        <w:t>. Atlikdamas išankstinį tyrimą, administravimo subjektas gali:</w:t>
      </w:r>
    </w:p>
    <w:p w14:paraId="66D8748B" w14:textId="77777777" w:rsidR="003E5437" w:rsidRPr="003E5437" w:rsidRDefault="003E5437" w:rsidP="006A7C44">
      <w:pPr>
        <w:ind w:firstLine="680"/>
        <w:jc w:val="both"/>
        <w:rPr>
          <w:bCs/>
          <w:szCs w:val="24"/>
          <w:lang w:eastAsia="lt-LT"/>
        </w:rPr>
      </w:pPr>
      <w:r w:rsidRPr="006A7C44">
        <w:rPr>
          <w:bCs/>
          <w:szCs w:val="24"/>
        </w:rPr>
        <w:t>10</w:t>
      </w:r>
      <w:r w:rsidRPr="006A7C44">
        <w:rPr>
          <w:bCs/>
          <w:szCs w:val="24"/>
          <w:vertAlign w:val="superscript"/>
        </w:rPr>
        <w:t>3</w:t>
      </w:r>
      <w:r w:rsidRPr="006A7C44">
        <w:rPr>
          <w:bCs/>
          <w:szCs w:val="24"/>
        </w:rPr>
        <w:t xml:space="preserve">.1. paprašyti teisėjo ir (arba) teismo darbuotojo ir (arba) skundą pateikusio asmens </w:t>
      </w:r>
      <w:r w:rsidRPr="006A7C44">
        <w:rPr>
          <w:bCs/>
          <w:color w:val="000000"/>
          <w:szCs w:val="24"/>
        </w:rPr>
        <w:t>pateikti</w:t>
      </w:r>
      <w:r w:rsidRPr="006A7C44">
        <w:rPr>
          <w:bCs/>
          <w:szCs w:val="24"/>
        </w:rPr>
        <w:t xml:space="preserve"> papildomus rašytinius paaiškinimus ir (arba) sprendimo priėmimui reikalingą papildomą informaciją ir kitus susijusius su skundu duomenis;</w:t>
      </w:r>
    </w:p>
    <w:p w14:paraId="18FBE36C" w14:textId="77777777" w:rsidR="003E5437" w:rsidRPr="003E5437" w:rsidRDefault="003E5437" w:rsidP="006A7C44">
      <w:pPr>
        <w:ind w:firstLine="680"/>
        <w:jc w:val="both"/>
        <w:rPr>
          <w:bCs/>
          <w:szCs w:val="24"/>
          <w:lang w:eastAsia="lt-LT"/>
        </w:rPr>
      </w:pPr>
      <w:r w:rsidRPr="006A7C44">
        <w:rPr>
          <w:bCs/>
          <w:szCs w:val="24"/>
        </w:rPr>
        <w:t>10</w:t>
      </w:r>
      <w:r w:rsidRPr="006A7C44">
        <w:rPr>
          <w:bCs/>
          <w:szCs w:val="24"/>
          <w:vertAlign w:val="superscript"/>
        </w:rPr>
        <w:t>3</w:t>
      </w:r>
      <w:r w:rsidRPr="006A7C44">
        <w:rPr>
          <w:bCs/>
          <w:szCs w:val="24"/>
        </w:rPr>
        <w:t>.2. kreiptis į kitas valstybės ar savivaldybės institucijas ar įstaigas su prašymu pateikti duomenis, reikalingus išankstiniam tyrimui atlikti;</w:t>
      </w:r>
    </w:p>
    <w:p w14:paraId="1250616E" w14:textId="77777777" w:rsidR="003E5437" w:rsidRPr="006A7C44" w:rsidRDefault="003E5437" w:rsidP="006A7C44">
      <w:pPr>
        <w:ind w:firstLine="680"/>
        <w:jc w:val="both"/>
        <w:rPr>
          <w:bCs/>
          <w:szCs w:val="24"/>
        </w:rPr>
      </w:pPr>
      <w:r w:rsidRPr="006A7C44">
        <w:rPr>
          <w:bCs/>
          <w:szCs w:val="24"/>
        </w:rPr>
        <w:t>10</w:t>
      </w:r>
      <w:r w:rsidRPr="006A7C44">
        <w:rPr>
          <w:bCs/>
          <w:szCs w:val="24"/>
          <w:vertAlign w:val="superscript"/>
        </w:rPr>
        <w:t>3</w:t>
      </w:r>
      <w:r w:rsidRPr="006A7C44">
        <w:rPr>
          <w:bCs/>
          <w:szCs w:val="24"/>
        </w:rPr>
        <w:t>.3. organizuoti susitikimą ir žodžiu išklausyti teisėjo ir (arba) teismo darbuotojo, ir (arba) skundą pateikusio asmens paaiškinimus bei poziciją dėl skunde nurodytų aplinkybių. Jeigu yra poreikis ir techninės galimybės, susitikime gali būti daromas garso įrašas, kuris pridedamas prie išankstinio tyrimo medžiagos</w:t>
      </w:r>
      <w:r w:rsidRPr="003E5437">
        <w:rPr>
          <w:bCs/>
          <w:szCs w:val="24"/>
        </w:rPr>
        <w:t>.</w:t>
      </w:r>
      <w:r w:rsidRPr="006A7C44">
        <w:rPr>
          <w:bCs/>
          <w:szCs w:val="24"/>
        </w:rPr>
        <w:t>“</w:t>
      </w:r>
    </w:p>
    <w:p w14:paraId="30B67F78" w14:textId="77777777" w:rsidR="003E5437" w:rsidRPr="006A7C44" w:rsidRDefault="003E5437" w:rsidP="006A7C44">
      <w:pPr>
        <w:ind w:firstLine="680"/>
        <w:jc w:val="both"/>
        <w:rPr>
          <w:bCs/>
          <w:szCs w:val="24"/>
          <w:lang w:eastAsia="lt-LT"/>
        </w:rPr>
      </w:pPr>
      <w:r w:rsidRPr="006A7C44">
        <w:rPr>
          <w:bCs/>
          <w:szCs w:val="24"/>
        </w:rPr>
        <w:t xml:space="preserve">1.6. </w:t>
      </w:r>
      <w:r w:rsidRPr="006A7C44">
        <w:rPr>
          <w:bCs/>
          <w:szCs w:val="24"/>
          <w:lang w:eastAsia="lt-LT"/>
        </w:rPr>
        <w:t>Pakeisti 11 punktą ir jį išdėstyti taip:</w:t>
      </w:r>
    </w:p>
    <w:p w14:paraId="6444F582" w14:textId="3B072E6B" w:rsidR="003E5437" w:rsidRPr="006A7C44" w:rsidRDefault="003E5437" w:rsidP="006A7C44">
      <w:pPr>
        <w:ind w:firstLine="680"/>
        <w:jc w:val="both"/>
        <w:rPr>
          <w:bCs/>
          <w:color w:val="000000"/>
          <w:szCs w:val="24"/>
        </w:rPr>
      </w:pPr>
      <w:r w:rsidRPr="006A7C44">
        <w:rPr>
          <w:bCs/>
          <w:szCs w:val="24"/>
          <w:lang w:eastAsia="lt-LT"/>
        </w:rPr>
        <w:t>„</w:t>
      </w:r>
      <w:r w:rsidRPr="006A7C44">
        <w:rPr>
          <w:bCs/>
          <w:color w:val="000000"/>
          <w:szCs w:val="24"/>
          <w:shd w:val="clear" w:color="auto" w:fill="FFFFFF"/>
        </w:rPr>
        <w:t>11. Atlikęs išankstinį tyrimą administravimo subjektas m</w:t>
      </w:r>
      <w:r w:rsidRPr="006A7C44">
        <w:rPr>
          <w:bCs/>
          <w:szCs w:val="24"/>
        </w:rPr>
        <w:t xml:space="preserve">otyvuotu sprendimu gali atsisakyti </w:t>
      </w:r>
      <w:r w:rsidRPr="006A7C44">
        <w:rPr>
          <w:bCs/>
          <w:color w:val="000000"/>
          <w:szCs w:val="24"/>
        </w:rPr>
        <w:t>pradėti tikslinį ar kompleksinį patikrinimą šiais atvejais:</w:t>
      </w:r>
    </w:p>
    <w:p w14:paraId="448B710A" w14:textId="5A1AB04A" w:rsidR="003E5437" w:rsidRPr="006A7C44" w:rsidRDefault="003E5437" w:rsidP="006A7C44">
      <w:pPr>
        <w:ind w:firstLine="680"/>
        <w:jc w:val="both"/>
        <w:rPr>
          <w:bCs/>
          <w:color w:val="000000"/>
          <w:szCs w:val="24"/>
          <w:shd w:val="clear" w:color="auto" w:fill="FFFFFF"/>
        </w:rPr>
      </w:pPr>
      <w:r w:rsidRPr="006A7C44">
        <w:rPr>
          <w:bCs/>
          <w:color w:val="000000"/>
          <w:szCs w:val="24"/>
          <w:shd w:val="clear" w:color="auto" w:fill="FFFFFF"/>
        </w:rPr>
        <w:t xml:space="preserve">11.1. kai atlikus išankstinį tyrimą paaiškėja šių Nuostatų </w:t>
      </w:r>
      <w:r w:rsidRPr="006A7C44">
        <w:rPr>
          <w:bCs/>
          <w:szCs w:val="24"/>
        </w:rPr>
        <w:t>10</w:t>
      </w:r>
      <w:r w:rsidR="005E10EC">
        <w:rPr>
          <w:bCs/>
          <w:szCs w:val="24"/>
          <w:vertAlign w:val="superscript"/>
        </w:rPr>
        <w:t>2</w:t>
      </w:r>
      <w:r w:rsidRPr="006A7C44">
        <w:rPr>
          <w:bCs/>
          <w:szCs w:val="24"/>
          <w:vertAlign w:val="superscript"/>
        </w:rPr>
        <w:t xml:space="preserve"> </w:t>
      </w:r>
      <w:r w:rsidRPr="006A7C44">
        <w:rPr>
          <w:bCs/>
          <w:color w:val="000000"/>
          <w:szCs w:val="24"/>
          <w:shd w:val="clear" w:color="auto" w:fill="FFFFFF"/>
        </w:rPr>
        <w:t>punkte nurodytos aplinkybės;</w:t>
      </w:r>
    </w:p>
    <w:p w14:paraId="347C6D4B" w14:textId="77777777" w:rsidR="003E5437" w:rsidRPr="006A7C44" w:rsidRDefault="003E5437" w:rsidP="006A7C44">
      <w:pPr>
        <w:ind w:firstLine="680"/>
        <w:jc w:val="both"/>
        <w:rPr>
          <w:bCs/>
          <w:szCs w:val="24"/>
        </w:rPr>
      </w:pPr>
      <w:r w:rsidRPr="006A7C44">
        <w:rPr>
          <w:bCs/>
          <w:color w:val="000000"/>
          <w:szCs w:val="24"/>
          <w:shd w:val="clear" w:color="auto" w:fill="FFFFFF"/>
        </w:rPr>
        <w:t>11.2. kai išankstinio tyrimo metu nustatoma, kad skunde nurodyti ir tyrimo metu nustatyti veiklos trūkumai ar padarytos klaidos yra ištaisytos;</w:t>
      </w:r>
    </w:p>
    <w:p w14:paraId="247995DD" w14:textId="77777777" w:rsidR="003E5437" w:rsidRPr="006A7C44" w:rsidRDefault="003E5437" w:rsidP="006A7C44">
      <w:pPr>
        <w:ind w:firstLine="680"/>
        <w:jc w:val="both"/>
        <w:rPr>
          <w:bCs/>
          <w:szCs w:val="24"/>
        </w:rPr>
      </w:pPr>
      <w:r w:rsidRPr="006A7C44">
        <w:rPr>
          <w:bCs/>
          <w:color w:val="000000"/>
          <w:szCs w:val="24"/>
          <w:shd w:val="clear" w:color="auto" w:fill="FFFFFF"/>
        </w:rPr>
        <w:t>11.3. jeigu prašoma atlikti tokius veiksmus, kurių administravimo subjektas neturi teisės atlikti;</w:t>
      </w:r>
    </w:p>
    <w:p w14:paraId="6776FAED" w14:textId="77777777" w:rsidR="003E5437" w:rsidRPr="006A7C44" w:rsidRDefault="003E5437" w:rsidP="006A7C44">
      <w:pPr>
        <w:ind w:firstLine="680"/>
        <w:jc w:val="both"/>
        <w:rPr>
          <w:bCs/>
          <w:szCs w:val="24"/>
        </w:rPr>
      </w:pPr>
      <w:r w:rsidRPr="006A7C44">
        <w:rPr>
          <w:bCs/>
          <w:color w:val="000000"/>
          <w:szCs w:val="24"/>
          <w:shd w:val="clear" w:color="auto" w:fill="FFFFFF"/>
        </w:rPr>
        <w:t>11.4. j</w:t>
      </w:r>
      <w:r w:rsidRPr="006A7C44">
        <w:rPr>
          <w:bCs/>
          <w:szCs w:val="24"/>
        </w:rPr>
        <w:t>eigu nenustatyta pažeidimų, galinčių būti administracinės veiklos priežiūros objektu;</w:t>
      </w:r>
    </w:p>
    <w:p w14:paraId="5A85466A" w14:textId="77777777" w:rsidR="003E5437" w:rsidRPr="006A7C44" w:rsidRDefault="003E5437" w:rsidP="006A7C44">
      <w:pPr>
        <w:ind w:firstLine="680"/>
        <w:jc w:val="both"/>
        <w:rPr>
          <w:bCs/>
          <w:szCs w:val="24"/>
        </w:rPr>
      </w:pPr>
      <w:r w:rsidRPr="006A7C44">
        <w:rPr>
          <w:bCs/>
          <w:szCs w:val="24"/>
        </w:rPr>
        <w:t>11.5. jeigu skundas turi būti tiriamas kituose teisės aktuose (Lietuvos Respublikos valstybės tarnybos įstatyme, Lietuvos Respublikos darbo kodekse ir kt.) nustatyta tvarka;</w:t>
      </w:r>
    </w:p>
    <w:p w14:paraId="45EB3510" w14:textId="6F3C02A0" w:rsidR="003E5437" w:rsidRPr="006A7C44" w:rsidRDefault="003E5437" w:rsidP="006A7C44">
      <w:pPr>
        <w:ind w:firstLine="680"/>
        <w:jc w:val="both"/>
        <w:rPr>
          <w:bCs/>
          <w:szCs w:val="24"/>
        </w:rPr>
      </w:pPr>
      <w:r w:rsidRPr="006A7C44">
        <w:rPr>
          <w:bCs/>
          <w:szCs w:val="24"/>
        </w:rPr>
        <w:t>11.6. kitais atvejais, kai nustatytos objektyvios aplinkybės patvirtina, kad</w:t>
      </w:r>
      <w:r w:rsidRPr="006A7C44">
        <w:rPr>
          <w:bCs/>
          <w:color w:val="000000"/>
          <w:szCs w:val="24"/>
        </w:rPr>
        <w:t xml:space="preserve"> tikslinio ar kompleksinio patikrinimo atlikimas nėra tikslingas.</w:t>
      </w:r>
      <w:r w:rsidRPr="003E5437">
        <w:rPr>
          <w:bCs/>
          <w:color w:val="000000"/>
          <w:szCs w:val="24"/>
        </w:rPr>
        <w:t>“</w:t>
      </w:r>
    </w:p>
    <w:p w14:paraId="6B5F7782" w14:textId="52F65325" w:rsidR="003E5437" w:rsidRPr="006A7C44" w:rsidRDefault="003E5437" w:rsidP="006A7C44">
      <w:pPr>
        <w:ind w:firstLine="680"/>
        <w:jc w:val="both"/>
        <w:rPr>
          <w:bCs/>
          <w:szCs w:val="24"/>
        </w:rPr>
      </w:pPr>
      <w:r w:rsidRPr="006A7C44">
        <w:rPr>
          <w:bCs/>
          <w:szCs w:val="24"/>
        </w:rPr>
        <w:t>1.7. Papildyti 21</w:t>
      </w:r>
      <w:r w:rsidRPr="006A7C44">
        <w:rPr>
          <w:bCs/>
          <w:szCs w:val="24"/>
          <w:vertAlign w:val="superscript"/>
        </w:rPr>
        <w:t>1</w:t>
      </w:r>
      <w:r w:rsidRPr="006A7C44">
        <w:rPr>
          <w:bCs/>
          <w:szCs w:val="24"/>
        </w:rPr>
        <w:t xml:space="preserve"> punktu</w:t>
      </w:r>
      <w:r w:rsidR="00E846DE">
        <w:rPr>
          <w:bCs/>
          <w:szCs w:val="24"/>
        </w:rPr>
        <w:t>:</w:t>
      </w:r>
    </w:p>
    <w:p w14:paraId="4878A81E" w14:textId="6586B1A0" w:rsidR="003E5437" w:rsidRPr="006A7C44" w:rsidRDefault="003E5437" w:rsidP="006A7C44">
      <w:pPr>
        <w:ind w:firstLine="680"/>
        <w:jc w:val="both"/>
        <w:rPr>
          <w:bCs/>
          <w:szCs w:val="24"/>
        </w:rPr>
      </w:pPr>
      <w:r w:rsidRPr="006A7C44">
        <w:rPr>
          <w:bCs/>
          <w:szCs w:val="24"/>
        </w:rPr>
        <w:t>„21</w:t>
      </w:r>
      <w:r w:rsidRPr="006A7C44">
        <w:rPr>
          <w:bCs/>
          <w:szCs w:val="24"/>
          <w:vertAlign w:val="superscript"/>
        </w:rPr>
        <w:t>1</w:t>
      </w:r>
      <w:r w:rsidRPr="006A7C44">
        <w:rPr>
          <w:bCs/>
          <w:szCs w:val="24"/>
        </w:rPr>
        <w:t>. Siekdamas užtikrinti bylų nagrinėjimo operatyvumą, proceso ekonomiškumą bei teismų darbo krūvio tolygumą, teismų administracinės veiklos priežiūros subjektas gali imtis šių priemonių:</w:t>
      </w:r>
    </w:p>
    <w:p w14:paraId="57D66455" w14:textId="77777777" w:rsidR="003E5437" w:rsidRPr="006A7C44" w:rsidRDefault="003E5437" w:rsidP="006A7C44">
      <w:pPr>
        <w:ind w:firstLine="680"/>
        <w:jc w:val="both"/>
        <w:rPr>
          <w:bCs/>
          <w:szCs w:val="24"/>
        </w:rPr>
      </w:pPr>
      <w:r w:rsidRPr="006A7C44">
        <w:rPr>
          <w:bCs/>
          <w:szCs w:val="24"/>
        </w:rPr>
        <w:t>21</w:t>
      </w:r>
      <w:r w:rsidRPr="006A7C44">
        <w:rPr>
          <w:bCs/>
          <w:szCs w:val="24"/>
          <w:vertAlign w:val="superscript"/>
        </w:rPr>
        <w:t>1</w:t>
      </w:r>
      <w:r w:rsidRPr="006A7C44">
        <w:rPr>
          <w:bCs/>
          <w:szCs w:val="24"/>
        </w:rPr>
        <w:t>.1. konstatavęs esminį darbo krūvio skirtumą, kas pusmetį vykdo atsitiktine tvarka atrinktų (anksčiausiai teisme gautų ir nepaskirtų) civilinių bylų priskyrimą nagrinėti kitam apylinkės ar apygardos teismui.</w:t>
      </w:r>
    </w:p>
    <w:p w14:paraId="56D3FE20" w14:textId="77777777" w:rsidR="003E5437" w:rsidRPr="006A7C44" w:rsidRDefault="003E5437" w:rsidP="006A7C44">
      <w:pPr>
        <w:ind w:firstLine="680"/>
        <w:jc w:val="both"/>
        <w:rPr>
          <w:bCs/>
          <w:szCs w:val="24"/>
        </w:rPr>
      </w:pPr>
      <w:r w:rsidRPr="006A7C44">
        <w:rPr>
          <w:bCs/>
          <w:szCs w:val="24"/>
        </w:rPr>
        <w:t>Nustatydamas, ar egzistuoja esminis darbo krūvio skirtumas, teismų administracinės veiklos priežiūros subjektas atsižvelgia į šiuos praėjusio pusmečio duomenis:</w:t>
      </w:r>
    </w:p>
    <w:p w14:paraId="1DC8E506" w14:textId="77777777" w:rsidR="003E5437" w:rsidRPr="006A7C44" w:rsidRDefault="003E5437" w:rsidP="006A7C44">
      <w:pPr>
        <w:ind w:firstLine="680"/>
        <w:jc w:val="both"/>
        <w:rPr>
          <w:bCs/>
          <w:szCs w:val="24"/>
        </w:rPr>
      </w:pPr>
      <w:r w:rsidRPr="006A7C44">
        <w:rPr>
          <w:bCs/>
          <w:szCs w:val="24"/>
        </w:rPr>
        <w:t>21</w:t>
      </w:r>
      <w:r w:rsidRPr="006A7C44">
        <w:rPr>
          <w:bCs/>
          <w:szCs w:val="24"/>
          <w:vertAlign w:val="superscript"/>
        </w:rPr>
        <w:t>1</w:t>
      </w:r>
      <w:r w:rsidRPr="006A7C44">
        <w:rPr>
          <w:bCs/>
          <w:szCs w:val="24"/>
        </w:rPr>
        <w:t xml:space="preserve">.1.1. gautų bylų skaičių; </w:t>
      </w:r>
    </w:p>
    <w:p w14:paraId="3F06D106" w14:textId="77777777" w:rsidR="003E5437" w:rsidRPr="006A7C44" w:rsidRDefault="003E5437" w:rsidP="006A7C44">
      <w:pPr>
        <w:ind w:firstLine="680"/>
        <w:jc w:val="both"/>
        <w:rPr>
          <w:bCs/>
          <w:szCs w:val="24"/>
        </w:rPr>
      </w:pPr>
      <w:r w:rsidRPr="006A7C44">
        <w:rPr>
          <w:bCs/>
          <w:szCs w:val="24"/>
        </w:rPr>
        <w:t>21</w:t>
      </w:r>
      <w:r w:rsidRPr="006A7C44">
        <w:rPr>
          <w:bCs/>
          <w:szCs w:val="24"/>
          <w:vertAlign w:val="superscript"/>
        </w:rPr>
        <w:t>1</w:t>
      </w:r>
      <w:r w:rsidRPr="006A7C44">
        <w:rPr>
          <w:bCs/>
          <w:szCs w:val="24"/>
        </w:rPr>
        <w:t xml:space="preserve">.1.2. išnagrinėtų bylų skaičių; </w:t>
      </w:r>
    </w:p>
    <w:p w14:paraId="038DB5B7" w14:textId="77777777" w:rsidR="003E5437" w:rsidRPr="006A7C44" w:rsidRDefault="003E5437" w:rsidP="006A7C44">
      <w:pPr>
        <w:ind w:firstLine="680"/>
        <w:jc w:val="both"/>
        <w:rPr>
          <w:bCs/>
          <w:szCs w:val="24"/>
        </w:rPr>
      </w:pPr>
      <w:r w:rsidRPr="006A7C44">
        <w:rPr>
          <w:bCs/>
          <w:szCs w:val="24"/>
        </w:rPr>
        <w:t>21</w:t>
      </w:r>
      <w:r w:rsidRPr="006A7C44">
        <w:rPr>
          <w:bCs/>
          <w:szCs w:val="24"/>
          <w:vertAlign w:val="superscript"/>
        </w:rPr>
        <w:t>1</w:t>
      </w:r>
      <w:r w:rsidRPr="006A7C44">
        <w:rPr>
          <w:bCs/>
          <w:szCs w:val="24"/>
        </w:rPr>
        <w:t>.1.3. neišnagrinėtų bylų likutį, jo susidarymo priežastis ir vidutinę bylų nagrinėjimo trukmę vertinamo laikotarpio pradžioje ir pabaigoje;</w:t>
      </w:r>
    </w:p>
    <w:p w14:paraId="6E80DB7C" w14:textId="77777777" w:rsidR="003E5437" w:rsidRPr="006A7C44" w:rsidRDefault="003E5437" w:rsidP="006A7C44">
      <w:pPr>
        <w:ind w:firstLine="680"/>
        <w:jc w:val="both"/>
        <w:rPr>
          <w:bCs/>
          <w:szCs w:val="24"/>
        </w:rPr>
      </w:pPr>
      <w:r w:rsidRPr="006A7C44">
        <w:rPr>
          <w:bCs/>
          <w:szCs w:val="24"/>
        </w:rPr>
        <w:t>21</w:t>
      </w:r>
      <w:r w:rsidRPr="006A7C44">
        <w:rPr>
          <w:bCs/>
          <w:szCs w:val="24"/>
          <w:vertAlign w:val="superscript"/>
        </w:rPr>
        <w:t>1</w:t>
      </w:r>
      <w:r w:rsidRPr="006A7C44">
        <w:rPr>
          <w:bCs/>
          <w:szCs w:val="24"/>
        </w:rPr>
        <w:t xml:space="preserve">.1.4. teisėjų, jų padėjėjų skaičių, jo pokytį (dinamiką) nurodytu laikotarpiu; </w:t>
      </w:r>
    </w:p>
    <w:p w14:paraId="6071121D" w14:textId="77777777" w:rsidR="003E5437" w:rsidRPr="006A7C44" w:rsidRDefault="003E5437" w:rsidP="006A7C44">
      <w:pPr>
        <w:ind w:firstLine="680"/>
        <w:jc w:val="both"/>
        <w:rPr>
          <w:bCs/>
          <w:szCs w:val="24"/>
        </w:rPr>
      </w:pPr>
      <w:r w:rsidRPr="006A7C44">
        <w:rPr>
          <w:bCs/>
          <w:szCs w:val="24"/>
        </w:rPr>
        <w:t>21</w:t>
      </w:r>
      <w:r w:rsidRPr="006A7C44">
        <w:rPr>
          <w:bCs/>
          <w:szCs w:val="24"/>
          <w:vertAlign w:val="superscript"/>
        </w:rPr>
        <w:t>1</w:t>
      </w:r>
      <w:r w:rsidRPr="006A7C44">
        <w:rPr>
          <w:bCs/>
          <w:szCs w:val="24"/>
        </w:rPr>
        <w:t>.1.5. teisėjų sumažinto darbo krūvio (dėl teismų administravimo veiklos, dalyvavimo teismų savivaldoje ir kt.), ilgalaikio (trunkančio ilgiau kaip 1 mėn.) laikinojo nedarbingumo, ilgalaikių (trunkančių ilgiau kaip 56 kalendorines dienas) atostogų ir kitus panašius atvejus, turėjusius esminės įtakos teisėjų darbo krūviui nurodytu laikotarpiu;</w:t>
      </w:r>
    </w:p>
    <w:p w14:paraId="6CD0DC4B" w14:textId="77777777" w:rsidR="003E5437" w:rsidRPr="006A7C44" w:rsidRDefault="003E5437" w:rsidP="006A7C44">
      <w:pPr>
        <w:ind w:firstLine="680"/>
        <w:jc w:val="both"/>
        <w:rPr>
          <w:bCs/>
          <w:szCs w:val="24"/>
        </w:rPr>
      </w:pPr>
      <w:r w:rsidRPr="006A7C44">
        <w:rPr>
          <w:bCs/>
          <w:szCs w:val="24"/>
        </w:rPr>
        <w:t>21</w:t>
      </w:r>
      <w:r w:rsidRPr="006A7C44">
        <w:rPr>
          <w:bCs/>
          <w:szCs w:val="24"/>
          <w:vertAlign w:val="superscript"/>
        </w:rPr>
        <w:t>1</w:t>
      </w:r>
      <w:r w:rsidRPr="006A7C44">
        <w:rPr>
          <w:bCs/>
          <w:szCs w:val="24"/>
        </w:rPr>
        <w:t>.1.6. kitas objektyvias aplinkybes, patvirtinančias esminį darbo krūvio skirtumą teismuose.</w:t>
      </w:r>
    </w:p>
    <w:p w14:paraId="23A00975" w14:textId="1F927AB1" w:rsidR="003E5437" w:rsidRPr="006A7C44" w:rsidRDefault="003E5437" w:rsidP="006A7C44">
      <w:pPr>
        <w:ind w:firstLine="680"/>
        <w:jc w:val="both"/>
        <w:rPr>
          <w:bCs/>
          <w:szCs w:val="24"/>
        </w:rPr>
      </w:pPr>
      <w:r w:rsidRPr="006A7C44">
        <w:rPr>
          <w:bCs/>
          <w:szCs w:val="24"/>
        </w:rPr>
        <w:t>21</w:t>
      </w:r>
      <w:r w:rsidRPr="006A7C44">
        <w:rPr>
          <w:bCs/>
          <w:szCs w:val="24"/>
          <w:vertAlign w:val="superscript"/>
        </w:rPr>
        <w:t>1</w:t>
      </w:r>
      <w:r w:rsidRPr="006A7C44">
        <w:rPr>
          <w:bCs/>
          <w:szCs w:val="24"/>
        </w:rPr>
        <w:t>.2. laikydamasis proceso įstatymuose nustatytų reikalavimų periodiškai sprendžia dėl galimybės perduoti bylas iš teismo (arba teismo rūmų), kuriam jos teismingos, kitam teismui (arba teismo rūmams).“</w:t>
      </w:r>
    </w:p>
    <w:p w14:paraId="4D9789AC" w14:textId="77777777" w:rsidR="003E5437" w:rsidRPr="006A7C44" w:rsidRDefault="003E5437" w:rsidP="006A7C44">
      <w:pPr>
        <w:ind w:firstLine="680"/>
        <w:jc w:val="both"/>
        <w:rPr>
          <w:bCs/>
          <w:szCs w:val="24"/>
          <w:lang w:eastAsia="lt-LT"/>
        </w:rPr>
      </w:pPr>
      <w:r w:rsidRPr="003E5437">
        <w:rPr>
          <w:bCs/>
          <w:szCs w:val="24"/>
        </w:rPr>
        <w:t>1.</w:t>
      </w:r>
      <w:r w:rsidRPr="006A7C44">
        <w:rPr>
          <w:bCs/>
          <w:szCs w:val="24"/>
        </w:rPr>
        <w:t xml:space="preserve">8. </w:t>
      </w:r>
      <w:r w:rsidRPr="006A7C44">
        <w:rPr>
          <w:bCs/>
          <w:szCs w:val="24"/>
          <w:lang w:eastAsia="lt-LT"/>
        </w:rPr>
        <w:t>Pakeisti 22.2 papunktį ir jį išdėstyti taip:</w:t>
      </w:r>
    </w:p>
    <w:p w14:paraId="49895FDA" w14:textId="77777777" w:rsidR="003E5437" w:rsidRPr="006A7C44" w:rsidRDefault="003E5437" w:rsidP="006A7C44">
      <w:pPr>
        <w:ind w:firstLine="680"/>
        <w:jc w:val="both"/>
        <w:rPr>
          <w:bCs/>
          <w:szCs w:val="24"/>
          <w:lang w:eastAsia="lt-LT"/>
        </w:rPr>
      </w:pPr>
      <w:r w:rsidRPr="006A7C44">
        <w:rPr>
          <w:bCs/>
          <w:szCs w:val="24"/>
          <w:lang w:eastAsia="lt-LT"/>
        </w:rPr>
        <w:lastRenderedPageBreak/>
        <w:t>„</w:t>
      </w:r>
      <w:r w:rsidRPr="006A7C44">
        <w:rPr>
          <w:rFonts w:eastAsia="Calibri"/>
          <w:bCs/>
          <w:szCs w:val="24"/>
        </w:rPr>
        <w:t>22.2. Planai iki kiekvienų metų</w:t>
      </w:r>
      <w:r w:rsidRPr="006A7C44">
        <w:rPr>
          <w:rFonts w:eastAsia="Calibri"/>
          <w:bCs/>
          <w:color w:val="FF0000"/>
          <w:szCs w:val="24"/>
        </w:rPr>
        <w:t xml:space="preserve"> </w:t>
      </w:r>
      <w:r w:rsidRPr="006A7C44">
        <w:rPr>
          <w:rFonts w:eastAsia="Calibri"/>
          <w:bCs/>
          <w:szCs w:val="24"/>
        </w:rPr>
        <w:t xml:space="preserve">kovo 1 d. perduodami Teisėjų tarybai į Nacionalinės teismų administracijos (toliau – Administracija) </w:t>
      </w:r>
      <w:r w:rsidRPr="003E5437">
        <w:rPr>
          <w:rFonts w:eastAsia="Calibri"/>
          <w:bCs/>
          <w:szCs w:val="24"/>
        </w:rPr>
        <w:t xml:space="preserve">administruojamą specialų registrą </w:t>
      </w:r>
      <w:r w:rsidRPr="006A7C44">
        <w:rPr>
          <w:rFonts w:eastAsia="Calibri"/>
          <w:bCs/>
          <w:szCs w:val="24"/>
        </w:rPr>
        <w:t>bei paskelbiami viešai teismo interneto puslapyje.</w:t>
      </w:r>
      <w:r w:rsidRPr="003E5437">
        <w:rPr>
          <w:bCs/>
          <w:szCs w:val="24"/>
          <w:lang w:eastAsia="lt-LT"/>
        </w:rPr>
        <w:t>“</w:t>
      </w:r>
    </w:p>
    <w:p w14:paraId="362F1C44" w14:textId="77777777" w:rsidR="003E5437" w:rsidRPr="006A7C44" w:rsidRDefault="003E5437" w:rsidP="006A7C44">
      <w:pPr>
        <w:ind w:firstLine="680"/>
        <w:jc w:val="both"/>
        <w:rPr>
          <w:bCs/>
          <w:szCs w:val="24"/>
          <w:lang w:eastAsia="lt-LT"/>
        </w:rPr>
      </w:pPr>
      <w:r w:rsidRPr="006A7C44">
        <w:rPr>
          <w:bCs/>
          <w:szCs w:val="24"/>
        </w:rPr>
        <w:t xml:space="preserve">1.9. </w:t>
      </w:r>
      <w:r w:rsidRPr="006A7C44">
        <w:rPr>
          <w:bCs/>
          <w:szCs w:val="24"/>
          <w:lang w:eastAsia="lt-LT"/>
        </w:rPr>
        <w:t>Pakeisti 23 punktą ir jį išdėstyti taip:</w:t>
      </w:r>
    </w:p>
    <w:p w14:paraId="485C3006" w14:textId="4032C5FD" w:rsidR="003E5437" w:rsidRPr="006A7C44" w:rsidRDefault="003E5437" w:rsidP="006A7C44">
      <w:pPr>
        <w:widowControl w:val="0"/>
        <w:tabs>
          <w:tab w:val="left" w:pos="1134"/>
        </w:tabs>
        <w:ind w:firstLine="680"/>
        <w:jc w:val="both"/>
        <w:rPr>
          <w:rFonts w:eastAsia="Calibri"/>
          <w:bCs/>
          <w:szCs w:val="24"/>
        </w:rPr>
      </w:pPr>
      <w:r w:rsidRPr="006A7C44">
        <w:rPr>
          <w:rFonts w:eastAsia="Calibri"/>
          <w:bCs/>
          <w:szCs w:val="24"/>
        </w:rPr>
        <w:t>„23. Kiekvieno teismo, o kai teismas sudarytas iš teismo rūmų</w:t>
      </w:r>
      <w:r w:rsidR="00BD3BE6">
        <w:rPr>
          <w:rFonts w:eastAsia="Calibri"/>
          <w:bCs/>
          <w:szCs w:val="24"/>
        </w:rPr>
        <w:t xml:space="preserve"> </w:t>
      </w:r>
      <w:r w:rsidRPr="006A7C44">
        <w:rPr>
          <w:rFonts w:eastAsia="Calibri"/>
          <w:bCs/>
          <w:szCs w:val="24"/>
        </w:rPr>
        <w:t>– teismo rūmų planinis kompleksinis administracinės veiklos priežiūros patikrinimas šių nuostatų nustatyta tvarka turi būti atliekamas ne rečiau kaip kartą per 5 metus, tikrinant teismo, o kai teismas sudarytas iš teismo rūmų – teismo rūmų veiklą nuo paskutinio kompleksinio patikrinimo</w:t>
      </w:r>
      <w:r w:rsidRPr="003E5437">
        <w:rPr>
          <w:rFonts w:eastAsia="Calibri"/>
          <w:bCs/>
          <w:szCs w:val="24"/>
        </w:rPr>
        <w:t>.</w:t>
      </w:r>
      <w:r w:rsidRPr="006A7C44">
        <w:rPr>
          <w:bCs/>
          <w:szCs w:val="24"/>
        </w:rPr>
        <w:t>“</w:t>
      </w:r>
    </w:p>
    <w:p w14:paraId="13AB2F6C" w14:textId="77777777" w:rsidR="003E5437" w:rsidRPr="006A7C44" w:rsidRDefault="003E5437" w:rsidP="006A7C44">
      <w:pPr>
        <w:ind w:firstLine="680"/>
        <w:jc w:val="both"/>
        <w:rPr>
          <w:bCs/>
          <w:szCs w:val="24"/>
        </w:rPr>
      </w:pPr>
      <w:r w:rsidRPr="006A7C44">
        <w:rPr>
          <w:bCs/>
          <w:szCs w:val="24"/>
          <w:lang w:eastAsia="lt-LT"/>
        </w:rPr>
        <w:t xml:space="preserve">1.10. </w:t>
      </w:r>
      <w:r w:rsidRPr="006A7C44">
        <w:rPr>
          <w:bCs/>
          <w:szCs w:val="24"/>
        </w:rPr>
        <w:t>Papildyti 30</w:t>
      </w:r>
      <w:r w:rsidRPr="006A7C44">
        <w:rPr>
          <w:bCs/>
          <w:szCs w:val="24"/>
          <w:vertAlign w:val="superscript"/>
        </w:rPr>
        <w:t>1</w:t>
      </w:r>
      <w:r w:rsidRPr="006A7C44">
        <w:rPr>
          <w:bCs/>
          <w:szCs w:val="24"/>
        </w:rPr>
        <w:t xml:space="preserve"> punktu: </w:t>
      </w:r>
    </w:p>
    <w:p w14:paraId="29470286" w14:textId="1F226F00" w:rsidR="003E5437" w:rsidRPr="006A7C44" w:rsidRDefault="003E5437" w:rsidP="006A7C44">
      <w:pPr>
        <w:ind w:firstLine="680"/>
        <w:jc w:val="both"/>
        <w:rPr>
          <w:bCs/>
        </w:rPr>
      </w:pPr>
      <w:r w:rsidRPr="006A7C44">
        <w:rPr>
          <w:bCs/>
          <w:szCs w:val="24"/>
          <w:lang w:eastAsia="lt-LT"/>
        </w:rPr>
        <w:t>„</w:t>
      </w:r>
      <w:r w:rsidRPr="006A7C44">
        <w:rPr>
          <w:bCs/>
          <w:szCs w:val="24"/>
        </w:rPr>
        <w:t>30</w:t>
      </w:r>
      <w:r w:rsidRPr="006A7C44">
        <w:rPr>
          <w:bCs/>
          <w:szCs w:val="24"/>
          <w:vertAlign w:val="superscript"/>
        </w:rPr>
        <w:t>1</w:t>
      </w:r>
      <w:r w:rsidRPr="006A7C44">
        <w:rPr>
          <w:bCs/>
          <w:szCs w:val="24"/>
        </w:rPr>
        <w:t xml:space="preserve">. </w:t>
      </w:r>
      <w:r w:rsidRPr="006A7C44">
        <w:rPr>
          <w:bCs/>
        </w:rPr>
        <w:t xml:space="preserve">Komisijai techniškai aptarnauti ir jos funkcijoms užtikrinti administravimo subjekto rašytiniu sprendimu gali būti paskiriami kiti teismo darbuotojai, kurie nelaikomi komisijos nariais. Šiems darbuotojams gali būti pavedama atlikti </w:t>
      </w:r>
      <w:r w:rsidR="005E10EC">
        <w:rPr>
          <w:bCs/>
        </w:rPr>
        <w:t>įvairius</w:t>
      </w:r>
      <w:r w:rsidR="005E10EC" w:rsidRPr="006A7C44">
        <w:rPr>
          <w:bCs/>
        </w:rPr>
        <w:t xml:space="preserve"> </w:t>
      </w:r>
      <w:r w:rsidRPr="006A7C44">
        <w:rPr>
          <w:bCs/>
        </w:rPr>
        <w:t>techninio pobūdžio veiksmus, nesusijusius su aplinkybių vertinimu, išvadų darymu ir sprendimų priėmimu</w:t>
      </w:r>
      <w:r w:rsidRPr="003E5437">
        <w:rPr>
          <w:bCs/>
        </w:rPr>
        <w:t>.</w:t>
      </w:r>
      <w:r w:rsidRPr="006A7C44">
        <w:rPr>
          <w:bCs/>
        </w:rPr>
        <w:t>“</w:t>
      </w:r>
    </w:p>
    <w:p w14:paraId="2438A2AD" w14:textId="77777777" w:rsidR="003E5437" w:rsidRPr="006A7C44" w:rsidRDefault="003E5437" w:rsidP="006A7C44">
      <w:pPr>
        <w:ind w:firstLine="680"/>
        <w:jc w:val="both"/>
        <w:rPr>
          <w:bCs/>
          <w:szCs w:val="24"/>
          <w:lang w:eastAsia="lt-LT"/>
        </w:rPr>
      </w:pPr>
      <w:r w:rsidRPr="006A7C44">
        <w:rPr>
          <w:bCs/>
          <w:szCs w:val="24"/>
          <w:lang w:eastAsia="lt-LT"/>
        </w:rPr>
        <w:t>1.11. Pakeisti 35 punktą ir jį išdėstyti taip:</w:t>
      </w:r>
    </w:p>
    <w:p w14:paraId="2BC59214" w14:textId="4CF80EC9" w:rsidR="003E5437" w:rsidRDefault="003E5437" w:rsidP="006A7C44">
      <w:pPr>
        <w:ind w:firstLine="680"/>
        <w:jc w:val="both"/>
        <w:rPr>
          <w:bCs/>
          <w:szCs w:val="24"/>
          <w:lang w:eastAsia="lt-LT"/>
        </w:rPr>
      </w:pPr>
      <w:r w:rsidRPr="006A7C44">
        <w:rPr>
          <w:bCs/>
          <w:szCs w:val="24"/>
          <w:lang w:eastAsia="lt-LT"/>
        </w:rPr>
        <w:t>„35. Komisijos narių sudėtis tvirtinama, jos pirmininkas skiriamas Nuostatų 25 punkte nurodytais sprendimais. I</w:t>
      </w:r>
      <w:r w:rsidRPr="003E5437">
        <w:rPr>
          <w:bCs/>
          <w:szCs w:val="24"/>
          <w:lang w:eastAsia="lt-LT"/>
        </w:rPr>
        <w:t xml:space="preserve">nformacija apie sudarytos komisijos sudėtį skelbiama teismo </w:t>
      </w:r>
      <w:r w:rsidRPr="006A7C44">
        <w:rPr>
          <w:bCs/>
          <w:szCs w:val="24"/>
        </w:rPr>
        <w:t xml:space="preserve">internetinėje svetainėje </w:t>
      </w:r>
      <w:r w:rsidRPr="006A7C44">
        <w:rPr>
          <w:bCs/>
          <w:szCs w:val="24"/>
          <w:lang w:eastAsia="lt-LT"/>
        </w:rPr>
        <w:t xml:space="preserve">ir </w:t>
      </w:r>
      <w:r w:rsidRPr="006A7C44">
        <w:rPr>
          <w:bCs/>
          <w:color w:val="0563C1"/>
          <w:szCs w:val="24"/>
          <w:u w:val="single"/>
          <w:lang w:eastAsia="lt-LT"/>
        </w:rPr>
        <w:t>www.teismai.lt</w:t>
      </w:r>
      <w:r w:rsidRPr="006A7C44">
        <w:rPr>
          <w:bCs/>
          <w:szCs w:val="24"/>
          <w:lang w:eastAsia="lt-LT"/>
        </w:rPr>
        <w:t xml:space="preserve"> internetinėje svetainėje. Komisijos nariai supažindinami su įsakymu ar nutarimu, kuriuo patvirtinta komisijos sudėtis, ne vėliau kaip prieš 3 darbo dienas iki neplaninio patikrinimo pradžios ir ne vėliau kaip prieš 1 mėnesį iki planinio patikrinimo pradžios.</w:t>
      </w:r>
      <w:r w:rsidRPr="006A7C44">
        <w:rPr>
          <w:bCs/>
          <w:szCs w:val="24"/>
        </w:rPr>
        <w:t xml:space="preserve"> </w:t>
      </w:r>
      <w:r w:rsidRPr="006A7C44">
        <w:rPr>
          <w:bCs/>
          <w:szCs w:val="24"/>
          <w:lang w:eastAsia="lt-LT"/>
        </w:rPr>
        <w:t xml:space="preserve">Darbo komisijoje metu teisėjui </w:t>
      </w:r>
      <w:r w:rsidRPr="006A7C44">
        <w:rPr>
          <w:bCs/>
          <w:szCs w:val="24"/>
        </w:rPr>
        <w:t>teismo pirmininko sprendimu Teisėjų tarybos nustatyta tvarka</w:t>
      </w:r>
      <w:r w:rsidRPr="003E5437">
        <w:rPr>
          <w:bCs/>
          <w:szCs w:val="24"/>
          <w:lang w:eastAsia="lt-LT"/>
        </w:rPr>
        <w:t xml:space="preserve"> </w:t>
      </w:r>
      <w:r w:rsidRPr="006A7C44">
        <w:rPr>
          <w:bCs/>
          <w:szCs w:val="24"/>
          <w:lang w:eastAsia="lt-LT"/>
        </w:rPr>
        <w:t>gali būti mažinamas darbo krūvis (skiriamų bylų skaičius)</w:t>
      </w:r>
      <w:r w:rsidR="00B14F19">
        <w:rPr>
          <w:bCs/>
          <w:szCs w:val="24"/>
          <w:lang w:eastAsia="lt-LT"/>
        </w:rPr>
        <w:t>.</w:t>
      </w:r>
      <w:r w:rsidR="00977EB9">
        <w:rPr>
          <w:bCs/>
          <w:szCs w:val="24"/>
          <w:lang w:eastAsia="lt-LT"/>
        </w:rPr>
        <w:t>“</w:t>
      </w:r>
      <w:r w:rsidRPr="006A7C44">
        <w:rPr>
          <w:bCs/>
          <w:szCs w:val="24"/>
          <w:lang w:eastAsia="lt-LT"/>
        </w:rPr>
        <w:t xml:space="preserve"> </w:t>
      </w:r>
    </w:p>
    <w:p w14:paraId="493B6290" w14:textId="665E88E8" w:rsidR="005E10EC" w:rsidRPr="006A7C44" w:rsidRDefault="00685513" w:rsidP="005E10EC">
      <w:pPr>
        <w:ind w:firstLine="680"/>
        <w:jc w:val="both"/>
        <w:rPr>
          <w:bCs/>
          <w:szCs w:val="24"/>
          <w:lang w:eastAsia="lt-LT"/>
        </w:rPr>
      </w:pPr>
      <w:bookmarkStart w:id="2" w:name="_Hlk31098718"/>
      <w:r w:rsidRPr="006A7C44">
        <w:rPr>
          <w:bCs/>
          <w:szCs w:val="24"/>
          <w:lang w:eastAsia="lt-LT"/>
        </w:rPr>
        <w:t>1.1</w:t>
      </w:r>
      <w:r>
        <w:rPr>
          <w:bCs/>
          <w:szCs w:val="24"/>
          <w:lang w:eastAsia="lt-LT"/>
        </w:rPr>
        <w:t>2</w:t>
      </w:r>
      <w:r w:rsidRPr="006A7C44">
        <w:rPr>
          <w:bCs/>
          <w:szCs w:val="24"/>
          <w:lang w:eastAsia="lt-LT"/>
        </w:rPr>
        <w:t xml:space="preserve">. </w:t>
      </w:r>
      <w:r w:rsidR="005E10EC" w:rsidRPr="006A7C44">
        <w:rPr>
          <w:bCs/>
          <w:szCs w:val="24"/>
          <w:lang w:eastAsia="lt-LT"/>
        </w:rPr>
        <w:t>Pakeisti 3</w:t>
      </w:r>
      <w:r w:rsidR="005E10EC">
        <w:rPr>
          <w:bCs/>
          <w:szCs w:val="24"/>
          <w:lang w:eastAsia="lt-LT"/>
        </w:rPr>
        <w:t>6</w:t>
      </w:r>
      <w:r w:rsidR="005E10EC" w:rsidRPr="006A7C44">
        <w:rPr>
          <w:bCs/>
          <w:szCs w:val="24"/>
          <w:lang w:eastAsia="lt-LT"/>
        </w:rPr>
        <w:t xml:space="preserve"> punktą ir jį išdėstyti taip:</w:t>
      </w:r>
    </w:p>
    <w:p w14:paraId="1E6C1FD3" w14:textId="4167D2F3" w:rsidR="005E10EC" w:rsidRPr="000F10E1" w:rsidRDefault="005E10EC" w:rsidP="005E10EC">
      <w:pPr>
        <w:ind w:firstLine="709"/>
        <w:jc w:val="both"/>
        <w:rPr>
          <w:szCs w:val="24"/>
        </w:rPr>
      </w:pPr>
      <w:r>
        <w:rPr>
          <w:szCs w:val="24"/>
        </w:rPr>
        <w:t>„</w:t>
      </w:r>
      <w:r w:rsidRPr="000F10E1">
        <w:rPr>
          <w:szCs w:val="24"/>
        </w:rPr>
        <w:t xml:space="preserve">36. Asmenys, nesutinkantys su administravimo subjekto, priėmusio sprendimą dėl patikrinimo organizavimo, sprendimu (nutarimu, įsakymu) dėl patikrinimo išvadų ir jų įgyvendinimo, turi teisę pateikti skundą per 20 darbo dienų nuo sprendimo (nutarimo, įsakymo) gavimo dienos. Skundas paduodamas Teisėjų tarybai. </w:t>
      </w:r>
    </w:p>
    <w:p w14:paraId="350DB293" w14:textId="7B2F7FF9" w:rsidR="005E10EC" w:rsidRPr="000F10E1" w:rsidRDefault="005E10EC" w:rsidP="005E10EC">
      <w:pPr>
        <w:ind w:firstLine="709"/>
        <w:jc w:val="both"/>
        <w:rPr>
          <w:szCs w:val="24"/>
        </w:rPr>
      </w:pPr>
      <w:r w:rsidRPr="000F10E1">
        <w:rPr>
          <w:szCs w:val="24"/>
        </w:rPr>
        <w:t xml:space="preserve">Teisėjų taryba per </w:t>
      </w:r>
      <w:r>
        <w:rPr>
          <w:szCs w:val="24"/>
        </w:rPr>
        <w:t>3</w:t>
      </w:r>
      <w:r w:rsidRPr="000F10E1">
        <w:rPr>
          <w:szCs w:val="24"/>
        </w:rPr>
        <w:t xml:space="preserve"> mėnesius nuo skundo gavimo priima motyvuotą sprendimą. Teisėjų taryba, išnagrinėjusi skundą, turi teisę:</w:t>
      </w:r>
    </w:p>
    <w:p w14:paraId="698891D5" w14:textId="77777777" w:rsidR="005E10EC" w:rsidRPr="000F10E1" w:rsidRDefault="005E10EC" w:rsidP="005E10EC">
      <w:pPr>
        <w:ind w:firstLine="709"/>
        <w:jc w:val="both"/>
        <w:rPr>
          <w:szCs w:val="24"/>
        </w:rPr>
      </w:pPr>
      <w:r w:rsidRPr="000F10E1">
        <w:rPr>
          <w:szCs w:val="24"/>
        </w:rPr>
        <w:t>36.1. administravimo subjekto priimtą sprendimą (nutarimą, įsakymą) palikti nepakeistą ir skundą atmesti;</w:t>
      </w:r>
    </w:p>
    <w:p w14:paraId="374F8FD1" w14:textId="77777777" w:rsidR="005E10EC" w:rsidRDefault="005E10EC" w:rsidP="005E10EC">
      <w:pPr>
        <w:ind w:firstLine="709"/>
        <w:jc w:val="both"/>
        <w:rPr>
          <w:szCs w:val="24"/>
        </w:rPr>
      </w:pPr>
      <w:r w:rsidRPr="000F10E1">
        <w:rPr>
          <w:szCs w:val="24"/>
        </w:rPr>
        <w:t>36.2. pavesti administravimo subjektui, priėmusiam sprendimą dėl patikrinimo atlikimo, atlikti naują patikrinimą</w:t>
      </w:r>
      <w:r>
        <w:rPr>
          <w:szCs w:val="24"/>
        </w:rPr>
        <w:t>;</w:t>
      </w:r>
    </w:p>
    <w:p w14:paraId="024D0CF0" w14:textId="62154F02" w:rsidR="005E10EC" w:rsidRPr="005E10EC" w:rsidRDefault="005E10EC" w:rsidP="005E10EC">
      <w:pPr>
        <w:ind w:firstLine="680"/>
        <w:jc w:val="both"/>
        <w:rPr>
          <w:bCs/>
          <w:szCs w:val="24"/>
        </w:rPr>
      </w:pPr>
      <w:r w:rsidRPr="005E10EC">
        <w:rPr>
          <w:bCs/>
          <w:szCs w:val="24"/>
        </w:rPr>
        <w:t>36.3. išspręsti ginčą kitu būdu.</w:t>
      </w:r>
      <w:r>
        <w:rPr>
          <w:bCs/>
          <w:szCs w:val="24"/>
        </w:rPr>
        <w:t>“</w:t>
      </w:r>
    </w:p>
    <w:bookmarkEnd w:id="2"/>
    <w:p w14:paraId="5581CAD4" w14:textId="77777777" w:rsidR="003E5437" w:rsidRPr="006A7C44" w:rsidRDefault="003E5437" w:rsidP="006A7C44">
      <w:pPr>
        <w:ind w:firstLine="680"/>
        <w:jc w:val="both"/>
        <w:rPr>
          <w:bCs/>
          <w:szCs w:val="24"/>
        </w:rPr>
      </w:pPr>
      <w:r w:rsidRPr="006A7C44">
        <w:rPr>
          <w:bCs/>
          <w:szCs w:val="24"/>
        </w:rPr>
        <w:t>2. Pakeisti Gaires teismų vidinį bei išorinį administravimą vykdantiems subjektams, patvirtintas Teisėjų tarybos 2015 m. gruodžio 18 d. nutarimu Nr. 13P-157-(7.1.2) „Dėl Administravimo teismuose nuostatų patvirtinimo“:</w:t>
      </w:r>
    </w:p>
    <w:p w14:paraId="6F4EFE61" w14:textId="77777777" w:rsidR="003E5437" w:rsidRPr="006A7C44" w:rsidRDefault="003E5437" w:rsidP="006A7C44">
      <w:pPr>
        <w:ind w:firstLine="680"/>
        <w:jc w:val="both"/>
        <w:rPr>
          <w:bCs/>
          <w:szCs w:val="24"/>
        </w:rPr>
      </w:pPr>
      <w:r w:rsidRPr="006A7C44">
        <w:rPr>
          <w:bCs/>
          <w:szCs w:val="24"/>
        </w:rPr>
        <w:t>2.1. Papildyti preambulę antrąja pastraipa:</w:t>
      </w:r>
    </w:p>
    <w:p w14:paraId="4481C780" w14:textId="77777777" w:rsidR="003E5437" w:rsidRPr="003E5437" w:rsidRDefault="003E5437" w:rsidP="006A7C44">
      <w:pPr>
        <w:ind w:firstLine="680"/>
        <w:jc w:val="both"/>
        <w:rPr>
          <w:bCs/>
          <w:szCs w:val="24"/>
        </w:rPr>
      </w:pPr>
      <w:r w:rsidRPr="006A7C44">
        <w:rPr>
          <w:bCs/>
          <w:szCs w:val="24"/>
        </w:rPr>
        <w:t>„P</w:t>
      </w:r>
      <w:r w:rsidRPr="006A7C44">
        <w:rPr>
          <w:rFonts w:eastAsia="TimesNewRomanPSMT"/>
          <w:bCs/>
          <w:szCs w:val="24"/>
        </w:rPr>
        <w:t>asirinkdami būdus ir priemones, nustatydami patikrinimų kriterijus ar atlikdami kitus administravimo veiksmus teismų vidinį bei išorinį administravimą vykdantys subjektai neturėtų siekti konkretaus teisėjo veiklos vertinimo, išskyrus tuos atvejus, kai patikrinimas atliekamas gauto skundo dėl konkretaus teisėjo pagrindu.“</w:t>
      </w:r>
    </w:p>
    <w:p w14:paraId="41CF4182" w14:textId="77777777" w:rsidR="003E5437" w:rsidRPr="006A7C44" w:rsidRDefault="003E5437" w:rsidP="006A7C44">
      <w:pPr>
        <w:ind w:firstLine="680"/>
        <w:jc w:val="both"/>
        <w:rPr>
          <w:bCs/>
          <w:szCs w:val="24"/>
        </w:rPr>
      </w:pPr>
      <w:r w:rsidRPr="006A7C44">
        <w:rPr>
          <w:bCs/>
          <w:szCs w:val="24"/>
        </w:rPr>
        <w:t>2.2. Pakeisti I skyriaus 3.10 papunktį ir jį išdėstyti taip:</w:t>
      </w:r>
    </w:p>
    <w:p w14:paraId="4710E10F" w14:textId="77777777" w:rsidR="003E5437" w:rsidRPr="006A7C44" w:rsidRDefault="003E5437" w:rsidP="006A7C44">
      <w:pPr>
        <w:ind w:firstLine="680"/>
        <w:jc w:val="both"/>
        <w:rPr>
          <w:bCs/>
          <w:szCs w:val="24"/>
        </w:rPr>
      </w:pPr>
      <w:r w:rsidRPr="006A7C44">
        <w:rPr>
          <w:bCs/>
          <w:szCs w:val="24"/>
        </w:rPr>
        <w:t>„3.10. Baudžiamųjų bylų paskirstymo tvarkos laikymasis (ar bylas išnagrinėja tie teisėjai, kurie buvo paskirti naudojantis LITEKO bylų skirstymo moduliu, bylų paskirtų rankiniu būdu priežastys, termino nuo bylos gavimo teisme iki teisėjo paskyrimo įvertinimas,</w:t>
      </w:r>
      <w:r w:rsidRPr="003E5437">
        <w:rPr>
          <w:bCs/>
          <w:szCs w:val="24"/>
        </w:rPr>
        <w:t xml:space="preserve"> </w:t>
      </w:r>
      <w:r w:rsidRPr="006A7C44">
        <w:rPr>
          <w:bCs/>
          <w:szCs w:val="24"/>
        </w:rPr>
        <w:t>teisėjo panaikinimo (pašalinimo) iš bylos kortelės, požymio ,,Privalo nagrinėti“, priežasties ,,Dėl krūvio išlyginimo“ naudojimo atvejai, teisėjų atmetimo (neskyrimo) priežastys, patvirtintų kolegijų narių pakeitimo atvejai, bylų skyrimo nagrinėti skubos tvarka pagrindai, teisėjui priskirtų nagrinėjamų bylų tipo ir specializacijas pakeitimo atvejai</w:t>
      </w:r>
      <w:r w:rsidRPr="003E5437">
        <w:rPr>
          <w:bCs/>
          <w:szCs w:val="24"/>
        </w:rPr>
        <w:t xml:space="preserve"> </w:t>
      </w:r>
      <w:r w:rsidRPr="006A7C44">
        <w:rPr>
          <w:bCs/>
          <w:szCs w:val="24"/>
        </w:rPr>
        <w:t>ir pagrindai, duomenų apie teisėjo teisėto nebuvimo darbe laikotarpių, komandiruotės laikotarpių, kt. tikrumas ir pagrįstumas, teisme taikomos darbo krūvio išlyginimo teisėjams praktikos, jos pagrįstumo ir formalizavimo, bylų skaičiaus ir (arba) jų sudėtingumo apskaičiavimo dokumentavimo ir atitikties realiai situacijai bylos paskirstymo momentu analizė, teisėjų atmetimo priežasčių, susijusių su posėdžių teismuose planavimu, įvertinimas);“</w:t>
      </w:r>
      <w:r w:rsidRPr="003E5437">
        <w:rPr>
          <w:bCs/>
          <w:szCs w:val="24"/>
        </w:rPr>
        <w:t>.</w:t>
      </w:r>
    </w:p>
    <w:p w14:paraId="0EC09246" w14:textId="77777777" w:rsidR="00C96E5B" w:rsidRPr="006A7C44" w:rsidRDefault="003E5437" w:rsidP="00C96E5B">
      <w:pPr>
        <w:ind w:firstLine="680"/>
        <w:jc w:val="both"/>
        <w:rPr>
          <w:bCs/>
          <w:szCs w:val="24"/>
          <w:lang w:eastAsia="lt-LT"/>
        </w:rPr>
      </w:pPr>
      <w:r w:rsidRPr="003E5437">
        <w:rPr>
          <w:bCs/>
          <w:szCs w:val="24"/>
        </w:rPr>
        <w:lastRenderedPageBreak/>
        <w:t>2.</w:t>
      </w:r>
      <w:r w:rsidRPr="006A7C44">
        <w:rPr>
          <w:bCs/>
          <w:szCs w:val="24"/>
        </w:rPr>
        <w:t>3.</w:t>
      </w:r>
      <w:r w:rsidR="00C96E5B">
        <w:rPr>
          <w:bCs/>
          <w:szCs w:val="24"/>
        </w:rPr>
        <w:t xml:space="preserve"> Pakeisti II skyriaus 1.12 papunktį ir jį </w:t>
      </w:r>
      <w:r w:rsidR="00C96E5B" w:rsidRPr="006A7C44">
        <w:rPr>
          <w:bCs/>
          <w:szCs w:val="24"/>
          <w:lang w:eastAsia="lt-LT"/>
        </w:rPr>
        <w:t>išdėstyti taip:</w:t>
      </w:r>
    </w:p>
    <w:p w14:paraId="610C27ED" w14:textId="18B56184" w:rsidR="00C96E5B" w:rsidRPr="00C96E5B" w:rsidRDefault="00C96E5B" w:rsidP="00C96E5B">
      <w:pPr>
        <w:ind w:firstLine="680"/>
        <w:jc w:val="both"/>
        <w:rPr>
          <w:bCs/>
          <w:szCs w:val="24"/>
        </w:rPr>
      </w:pPr>
      <w:r>
        <w:rPr>
          <w:bCs/>
          <w:szCs w:val="24"/>
        </w:rPr>
        <w:t>„1.12. B</w:t>
      </w:r>
      <w:r w:rsidRPr="00C96E5B">
        <w:rPr>
          <w:lang w:eastAsia="lt-LT"/>
        </w:rPr>
        <w:t>yl</w:t>
      </w:r>
      <w:r>
        <w:rPr>
          <w:lang w:eastAsia="lt-LT"/>
        </w:rPr>
        <w:t>ų</w:t>
      </w:r>
      <w:r w:rsidRPr="00C96E5B">
        <w:rPr>
          <w:lang w:eastAsia="lt-LT"/>
        </w:rPr>
        <w:t xml:space="preserve"> pagal apeliacinius skundus nagrinėjimo apygardų teismuose terminų kontrolė</w:t>
      </w:r>
      <w:r>
        <w:rPr>
          <w:lang w:eastAsia="lt-LT"/>
        </w:rPr>
        <w:t xml:space="preserve">: </w:t>
      </w:r>
      <w:r w:rsidRPr="00C96E5B">
        <w:rPr>
          <w:lang w:eastAsia="lt-LT"/>
        </w:rPr>
        <w:t>termino nuo bylos gavimo teisme iki teisėjo paskyrimo įvertinimas, apeliacinio skundo nagrinėjimo trukmė</w:t>
      </w:r>
      <w:r>
        <w:rPr>
          <w:lang w:eastAsia="lt-LT"/>
        </w:rPr>
        <w:t xml:space="preserve"> ir </w:t>
      </w:r>
      <w:r w:rsidR="000B2316">
        <w:rPr>
          <w:lang w:eastAsia="lt-LT"/>
        </w:rPr>
        <w:t>kt</w:t>
      </w:r>
      <w:r>
        <w:rPr>
          <w:lang w:eastAsia="lt-LT"/>
        </w:rPr>
        <w:t>.</w:t>
      </w:r>
      <w:r w:rsidR="005D3754">
        <w:rPr>
          <w:lang w:eastAsia="lt-LT"/>
        </w:rPr>
        <w:t>;</w:t>
      </w:r>
      <w:r>
        <w:rPr>
          <w:lang w:eastAsia="lt-LT"/>
        </w:rPr>
        <w:t>“</w:t>
      </w:r>
      <w:r w:rsidR="005D3754">
        <w:rPr>
          <w:lang w:eastAsia="lt-LT"/>
        </w:rPr>
        <w:t>.</w:t>
      </w:r>
    </w:p>
    <w:p w14:paraId="1B20DB95" w14:textId="014003F8" w:rsidR="00C96E5B" w:rsidRDefault="00C96E5B" w:rsidP="006A7C44">
      <w:pPr>
        <w:ind w:firstLine="680"/>
        <w:jc w:val="both"/>
        <w:rPr>
          <w:bCs/>
          <w:szCs w:val="24"/>
        </w:rPr>
      </w:pPr>
      <w:r>
        <w:rPr>
          <w:bCs/>
          <w:szCs w:val="24"/>
        </w:rPr>
        <w:t xml:space="preserve">2.4. </w:t>
      </w:r>
      <w:r w:rsidRPr="00FD1CB2">
        <w:rPr>
          <w:bCs/>
          <w:szCs w:val="24"/>
        </w:rPr>
        <w:t xml:space="preserve">Buvusį </w:t>
      </w:r>
      <w:r>
        <w:rPr>
          <w:bCs/>
          <w:szCs w:val="24"/>
        </w:rPr>
        <w:t xml:space="preserve">II skyriaus 1.12 papunktį </w:t>
      </w:r>
      <w:r w:rsidRPr="00FD1CB2">
        <w:rPr>
          <w:bCs/>
          <w:szCs w:val="24"/>
        </w:rPr>
        <w:t xml:space="preserve">laikyti </w:t>
      </w:r>
      <w:r>
        <w:rPr>
          <w:bCs/>
          <w:szCs w:val="24"/>
        </w:rPr>
        <w:t>1</w:t>
      </w:r>
      <w:r w:rsidRPr="00FD1CB2">
        <w:rPr>
          <w:bCs/>
          <w:szCs w:val="24"/>
        </w:rPr>
        <w:t>.1</w:t>
      </w:r>
      <w:r>
        <w:rPr>
          <w:bCs/>
          <w:szCs w:val="24"/>
        </w:rPr>
        <w:t>3</w:t>
      </w:r>
      <w:r w:rsidRPr="00FD1CB2">
        <w:rPr>
          <w:bCs/>
          <w:szCs w:val="24"/>
        </w:rPr>
        <w:t xml:space="preserve"> papunkčiu</w:t>
      </w:r>
      <w:r>
        <w:rPr>
          <w:bCs/>
          <w:szCs w:val="24"/>
        </w:rPr>
        <w:t>.</w:t>
      </w:r>
    </w:p>
    <w:p w14:paraId="6D96C534" w14:textId="6E65C734" w:rsidR="003E5437" w:rsidRPr="006A7C44" w:rsidRDefault="00C96E5B" w:rsidP="006A7C44">
      <w:pPr>
        <w:ind w:firstLine="680"/>
        <w:jc w:val="both"/>
        <w:rPr>
          <w:bCs/>
          <w:szCs w:val="24"/>
        </w:rPr>
      </w:pPr>
      <w:r>
        <w:rPr>
          <w:bCs/>
          <w:szCs w:val="24"/>
        </w:rPr>
        <w:t>2.5.</w:t>
      </w:r>
      <w:r w:rsidR="003E5437" w:rsidRPr="006A7C44">
        <w:rPr>
          <w:bCs/>
          <w:szCs w:val="24"/>
        </w:rPr>
        <w:t xml:space="preserve"> Pakeisti II skyriaus 3.10 papunktį ir jį išdėstyti taip:</w:t>
      </w:r>
    </w:p>
    <w:p w14:paraId="4C18440A" w14:textId="77777777" w:rsidR="003E5437" w:rsidRPr="006A7C44" w:rsidRDefault="003E5437" w:rsidP="006A7C44">
      <w:pPr>
        <w:ind w:firstLine="680"/>
        <w:jc w:val="both"/>
        <w:rPr>
          <w:bCs/>
          <w:szCs w:val="24"/>
        </w:rPr>
      </w:pPr>
      <w:r w:rsidRPr="006A7C44">
        <w:rPr>
          <w:bCs/>
          <w:szCs w:val="24"/>
        </w:rPr>
        <w:t>„3.10. Civilinių bylų paskirstymo tvarkos laikymasis (ar bylas išnagrinėja tie teisėjai, kurie buvo paskirti naudojantis LITEKO bylų skirstymo moduliu, bylų paskirtų rankiniu būdu priežastys, termino nuo bylos gavimo teisme iki teisėjo paskyrimo įvertinimas,</w:t>
      </w:r>
      <w:r w:rsidRPr="003E5437">
        <w:rPr>
          <w:bCs/>
          <w:szCs w:val="24"/>
        </w:rPr>
        <w:t xml:space="preserve"> </w:t>
      </w:r>
      <w:r w:rsidRPr="006A7C44">
        <w:rPr>
          <w:bCs/>
          <w:szCs w:val="24"/>
        </w:rPr>
        <w:t>teisėjo panaikinimo (pašalinimo) iš bylos kortelės, požymio ,,Privalo nagrinėti“, priežasties ,,Dėl krūvio išlyginimo“ naudojimo atvejai, teisėjų atmetimo (neskyrimo) priežastys, patvirtintų kolegijų narių pakeitimo atvejai, bylų skyrimo nagrinėti skubos tvarka pagrindai, teisėjui priskirtų nagrinėjamų bylų tipo ir specializacijas pakeitimo atvejai ir pagrindai, duomenų apie teisėjo teisėto nebuvimo darbe laikotarpių, komandiruotės laikotarpių, kt. tikrumas ir pagrįstumas, teisme taikomos darbo krūvio išlyginimo teisėjams praktikos, jos pagrįstumo ir formalizavimo, bylų skaičiaus ir (arba) jų sudėtingumo apskaičiavimo dokumentavimo ir atitikties realiai situacijai bylos paskirstymo momentu analizė, teisėjų atmetimo priežasčių, susijusių su posėdžių teismuose planavimu, įvertinimas);“</w:t>
      </w:r>
      <w:r w:rsidRPr="003E5437">
        <w:rPr>
          <w:bCs/>
          <w:szCs w:val="24"/>
        </w:rPr>
        <w:t>.</w:t>
      </w:r>
    </w:p>
    <w:p w14:paraId="59F7200E" w14:textId="6D376E19" w:rsidR="003E5437" w:rsidRPr="006A7C44" w:rsidRDefault="003E5437" w:rsidP="006A7C44">
      <w:pPr>
        <w:ind w:firstLine="680"/>
        <w:jc w:val="both"/>
        <w:rPr>
          <w:bCs/>
          <w:szCs w:val="24"/>
        </w:rPr>
      </w:pPr>
      <w:r w:rsidRPr="003E5437">
        <w:rPr>
          <w:bCs/>
          <w:szCs w:val="24"/>
        </w:rPr>
        <w:t>2.</w:t>
      </w:r>
      <w:r w:rsidR="00C96E5B">
        <w:rPr>
          <w:bCs/>
          <w:szCs w:val="24"/>
        </w:rPr>
        <w:t>6</w:t>
      </w:r>
      <w:r w:rsidRPr="006A7C44">
        <w:rPr>
          <w:bCs/>
          <w:szCs w:val="24"/>
        </w:rPr>
        <w:t>. Pakeisti III skyriaus 3.10 papunktį ir jį išdėstyti taip:</w:t>
      </w:r>
    </w:p>
    <w:p w14:paraId="78958C8E" w14:textId="77777777" w:rsidR="003E5437" w:rsidRPr="006A7C44" w:rsidRDefault="003E5437" w:rsidP="006A7C44">
      <w:pPr>
        <w:ind w:firstLine="680"/>
        <w:jc w:val="both"/>
        <w:rPr>
          <w:bCs/>
          <w:szCs w:val="24"/>
        </w:rPr>
      </w:pPr>
      <w:r w:rsidRPr="006A7C44">
        <w:rPr>
          <w:bCs/>
          <w:szCs w:val="24"/>
        </w:rPr>
        <w:t>„3.10. ATP ar AN bylų paskirstymo tvarkos laikymasis (ar bylas išnagrinėja tie teisėjai, kurie buvo paskirti naudojantis LITEKO bylų skirstymo moduliu, bylų paskirtų rankiniu būdu priežastys, termino nuo bylos gavimo teisme iki teisėjo paskyrimo įvertinimas,</w:t>
      </w:r>
      <w:r w:rsidRPr="003E5437">
        <w:rPr>
          <w:bCs/>
          <w:szCs w:val="24"/>
        </w:rPr>
        <w:t xml:space="preserve"> </w:t>
      </w:r>
      <w:r w:rsidRPr="006A7C44">
        <w:rPr>
          <w:bCs/>
          <w:szCs w:val="24"/>
        </w:rPr>
        <w:t>teisėjo panaikinimo (pašalinimo) iš bylos kortelės, požymio ,,Privalo nagrinėti“, priežasties ,,Dėl krūvio išlyginimo“ naudojimo atvejai, teisėjų atmetimo (neskyrimo) priežastys, patvirtintų kolegijų narių pakeitimo atvejai, bylų skyrimo nagrinėti skubos tvarka pagrindai, teisėjui priskirtų nagrinėjamų bylų tipo ir specializacijas pakeitimo atvejai ir pagrindai, duomenų apie teisėjo teisėto nebuvimo darbe laikotarpių, komandiruotės laikotarpių, kt. tikrumas ir pagrįstumas, teisme taikomos darbo krūvio išlyginimo teisėjams praktikos, jos pagrįstumo ir formalizavimo, bylų skaičiaus ir (arba) jų sudėtingumo apskaičiavimo dokumentavimo ir atitikties realiai situacijai bylos paskirstymo momentu analizė, teisėjų atmetimo priežasčių, susijusių su posėdžių teismuose planavimu, įvertinimas);</w:t>
      </w:r>
      <w:r w:rsidRPr="003E5437">
        <w:rPr>
          <w:bCs/>
          <w:szCs w:val="24"/>
        </w:rPr>
        <w:t>“.</w:t>
      </w:r>
    </w:p>
    <w:p w14:paraId="1C3E0AC4" w14:textId="028794C5" w:rsidR="003E5437" w:rsidRPr="006A7C44" w:rsidRDefault="003E5437" w:rsidP="006A7C44">
      <w:pPr>
        <w:ind w:firstLine="680"/>
        <w:jc w:val="both"/>
        <w:rPr>
          <w:bCs/>
          <w:szCs w:val="24"/>
        </w:rPr>
      </w:pPr>
      <w:r w:rsidRPr="003E5437">
        <w:rPr>
          <w:bCs/>
          <w:szCs w:val="24"/>
        </w:rPr>
        <w:t>2.</w:t>
      </w:r>
      <w:r w:rsidR="00C96E5B">
        <w:rPr>
          <w:bCs/>
          <w:szCs w:val="24"/>
        </w:rPr>
        <w:t>7</w:t>
      </w:r>
      <w:r w:rsidRPr="006A7C44">
        <w:rPr>
          <w:bCs/>
          <w:szCs w:val="24"/>
        </w:rPr>
        <w:t>. Pakeisti IV skyriaus 3.10 papunktį ir jį išdėstyti taip:</w:t>
      </w:r>
    </w:p>
    <w:p w14:paraId="132FB954" w14:textId="77777777" w:rsidR="003E5437" w:rsidRPr="006A7C44" w:rsidRDefault="003E5437" w:rsidP="006A7C44">
      <w:pPr>
        <w:ind w:firstLine="680"/>
        <w:jc w:val="both"/>
        <w:rPr>
          <w:bCs/>
          <w:szCs w:val="24"/>
        </w:rPr>
      </w:pPr>
      <w:r w:rsidRPr="006A7C44">
        <w:rPr>
          <w:bCs/>
          <w:szCs w:val="24"/>
        </w:rPr>
        <w:t>„3.10. Administracinių ginčo bylų paskirstymo tvarkos laikymasis (ar bylas išnagrinėja tie teisėjai, kurie buvo paskirti naudojantis LITEKO bylų skirstymo moduliu, bylų paskyrimo rankiniu būdu priežastys, termino nuo bylos gavimo teisme iki teisėjo paskyrimo įvertinimas,</w:t>
      </w:r>
      <w:r w:rsidRPr="003E5437">
        <w:rPr>
          <w:bCs/>
          <w:szCs w:val="24"/>
        </w:rPr>
        <w:t xml:space="preserve"> </w:t>
      </w:r>
      <w:r w:rsidRPr="006A7C44">
        <w:rPr>
          <w:bCs/>
          <w:szCs w:val="24"/>
        </w:rPr>
        <w:t>teisėjo panaikinimo (pašalinimo) iš bylos kortelės, požymio ,,Privalo nagrinėti“, priežasties ,,Dėl krūvio išlyginimo“ naudojimo atvejai, teisėjų atmetimo (neskyrimo) priežastys, patvirtintų kolegijų narių pakeitimo atvejai, bylų skyrimo nagrinėti skubos tvarka pagrindai, teisėjui priskirtų nagrinėjamų bylų tipo ir specializacijas pakeitimo atvejai ir pagrindai, duomenų apie teisėjo teisėto nebuvimo darbe laikotarpių, komandiruotės laikotarpių, kt. tikrumas ir pagrįstumas, teisme taikomos darbo krūvio išlyginimo teisėjams praktikos, jos pagrįstumo ir formalizavimo, bylų skaičiaus ir (arba) jų sudėtingumo apskaičiavimo dokumentavimo ir atitikties realiai situacijai bylos paskirstymo momentu analizė, teisėjų atmetimo priežasčių, susijusių su posėdžių teismuose planavimu, įvertinimas);</w:t>
      </w:r>
      <w:r w:rsidRPr="003E5437">
        <w:rPr>
          <w:bCs/>
          <w:szCs w:val="24"/>
        </w:rPr>
        <w:t>“.</w:t>
      </w:r>
    </w:p>
    <w:p w14:paraId="4416900A" w14:textId="278833C2" w:rsidR="00CC00B8" w:rsidRDefault="00CC00B8" w:rsidP="006A7C44">
      <w:pPr>
        <w:ind w:firstLine="680"/>
        <w:jc w:val="both"/>
        <w:rPr>
          <w:bCs/>
          <w:szCs w:val="24"/>
        </w:rPr>
      </w:pPr>
      <w:bookmarkStart w:id="3" w:name="part_173107e5c087469ea3a0040be560b3d7"/>
      <w:bookmarkEnd w:id="3"/>
    </w:p>
    <w:p w14:paraId="2F3673EB" w14:textId="77777777" w:rsidR="006A7C44" w:rsidRPr="006A7C44" w:rsidRDefault="006A7C44" w:rsidP="006A7C44">
      <w:pPr>
        <w:jc w:val="both"/>
        <w:rPr>
          <w:bCs/>
          <w:szCs w:val="24"/>
        </w:rPr>
      </w:pPr>
    </w:p>
    <w:p w14:paraId="4E1D3E2E" w14:textId="2583A90D" w:rsidR="007D5698" w:rsidRDefault="007D5698" w:rsidP="00034622">
      <w:pPr>
        <w:tabs>
          <w:tab w:val="left" w:pos="7230"/>
        </w:tabs>
        <w:rPr>
          <w:bCs/>
          <w:color w:val="000000"/>
          <w:szCs w:val="24"/>
        </w:rPr>
      </w:pPr>
      <w:r w:rsidRPr="006A7C44">
        <w:rPr>
          <w:rFonts w:eastAsia="Calibri"/>
          <w:bCs/>
          <w:color w:val="000000"/>
          <w:szCs w:val="24"/>
        </w:rPr>
        <w:t xml:space="preserve">Pirmininkas </w:t>
      </w:r>
      <w:r w:rsidRPr="006A7C44">
        <w:rPr>
          <w:bCs/>
          <w:color w:val="000000"/>
          <w:szCs w:val="24"/>
        </w:rPr>
        <w:tab/>
      </w:r>
      <w:r w:rsidR="00E365D5">
        <w:rPr>
          <w:bCs/>
          <w:color w:val="000000"/>
          <w:szCs w:val="24"/>
        </w:rPr>
        <w:t>Algimantas Valantinas</w:t>
      </w:r>
    </w:p>
    <w:p w14:paraId="46F92426" w14:textId="77777777" w:rsidR="00430DC9" w:rsidRPr="006A7C44" w:rsidRDefault="00430DC9" w:rsidP="00034622">
      <w:pPr>
        <w:tabs>
          <w:tab w:val="left" w:pos="7230"/>
        </w:tabs>
        <w:rPr>
          <w:bCs/>
          <w:color w:val="000000"/>
          <w:szCs w:val="24"/>
        </w:rPr>
      </w:pPr>
      <w:bookmarkStart w:id="4" w:name="_GoBack"/>
      <w:bookmarkEnd w:id="4"/>
    </w:p>
    <w:p w14:paraId="5FD97E61" w14:textId="77777777" w:rsidR="007D5698" w:rsidRPr="006A7C44" w:rsidRDefault="007D5698" w:rsidP="00034622">
      <w:pPr>
        <w:tabs>
          <w:tab w:val="left" w:pos="7230"/>
        </w:tabs>
        <w:ind w:firstLine="851"/>
        <w:rPr>
          <w:rFonts w:eastAsia="Calibri"/>
          <w:bCs/>
          <w:color w:val="000000"/>
          <w:szCs w:val="24"/>
        </w:rPr>
      </w:pPr>
    </w:p>
    <w:p w14:paraId="6DB7CF2D" w14:textId="77777777" w:rsidR="00430DC9" w:rsidRDefault="00430DC9" w:rsidP="00430DC9">
      <w:pPr>
        <w:spacing w:line="276" w:lineRule="auto"/>
      </w:pPr>
      <w:r>
        <w:t xml:space="preserve">Teisėjų tarybos narė, </w:t>
      </w:r>
    </w:p>
    <w:p w14:paraId="35D23990" w14:textId="2C401E36" w:rsidR="0008049A" w:rsidRPr="006A7C44" w:rsidRDefault="00430DC9" w:rsidP="00430DC9">
      <w:pPr>
        <w:tabs>
          <w:tab w:val="left" w:pos="7230"/>
        </w:tabs>
        <w:rPr>
          <w:bCs/>
          <w:szCs w:val="24"/>
        </w:rPr>
      </w:pPr>
      <w:r>
        <w:t>atliekanti sekretoriaus funkcijas</w:t>
      </w:r>
      <w:r w:rsidR="00E365D5">
        <w:rPr>
          <w:rFonts w:eastAsia="Calibri"/>
          <w:bCs/>
          <w:color w:val="000000"/>
          <w:szCs w:val="24"/>
        </w:rPr>
        <w:tab/>
        <w:t>Loreta Braždienė</w:t>
      </w:r>
    </w:p>
    <w:sectPr w:rsidR="0008049A" w:rsidRPr="006A7C44" w:rsidSect="004B758E">
      <w:headerReference w:type="even" r:id="rId9"/>
      <w:headerReference w:type="default" r:id="rId10"/>
      <w:footerReference w:type="even" r:id="rId11"/>
      <w:footerReference w:type="default" r:id="rId12"/>
      <w:headerReference w:type="first" r:id="rId13"/>
      <w:footerReference w:type="first" r:id="rId14"/>
      <w:pgSz w:w="11906" w:h="16838"/>
      <w:pgMar w:top="1134"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366AF" w14:textId="77777777" w:rsidR="00ED7C4E" w:rsidRDefault="00ED7C4E">
      <w:pPr>
        <w:rPr>
          <w:szCs w:val="24"/>
        </w:rPr>
      </w:pPr>
      <w:r>
        <w:rPr>
          <w:szCs w:val="24"/>
        </w:rPr>
        <w:separator/>
      </w:r>
    </w:p>
  </w:endnote>
  <w:endnote w:type="continuationSeparator" w:id="0">
    <w:p w14:paraId="307711A0" w14:textId="77777777" w:rsidR="00ED7C4E" w:rsidRDefault="00ED7C4E">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charset w:val="00"/>
    <w:family w:val="roman"/>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F8761" w14:textId="77777777" w:rsidR="006A5989" w:rsidRDefault="006A598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5414E" w14:textId="77777777" w:rsidR="006A5989" w:rsidRDefault="006A598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39B73" w14:textId="77777777" w:rsidR="006A5989" w:rsidRDefault="006A59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79AC4" w14:textId="77777777" w:rsidR="00ED7C4E" w:rsidRDefault="00ED7C4E">
      <w:pPr>
        <w:rPr>
          <w:szCs w:val="24"/>
        </w:rPr>
      </w:pPr>
      <w:r>
        <w:rPr>
          <w:szCs w:val="24"/>
        </w:rPr>
        <w:separator/>
      </w:r>
    </w:p>
  </w:footnote>
  <w:footnote w:type="continuationSeparator" w:id="0">
    <w:p w14:paraId="63BF421F" w14:textId="77777777" w:rsidR="00ED7C4E" w:rsidRDefault="00ED7C4E">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42310" w14:textId="77777777" w:rsidR="006A5989" w:rsidRDefault="006A59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897658"/>
      <w:docPartObj>
        <w:docPartGallery w:val="Page Numbers (Top of Page)"/>
        <w:docPartUnique/>
      </w:docPartObj>
    </w:sdtPr>
    <w:sdtEndPr/>
    <w:sdtContent>
      <w:p w14:paraId="5DAE0482" w14:textId="77777777" w:rsidR="006A5989" w:rsidRDefault="0076397E">
        <w:pPr>
          <w:pStyle w:val="Antrats"/>
          <w:jc w:val="center"/>
        </w:pPr>
        <w:r>
          <w:fldChar w:fldCharType="begin"/>
        </w:r>
        <w:r>
          <w:instrText>PAGE   \* MERGEFORMAT</w:instrText>
        </w:r>
        <w:r>
          <w:fldChar w:fldCharType="separate"/>
        </w:r>
        <w:r w:rsidR="00851ED0">
          <w:rPr>
            <w:noProof/>
          </w:rPr>
          <w:t>2</w:t>
        </w:r>
        <w:r>
          <w:rPr>
            <w:noProof/>
          </w:rPr>
          <w:fldChar w:fldCharType="end"/>
        </w:r>
      </w:p>
    </w:sdtContent>
  </w:sdt>
  <w:p w14:paraId="77EFD606" w14:textId="77777777" w:rsidR="006A5989" w:rsidRDefault="006A598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72CFE" w14:textId="77777777" w:rsidR="006A5989" w:rsidRPr="004B758E" w:rsidRDefault="006A5989" w:rsidP="004B75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B1F20"/>
    <w:multiLevelType w:val="multilevel"/>
    <w:tmpl w:val="896A47CA"/>
    <w:lvl w:ilvl="0">
      <w:start w:val="1"/>
      <w:numFmt w:val="decimal"/>
      <w:lvlText w:val="%1."/>
      <w:lvlJc w:val="left"/>
      <w:pPr>
        <w:ind w:left="420" w:hanging="420"/>
      </w:pPr>
      <w:rPr>
        <w:rFonts w:hint="default"/>
      </w:rPr>
    </w:lvl>
    <w:lvl w:ilvl="1">
      <w:start w:val="1"/>
      <w:numFmt w:val="decimal"/>
      <w:lvlText w:val="%1.%2."/>
      <w:lvlJc w:val="left"/>
      <w:pPr>
        <w:ind w:left="110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454"/>
    <w:rsid w:val="00007C7A"/>
    <w:rsid w:val="00013B8A"/>
    <w:rsid w:val="00014563"/>
    <w:rsid w:val="00027680"/>
    <w:rsid w:val="00032BD6"/>
    <w:rsid w:val="00034622"/>
    <w:rsid w:val="00041E51"/>
    <w:rsid w:val="0008049A"/>
    <w:rsid w:val="000860DD"/>
    <w:rsid w:val="0009084C"/>
    <w:rsid w:val="000A1E58"/>
    <w:rsid w:val="000B118B"/>
    <w:rsid w:val="000B2316"/>
    <w:rsid w:val="000E4FD4"/>
    <w:rsid w:val="00142C5F"/>
    <w:rsid w:val="00142E83"/>
    <w:rsid w:val="00177D39"/>
    <w:rsid w:val="001A027D"/>
    <w:rsid w:val="001C0B1D"/>
    <w:rsid w:val="001D76FA"/>
    <w:rsid w:val="001E5A2D"/>
    <w:rsid w:val="00205FB5"/>
    <w:rsid w:val="00215B7D"/>
    <w:rsid w:val="00233EC8"/>
    <w:rsid w:val="002639F9"/>
    <w:rsid w:val="00263C6B"/>
    <w:rsid w:val="002666F8"/>
    <w:rsid w:val="0028651B"/>
    <w:rsid w:val="002C4719"/>
    <w:rsid w:val="002E4454"/>
    <w:rsid w:val="0031738E"/>
    <w:rsid w:val="00355443"/>
    <w:rsid w:val="003750BA"/>
    <w:rsid w:val="0038332D"/>
    <w:rsid w:val="003B6E0A"/>
    <w:rsid w:val="003E5437"/>
    <w:rsid w:val="00420C63"/>
    <w:rsid w:val="00430DC9"/>
    <w:rsid w:val="00455644"/>
    <w:rsid w:val="00475583"/>
    <w:rsid w:val="00477A8F"/>
    <w:rsid w:val="004B758E"/>
    <w:rsid w:val="004F0062"/>
    <w:rsid w:val="00514F5D"/>
    <w:rsid w:val="00530AF6"/>
    <w:rsid w:val="00536208"/>
    <w:rsid w:val="00561844"/>
    <w:rsid w:val="00566519"/>
    <w:rsid w:val="00567456"/>
    <w:rsid w:val="00580EF5"/>
    <w:rsid w:val="005A2645"/>
    <w:rsid w:val="005A4FA8"/>
    <w:rsid w:val="005D3754"/>
    <w:rsid w:val="005E10EC"/>
    <w:rsid w:val="005F143A"/>
    <w:rsid w:val="00606199"/>
    <w:rsid w:val="00612291"/>
    <w:rsid w:val="00631817"/>
    <w:rsid w:val="00633EB8"/>
    <w:rsid w:val="00651F89"/>
    <w:rsid w:val="00655293"/>
    <w:rsid w:val="00666CAA"/>
    <w:rsid w:val="0066729C"/>
    <w:rsid w:val="00680827"/>
    <w:rsid w:val="00685513"/>
    <w:rsid w:val="006A5989"/>
    <w:rsid w:val="006A7C44"/>
    <w:rsid w:val="006B6B77"/>
    <w:rsid w:val="006B7445"/>
    <w:rsid w:val="006C040E"/>
    <w:rsid w:val="006E7F37"/>
    <w:rsid w:val="0070198E"/>
    <w:rsid w:val="00703D50"/>
    <w:rsid w:val="00721C3F"/>
    <w:rsid w:val="00722AC1"/>
    <w:rsid w:val="00723CC8"/>
    <w:rsid w:val="00743BBE"/>
    <w:rsid w:val="0076397E"/>
    <w:rsid w:val="00787AFD"/>
    <w:rsid w:val="0079296B"/>
    <w:rsid w:val="007A07DB"/>
    <w:rsid w:val="007D24BA"/>
    <w:rsid w:val="007D3535"/>
    <w:rsid w:val="007D5698"/>
    <w:rsid w:val="007D5A70"/>
    <w:rsid w:val="0080334E"/>
    <w:rsid w:val="00822BED"/>
    <w:rsid w:val="00842E24"/>
    <w:rsid w:val="00851ED0"/>
    <w:rsid w:val="00855800"/>
    <w:rsid w:val="00871DE3"/>
    <w:rsid w:val="00877A96"/>
    <w:rsid w:val="00880ACD"/>
    <w:rsid w:val="00891CEC"/>
    <w:rsid w:val="008A00F9"/>
    <w:rsid w:val="008A1789"/>
    <w:rsid w:val="008B35AC"/>
    <w:rsid w:val="008F2AE5"/>
    <w:rsid w:val="009012A4"/>
    <w:rsid w:val="0090438C"/>
    <w:rsid w:val="009075D3"/>
    <w:rsid w:val="009458D3"/>
    <w:rsid w:val="00947848"/>
    <w:rsid w:val="00950019"/>
    <w:rsid w:val="00954485"/>
    <w:rsid w:val="009622EE"/>
    <w:rsid w:val="0096594E"/>
    <w:rsid w:val="009706CC"/>
    <w:rsid w:val="00976F0E"/>
    <w:rsid w:val="00977EB9"/>
    <w:rsid w:val="009A1960"/>
    <w:rsid w:val="009C43A6"/>
    <w:rsid w:val="009D4B32"/>
    <w:rsid w:val="009E2D51"/>
    <w:rsid w:val="009F1318"/>
    <w:rsid w:val="00A0217D"/>
    <w:rsid w:val="00A07056"/>
    <w:rsid w:val="00A15020"/>
    <w:rsid w:val="00A15FEF"/>
    <w:rsid w:val="00A60CD9"/>
    <w:rsid w:val="00A664E8"/>
    <w:rsid w:val="00A81448"/>
    <w:rsid w:val="00A94A0D"/>
    <w:rsid w:val="00A96970"/>
    <w:rsid w:val="00AC1C93"/>
    <w:rsid w:val="00AC3BB7"/>
    <w:rsid w:val="00AC654E"/>
    <w:rsid w:val="00AD23DD"/>
    <w:rsid w:val="00AF3154"/>
    <w:rsid w:val="00B14F19"/>
    <w:rsid w:val="00B27482"/>
    <w:rsid w:val="00B34EB8"/>
    <w:rsid w:val="00B36D1D"/>
    <w:rsid w:val="00B41303"/>
    <w:rsid w:val="00B51EC7"/>
    <w:rsid w:val="00B728D1"/>
    <w:rsid w:val="00B748F0"/>
    <w:rsid w:val="00B75187"/>
    <w:rsid w:val="00B846FD"/>
    <w:rsid w:val="00B86B4E"/>
    <w:rsid w:val="00B9066F"/>
    <w:rsid w:val="00B91BB6"/>
    <w:rsid w:val="00BB12A6"/>
    <w:rsid w:val="00BB352D"/>
    <w:rsid w:val="00BC04A4"/>
    <w:rsid w:val="00BC2243"/>
    <w:rsid w:val="00BD3BE6"/>
    <w:rsid w:val="00BD64CA"/>
    <w:rsid w:val="00C1025C"/>
    <w:rsid w:val="00C17AE5"/>
    <w:rsid w:val="00C34804"/>
    <w:rsid w:val="00C73E99"/>
    <w:rsid w:val="00C7747C"/>
    <w:rsid w:val="00C80527"/>
    <w:rsid w:val="00C83018"/>
    <w:rsid w:val="00C83A90"/>
    <w:rsid w:val="00C96E5B"/>
    <w:rsid w:val="00CB07E5"/>
    <w:rsid w:val="00CC00B8"/>
    <w:rsid w:val="00CC5E5E"/>
    <w:rsid w:val="00D0108C"/>
    <w:rsid w:val="00D272AC"/>
    <w:rsid w:val="00D41677"/>
    <w:rsid w:val="00DD57C3"/>
    <w:rsid w:val="00DE7BB4"/>
    <w:rsid w:val="00DF267E"/>
    <w:rsid w:val="00DF4304"/>
    <w:rsid w:val="00E0313B"/>
    <w:rsid w:val="00E10CA9"/>
    <w:rsid w:val="00E14432"/>
    <w:rsid w:val="00E365D5"/>
    <w:rsid w:val="00E55746"/>
    <w:rsid w:val="00E633EE"/>
    <w:rsid w:val="00E66278"/>
    <w:rsid w:val="00E7719B"/>
    <w:rsid w:val="00E846DE"/>
    <w:rsid w:val="00EA46AD"/>
    <w:rsid w:val="00EB09A8"/>
    <w:rsid w:val="00EB0A55"/>
    <w:rsid w:val="00EB3209"/>
    <w:rsid w:val="00EB3520"/>
    <w:rsid w:val="00ED3B3A"/>
    <w:rsid w:val="00ED7C4E"/>
    <w:rsid w:val="00EF40B6"/>
    <w:rsid w:val="00EF7364"/>
    <w:rsid w:val="00F053F3"/>
    <w:rsid w:val="00F15C18"/>
    <w:rsid w:val="00F27C21"/>
    <w:rsid w:val="00F64C5C"/>
    <w:rsid w:val="00F85358"/>
    <w:rsid w:val="00FB309F"/>
    <w:rsid w:val="00FC133B"/>
    <w:rsid w:val="00FC77CE"/>
    <w:rsid w:val="00FD1CB2"/>
    <w:rsid w:val="00FE21E8"/>
    <w:rsid w:val="00FF02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861BA"/>
  <w15:docId w15:val="{5258AF8C-9C32-42B0-A8AC-A8E7A0B37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B352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EB3520"/>
    <w:rPr>
      <w:rFonts w:ascii="Tahoma" w:hAnsi="Tahoma" w:cs="Tahoma"/>
      <w:sz w:val="16"/>
      <w:szCs w:val="16"/>
    </w:rPr>
  </w:style>
  <w:style w:type="character" w:customStyle="1" w:styleId="DebesliotekstasDiagrama">
    <w:name w:val="Debesėlio tekstas Diagrama"/>
    <w:basedOn w:val="Numatytasispastraiposriftas"/>
    <w:link w:val="Debesliotekstas"/>
    <w:rsid w:val="00EB3520"/>
    <w:rPr>
      <w:rFonts w:ascii="Tahoma" w:hAnsi="Tahoma" w:cs="Tahoma"/>
      <w:sz w:val="16"/>
      <w:szCs w:val="16"/>
    </w:rPr>
  </w:style>
  <w:style w:type="paragraph" w:styleId="Antrats">
    <w:name w:val="header"/>
    <w:basedOn w:val="prastasis"/>
    <w:link w:val="AntratsDiagrama"/>
    <w:uiPriority w:val="99"/>
    <w:rsid w:val="007D5698"/>
    <w:pPr>
      <w:tabs>
        <w:tab w:val="center" w:pos="4819"/>
        <w:tab w:val="right" w:pos="9638"/>
      </w:tabs>
    </w:pPr>
  </w:style>
  <w:style w:type="character" w:customStyle="1" w:styleId="AntratsDiagrama">
    <w:name w:val="Antraštės Diagrama"/>
    <w:basedOn w:val="Numatytasispastraiposriftas"/>
    <w:link w:val="Antrats"/>
    <w:uiPriority w:val="99"/>
    <w:rsid w:val="007D5698"/>
  </w:style>
  <w:style w:type="paragraph" w:styleId="Porat">
    <w:name w:val="footer"/>
    <w:basedOn w:val="prastasis"/>
    <w:link w:val="PoratDiagrama"/>
    <w:rsid w:val="007D5698"/>
    <w:pPr>
      <w:tabs>
        <w:tab w:val="center" w:pos="4819"/>
        <w:tab w:val="right" w:pos="9638"/>
      </w:tabs>
    </w:pPr>
  </w:style>
  <w:style w:type="character" w:customStyle="1" w:styleId="PoratDiagrama">
    <w:name w:val="Poraštė Diagrama"/>
    <w:basedOn w:val="Numatytasispastraiposriftas"/>
    <w:link w:val="Porat"/>
    <w:rsid w:val="007D5698"/>
  </w:style>
  <w:style w:type="character" w:styleId="Vietosrezervavimoenklotekstas">
    <w:name w:val="Placeholder Text"/>
    <w:basedOn w:val="Numatytasispastraiposriftas"/>
    <w:rsid w:val="007D5698"/>
    <w:rPr>
      <w:color w:val="808080"/>
    </w:rPr>
  </w:style>
  <w:style w:type="character" w:styleId="Komentaronuoroda">
    <w:name w:val="annotation reference"/>
    <w:basedOn w:val="Numatytasispastraiposriftas"/>
    <w:rsid w:val="001E5A2D"/>
    <w:rPr>
      <w:sz w:val="16"/>
      <w:szCs w:val="16"/>
    </w:rPr>
  </w:style>
  <w:style w:type="paragraph" w:styleId="Komentarotekstas">
    <w:name w:val="annotation text"/>
    <w:basedOn w:val="prastasis"/>
    <w:link w:val="KomentarotekstasDiagrama"/>
    <w:rsid w:val="001E5A2D"/>
    <w:rPr>
      <w:sz w:val="20"/>
    </w:rPr>
  </w:style>
  <w:style w:type="character" w:customStyle="1" w:styleId="KomentarotekstasDiagrama">
    <w:name w:val="Komentaro tekstas Diagrama"/>
    <w:basedOn w:val="Numatytasispastraiposriftas"/>
    <w:link w:val="Komentarotekstas"/>
    <w:rsid w:val="001E5A2D"/>
    <w:rPr>
      <w:sz w:val="20"/>
    </w:rPr>
  </w:style>
  <w:style w:type="paragraph" w:styleId="Komentarotema">
    <w:name w:val="annotation subject"/>
    <w:basedOn w:val="Komentarotekstas"/>
    <w:next w:val="Komentarotekstas"/>
    <w:link w:val="KomentarotemaDiagrama"/>
    <w:rsid w:val="00AC3BB7"/>
    <w:rPr>
      <w:b/>
      <w:bCs/>
    </w:rPr>
  </w:style>
  <w:style w:type="character" w:customStyle="1" w:styleId="KomentarotemaDiagrama">
    <w:name w:val="Komentaro tema Diagrama"/>
    <w:basedOn w:val="KomentarotekstasDiagrama"/>
    <w:link w:val="Komentarotema"/>
    <w:rsid w:val="00AC3BB7"/>
    <w:rPr>
      <w:b/>
      <w:bCs/>
      <w:sz w:val="20"/>
    </w:rPr>
  </w:style>
  <w:style w:type="paragraph" w:styleId="Sraopastraipa">
    <w:name w:val="List Paragraph"/>
    <w:basedOn w:val="prastasis"/>
    <w:qFormat/>
    <w:rsid w:val="00ED3B3A"/>
    <w:pPr>
      <w:ind w:left="720"/>
      <w:contextualSpacing/>
    </w:pPr>
  </w:style>
  <w:style w:type="paragraph" w:styleId="Puslapioinaostekstas">
    <w:name w:val="footnote text"/>
    <w:basedOn w:val="prastasis"/>
    <w:link w:val="PuslapioinaostekstasDiagrama"/>
    <w:unhideWhenUsed/>
    <w:rsid w:val="000B118B"/>
    <w:rPr>
      <w:rFonts w:eastAsiaTheme="minorHAnsi"/>
      <w:sz w:val="20"/>
    </w:rPr>
  </w:style>
  <w:style w:type="character" w:customStyle="1" w:styleId="PuslapioinaostekstasDiagrama">
    <w:name w:val="Puslapio išnašos tekstas Diagrama"/>
    <w:basedOn w:val="Numatytasispastraiposriftas"/>
    <w:link w:val="Puslapioinaostekstas"/>
    <w:rsid w:val="000B118B"/>
    <w:rPr>
      <w:rFonts w:eastAsiaTheme="minorHAnsi"/>
      <w:sz w:val="20"/>
    </w:rPr>
  </w:style>
  <w:style w:type="character" w:styleId="Puslapioinaosnuoroda">
    <w:name w:val="footnote reference"/>
    <w:basedOn w:val="Numatytasispastraiposriftas"/>
    <w:unhideWhenUsed/>
    <w:rsid w:val="000B11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003519">
      <w:bodyDiv w:val="1"/>
      <w:marLeft w:val="0"/>
      <w:marRight w:val="0"/>
      <w:marTop w:val="0"/>
      <w:marBottom w:val="0"/>
      <w:divBdr>
        <w:top w:val="none" w:sz="0" w:space="0" w:color="auto"/>
        <w:left w:val="none" w:sz="0" w:space="0" w:color="auto"/>
        <w:bottom w:val="none" w:sz="0" w:space="0" w:color="auto"/>
        <w:right w:val="none" w:sz="0" w:space="0" w:color="auto"/>
      </w:divBdr>
      <w:divsChild>
        <w:div w:id="212812318">
          <w:marLeft w:val="0"/>
          <w:marRight w:val="0"/>
          <w:marTop w:val="0"/>
          <w:marBottom w:val="0"/>
          <w:divBdr>
            <w:top w:val="none" w:sz="0" w:space="0" w:color="auto"/>
            <w:left w:val="none" w:sz="0" w:space="0" w:color="auto"/>
            <w:bottom w:val="none" w:sz="0" w:space="0" w:color="auto"/>
            <w:right w:val="none" w:sz="0" w:space="0" w:color="auto"/>
          </w:divBdr>
        </w:div>
        <w:div w:id="603153179">
          <w:marLeft w:val="0"/>
          <w:marRight w:val="0"/>
          <w:marTop w:val="0"/>
          <w:marBottom w:val="0"/>
          <w:divBdr>
            <w:top w:val="none" w:sz="0" w:space="0" w:color="auto"/>
            <w:left w:val="none" w:sz="0" w:space="0" w:color="auto"/>
            <w:bottom w:val="none" w:sz="0" w:space="0" w:color="auto"/>
            <w:right w:val="none" w:sz="0" w:space="0" w:color="auto"/>
          </w:divBdr>
        </w:div>
      </w:divsChild>
    </w:div>
    <w:div w:id="1023288225">
      <w:bodyDiv w:val="1"/>
      <w:marLeft w:val="0"/>
      <w:marRight w:val="0"/>
      <w:marTop w:val="0"/>
      <w:marBottom w:val="0"/>
      <w:divBdr>
        <w:top w:val="none" w:sz="0" w:space="0" w:color="auto"/>
        <w:left w:val="none" w:sz="0" w:space="0" w:color="auto"/>
        <w:bottom w:val="none" w:sz="0" w:space="0" w:color="auto"/>
        <w:right w:val="none" w:sz="0" w:space="0" w:color="auto"/>
      </w:divBdr>
    </w:div>
    <w:div w:id="1035354372">
      <w:bodyDiv w:val="1"/>
      <w:marLeft w:val="0"/>
      <w:marRight w:val="0"/>
      <w:marTop w:val="0"/>
      <w:marBottom w:val="0"/>
      <w:divBdr>
        <w:top w:val="none" w:sz="0" w:space="0" w:color="auto"/>
        <w:left w:val="none" w:sz="0" w:space="0" w:color="auto"/>
        <w:bottom w:val="none" w:sz="0" w:space="0" w:color="auto"/>
        <w:right w:val="none" w:sz="0" w:space="0" w:color="auto"/>
      </w:divBdr>
    </w:div>
    <w:div w:id="1285424188">
      <w:bodyDiv w:val="1"/>
      <w:marLeft w:val="0"/>
      <w:marRight w:val="0"/>
      <w:marTop w:val="0"/>
      <w:marBottom w:val="0"/>
      <w:divBdr>
        <w:top w:val="none" w:sz="0" w:space="0" w:color="auto"/>
        <w:left w:val="none" w:sz="0" w:space="0" w:color="auto"/>
        <w:bottom w:val="none" w:sz="0" w:space="0" w:color="auto"/>
        <w:right w:val="none" w:sz="0" w:space="0" w:color="auto"/>
      </w:divBdr>
      <w:divsChild>
        <w:div w:id="214775247">
          <w:marLeft w:val="0"/>
          <w:marRight w:val="0"/>
          <w:marTop w:val="0"/>
          <w:marBottom w:val="0"/>
          <w:divBdr>
            <w:top w:val="none" w:sz="0" w:space="0" w:color="auto"/>
            <w:left w:val="none" w:sz="0" w:space="0" w:color="auto"/>
            <w:bottom w:val="none" w:sz="0" w:space="0" w:color="auto"/>
            <w:right w:val="none" w:sz="0" w:space="0" w:color="auto"/>
          </w:divBdr>
          <w:divsChild>
            <w:div w:id="633297837">
              <w:marLeft w:val="0"/>
              <w:marRight w:val="0"/>
              <w:marTop w:val="0"/>
              <w:marBottom w:val="0"/>
              <w:divBdr>
                <w:top w:val="none" w:sz="0" w:space="0" w:color="auto"/>
                <w:left w:val="none" w:sz="0" w:space="0" w:color="auto"/>
                <w:bottom w:val="none" w:sz="0" w:space="0" w:color="auto"/>
                <w:right w:val="none" w:sz="0" w:space="0" w:color="auto"/>
              </w:divBdr>
            </w:div>
            <w:div w:id="469830849">
              <w:marLeft w:val="0"/>
              <w:marRight w:val="0"/>
              <w:marTop w:val="0"/>
              <w:marBottom w:val="0"/>
              <w:divBdr>
                <w:top w:val="none" w:sz="0" w:space="0" w:color="auto"/>
                <w:left w:val="none" w:sz="0" w:space="0" w:color="auto"/>
                <w:bottom w:val="none" w:sz="0" w:space="0" w:color="auto"/>
                <w:right w:val="none" w:sz="0" w:space="0" w:color="auto"/>
              </w:divBdr>
            </w:div>
            <w:div w:id="1471897874">
              <w:marLeft w:val="0"/>
              <w:marRight w:val="0"/>
              <w:marTop w:val="0"/>
              <w:marBottom w:val="0"/>
              <w:divBdr>
                <w:top w:val="none" w:sz="0" w:space="0" w:color="auto"/>
                <w:left w:val="none" w:sz="0" w:space="0" w:color="auto"/>
                <w:bottom w:val="none" w:sz="0" w:space="0" w:color="auto"/>
                <w:right w:val="none" w:sz="0" w:space="0" w:color="auto"/>
              </w:divBdr>
            </w:div>
          </w:divsChild>
        </w:div>
        <w:div w:id="1819297138">
          <w:marLeft w:val="0"/>
          <w:marRight w:val="0"/>
          <w:marTop w:val="0"/>
          <w:marBottom w:val="0"/>
          <w:divBdr>
            <w:top w:val="none" w:sz="0" w:space="0" w:color="auto"/>
            <w:left w:val="none" w:sz="0" w:space="0" w:color="auto"/>
            <w:bottom w:val="none" w:sz="0" w:space="0" w:color="auto"/>
            <w:right w:val="none" w:sz="0" w:space="0" w:color="auto"/>
          </w:divBdr>
        </w:div>
      </w:divsChild>
    </w:div>
    <w:div w:id="1840996745">
      <w:bodyDiv w:val="1"/>
      <w:marLeft w:val="0"/>
      <w:marRight w:val="0"/>
      <w:marTop w:val="0"/>
      <w:marBottom w:val="0"/>
      <w:divBdr>
        <w:top w:val="none" w:sz="0" w:space="0" w:color="auto"/>
        <w:left w:val="none" w:sz="0" w:space="0" w:color="auto"/>
        <w:bottom w:val="none" w:sz="0" w:space="0" w:color="auto"/>
        <w:right w:val="none" w:sz="0" w:space="0" w:color="auto"/>
      </w:divBdr>
      <w:divsChild>
        <w:div w:id="2096198800">
          <w:marLeft w:val="0"/>
          <w:marRight w:val="0"/>
          <w:marTop w:val="0"/>
          <w:marBottom w:val="0"/>
          <w:divBdr>
            <w:top w:val="none" w:sz="0" w:space="0" w:color="auto"/>
            <w:left w:val="none" w:sz="0" w:space="0" w:color="auto"/>
            <w:bottom w:val="none" w:sz="0" w:space="0" w:color="auto"/>
            <w:right w:val="none" w:sz="0" w:space="0" w:color="auto"/>
          </w:divBdr>
        </w:div>
      </w:divsChild>
    </w:div>
    <w:div w:id="213694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A79ABBF-F926-4CC2-9388-DFF0155FC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9544</Words>
  <Characters>5441</Characters>
  <Application>Microsoft Office Word</Application>
  <DocSecurity>0</DocSecurity>
  <Lines>45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14956</CharactersWithSpaces>
  <SharedDoc>false</SharedDoc>
  <HyperlinkBase/>
  <HLinks>
    <vt:vector size="6" baseType="variant">
      <vt:variant>
        <vt:i4>7405693</vt:i4>
      </vt:variant>
      <vt:variant>
        <vt:i4>0</vt:i4>
      </vt:variant>
      <vt:variant>
        <vt:i4>0</vt:i4>
      </vt:variant>
      <vt:variant>
        <vt:i4>5</vt:i4>
      </vt:variant>
      <vt:variant>
        <vt:lpwstr>http://www.teismai.lt/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Alina Dokutovičienė</cp:lastModifiedBy>
  <cp:revision>4</cp:revision>
  <cp:lastPrinted>2015-12-15T12:32:00Z</cp:lastPrinted>
  <dcterms:created xsi:type="dcterms:W3CDTF">2020-02-03T06:40:00Z</dcterms:created>
  <dcterms:modified xsi:type="dcterms:W3CDTF">2020-02-03T09:54:00Z</dcterms:modified>
</cp:coreProperties>
</file>