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64B" w:rsidRDefault="0071364B">
      <w:pPr>
        <w:jc w:val="center"/>
        <w:rPr>
          <w:b/>
          <w:bCs/>
        </w:rPr>
      </w:pPr>
    </w:p>
    <w:p w:rsidR="001D4373" w:rsidRDefault="0071364B">
      <w:pPr>
        <w:jc w:val="center"/>
        <w:rPr>
          <w:b/>
          <w:bCs/>
        </w:rPr>
      </w:pPr>
      <w:r>
        <w:rPr>
          <w:b/>
          <w:bCs/>
        </w:rPr>
        <w:t xml:space="preserve">NUOTOLINIO </w:t>
      </w:r>
      <w:r w:rsidR="00024155">
        <w:rPr>
          <w:b/>
          <w:bCs/>
        </w:rPr>
        <w:t xml:space="preserve">SEMINARO PAGAL TEISĖJŲ </w:t>
      </w:r>
      <w:r w:rsidR="00024155">
        <w:rPr>
          <w:b/>
          <w:bCs/>
          <w:lang w:val="de-DE"/>
        </w:rPr>
        <w:t>BENDR</w:t>
      </w:r>
      <w:r w:rsidR="00024155">
        <w:rPr>
          <w:b/>
          <w:bCs/>
        </w:rPr>
        <w:t xml:space="preserve">ŲJŲ </w:t>
      </w:r>
      <w:r w:rsidR="00024155">
        <w:rPr>
          <w:b/>
          <w:bCs/>
          <w:lang w:val="de-DE"/>
        </w:rPr>
        <w:t>GEB</w:t>
      </w:r>
      <w:r w:rsidR="00024155">
        <w:rPr>
          <w:b/>
          <w:bCs/>
        </w:rPr>
        <w:t>ĖJIMŲ MOKYMO PROGRAMĄ</w:t>
      </w:r>
    </w:p>
    <w:p w:rsidR="001D4373" w:rsidRPr="0071364B" w:rsidRDefault="00024155" w:rsidP="0071364B">
      <w:pPr>
        <w:widowControl w:val="0"/>
        <w:autoSpaceDE w:val="0"/>
        <w:autoSpaceDN w:val="0"/>
        <w:adjustRightInd w:val="0"/>
        <w:jc w:val="center"/>
        <w:rPr>
          <w:rFonts w:eastAsia="Times New Roman" w:cs="Times New Roman"/>
          <w:b/>
          <w:color w:val="auto"/>
          <w:bdr w:val="none" w:sz="0" w:space="0" w:color="auto"/>
          <w:lang w:val="lt-LT" w:eastAsia="en-US"/>
        </w:rPr>
      </w:pPr>
      <w:r>
        <w:rPr>
          <w:b/>
          <w:bCs/>
          <w:lang w:val="es-ES_tradnl"/>
        </w:rPr>
        <w:t>,,</w:t>
      </w:r>
      <w:r w:rsidR="002F2FE2" w:rsidRPr="002F2FE2">
        <w:rPr>
          <w:rFonts w:eastAsia="Times New Roman"/>
          <w:b/>
        </w:rPr>
        <w:t>NEAPYKANTOS NUSIKALTIMAI: TEISINIAI IR PSICHOLOGINIAI ASPEKTAI“</w:t>
      </w:r>
    </w:p>
    <w:p w:rsidR="001D4373" w:rsidRDefault="00024155">
      <w:pPr>
        <w:jc w:val="center"/>
      </w:pPr>
      <w:r>
        <w:t xml:space="preserve">(seminaro kodas – </w:t>
      </w:r>
      <w:r w:rsidR="002F2FE2">
        <w:t>NN</w:t>
      </w:r>
      <w:r>
        <w:t>)</w:t>
      </w:r>
    </w:p>
    <w:p w:rsidR="001D4373" w:rsidRDefault="001D4373">
      <w:pPr>
        <w:jc w:val="center"/>
        <w:rPr>
          <w:sz w:val="16"/>
          <w:szCs w:val="16"/>
        </w:rPr>
      </w:pPr>
    </w:p>
    <w:p w:rsidR="001D4373" w:rsidRDefault="00024155">
      <w:pPr>
        <w:jc w:val="center"/>
        <w:rPr>
          <w:b/>
          <w:bCs/>
          <w14:shadow w14:blurRad="0" w14:dist="19050" w14:dir="2700000" w14:sx="100000" w14:sy="100000" w14:kx="0" w14:ky="0" w14:algn="tl">
            <w14:srgbClr w14:val="000000">
              <w14:alpha w14:val="50000"/>
            </w14:srgbClr>
          </w14:shadow>
        </w:rPr>
      </w:pPr>
      <w:r>
        <w:rPr>
          <w:b/>
          <w:bCs/>
          <w:lang w:val="pt-PT"/>
          <w14:shadow w14:blurRad="0" w14:dist="19050" w14:dir="2700000" w14:sx="100000" w14:sy="100000" w14:kx="0" w14:ky="0" w14:algn="tl">
            <w14:srgbClr w14:val="000000">
              <w14:alpha w14:val="50000"/>
            </w14:srgbClr>
          </w14:shadow>
        </w:rPr>
        <w:t>P R O G R A M A</w:t>
      </w:r>
    </w:p>
    <w:p w:rsidR="0071364B" w:rsidRPr="0071364B" w:rsidRDefault="0071364B">
      <w:pPr>
        <w:jc w:val="center"/>
        <w:rPr>
          <w:b/>
          <w:bCs/>
          <w14:shadow w14:blurRad="0" w14:dist="19050" w14:dir="2700000" w14:sx="100000" w14:sy="100000" w14:kx="0" w14:ky="0" w14:algn="tl">
            <w14:srgbClr w14:val="000000">
              <w14:alpha w14:val="50000"/>
            </w14:srgbClr>
          </w14:shadow>
        </w:rPr>
      </w:pPr>
    </w:p>
    <w:p w:rsidR="001D4373" w:rsidRDefault="00024155">
      <w:pPr>
        <w:jc w:val="center"/>
      </w:pPr>
      <w:r>
        <w:t>202</w:t>
      </w:r>
      <w:r w:rsidR="0071364B">
        <w:t>1</w:t>
      </w:r>
      <w:r>
        <w:t xml:space="preserve"> m. </w:t>
      </w:r>
      <w:r w:rsidR="0071364B">
        <w:t xml:space="preserve">sausio </w:t>
      </w:r>
      <w:r w:rsidR="002F2FE2">
        <w:rPr>
          <w:lang w:val="en-US"/>
        </w:rPr>
        <w:t>26</w:t>
      </w:r>
      <w:r>
        <w:t xml:space="preserve"> d.</w:t>
      </w:r>
    </w:p>
    <w:p w:rsidR="001D4373" w:rsidRDefault="001D4373">
      <w:pPr>
        <w:jc w:val="center"/>
      </w:pPr>
    </w:p>
    <w:p w:rsidR="001D4373" w:rsidRDefault="001D4373">
      <w:pPr>
        <w:rPr>
          <w:sz w:val="10"/>
          <w:szCs w:val="10"/>
        </w:rPr>
      </w:pPr>
    </w:p>
    <w:p w:rsidR="001D4373" w:rsidRDefault="001D4373">
      <w:pPr>
        <w:jc w:val="center"/>
        <w:rPr>
          <w:sz w:val="10"/>
          <w:szCs w:val="10"/>
        </w:rPr>
      </w:pPr>
    </w:p>
    <w:tbl>
      <w:tblPr>
        <w:tblStyle w:val="TableNormal"/>
        <w:tblW w:w="102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65"/>
      </w:tblGrid>
      <w:tr w:rsidR="001D4373">
        <w:trPr>
          <w:trHeight w:val="890"/>
          <w:jc w:val="center"/>
        </w:trPr>
        <w:tc>
          <w:tcPr>
            <w:tcW w:w="10265" w:type="dxa"/>
            <w:tcBorders>
              <w:top w:val="nil"/>
              <w:left w:val="nil"/>
              <w:bottom w:val="nil"/>
              <w:right w:val="nil"/>
            </w:tcBorders>
            <w:shd w:val="clear" w:color="auto" w:fill="auto"/>
            <w:tcMar>
              <w:top w:w="80" w:type="dxa"/>
              <w:left w:w="80" w:type="dxa"/>
              <w:bottom w:w="80" w:type="dxa"/>
              <w:right w:w="80" w:type="dxa"/>
            </w:tcMar>
          </w:tcPr>
          <w:p w:rsidR="001D4373" w:rsidRPr="00FC5AB8" w:rsidRDefault="00024155">
            <w:pPr>
              <w:rPr>
                <w:i/>
                <w:iCs/>
                <w:lang w:val="lt-LT"/>
              </w:rPr>
            </w:pPr>
            <w:r>
              <w:rPr>
                <w:i/>
                <w:iCs/>
              </w:rPr>
              <w:t>Lektor</w:t>
            </w:r>
            <w:r w:rsidR="00FC5AB8">
              <w:rPr>
                <w:i/>
                <w:iCs/>
                <w:lang w:val="lt-LT"/>
              </w:rPr>
              <w:t>ės</w:t>
            </w:r>
          </w:p>
          <w:p w:rsidR="00FC5AB8" w:rsidRPr="00FC5AB8" w:rsidRDefault="00FC5AB8" w:rsidP="00FC5AB8">
            <w:pPr>
              <w:pBdr>
                <w:top w:val="none" w:sz="0" w:space="0" w:color="auto"/>
                <w:left w:val="none" w:sz="0" w:space="0" w:color="auto"/>
                <w:bottom w:val="none" w:sz="0" w:space="0" w:color="auto"/>
                <w:right w:val="none" w:sz="0" w:space="0" w:color="auto"/>
                <w:between w:val="none" w:sz="0" w:space="0" w:color="auto"/>
                <w:bar w:val="none" w:sz="0" w:color="auto"/>
              </w:pBdr>
              <w:ind w:right="-1080"/>
              <w:jc w:val="both"/>
              <w:rPr>
                <w:rFonts w:eastAsia="Times New Roman" w:cs="Times New Roman"/>
                <w:b/>
                <w:i/>
                <w:color w:val="auto"/>
                <w:bdr w:val="none" w:sz="0" w:space="0" w:color="auto"/>
                <w:shd w:val="clear" w:color="auto" w:fill="FFFFFF"/>
                <w:lang w:val="lt-LT"/>
              </w:rPr>
            </w:pPr>
            <w:r w:rsidRPr="00FC5AB8">
              <w:rPr>
                <w:rFonts w:eastAsia="Times New Roman" w:cs="Times New Roman"/>
                <w:b/>
                <w:i/>
                <w:color w:val="auto"/>
                <w:bdr w:val="none" w:sz="0" w:space="0" w:color="auto"/>
                <w:shd w:val="clear" w:color="auto" w:fill="FFFFFF"/>
                <w:lang w:val="lt-LT"/>
              </w:rPr>
              <w:t>Dr. Edita Dereškevičiūtė</w:t>
            </w:r>
          </w:p>
          <w:p w:rsidR="00FC5AB8" w:rsidRDefault="00FC5AB8"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FC5AB8">
              <w:rPr>
                <w:rFonts w:eastAsia="Times New Roman" w:cs="Times New Roman"/>
                <w:i/>
                <w:color w:val="auto"/>
                <w:bdr w:val="none" w:sz="0" w:space="0" w:color="auto"/>
                <w:shd w:val="clear" w:color="auto" w:fill="FFFFFF"/>
                <w:lang w:val="lt-LT"/>
              </w:rPr>
              <w:t xml:space="preserve">UAB „Žmogaus studijų centras“ </w:t>
            </w:r>
            <w:r w:rsidRPr="00FC5AB8">
              <w:rPr>
                <w:rFonts w:eastAsia="Times New Roman" w:cs="Times New Roman"/>
                <w:i/>
                <w:color w:val="000000" w:themeColor="text1"/>
                <w:bdr w:val="none" w:sz="0" w:space="0" w:color="auto"/>
                <w:lang w:val="lt-LT"/>
              </w:rPr>
              <w:t>valdybos narė, Mokymo padalinio direktorė</w:t>
            </w:r>
          </w:p>
          <w:p w:rsidR="00FC5AB8" w:rsidRPr="00FC5AB8" w:rsidRDefault="00FC5AB8"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i/>
                <w:color w:val="000000" w:themeColor="text1"/>
                <w:bdr w:val="none" w:sz="0" w:space="0" w:color="auto"/>
                <w:lang w:val="lt-LT"/>
              </w:rPr>
            </w:pPr>
            <w:r w:rsidRPr="00FC5AB8">
              <w:rPr>
                <w:rFonts w:eastAsia="Times New Roman" w:cs="Times New Roman"/>
                <w:b/>
                <w:i/>
                <w:color w:val="000000" w:themeColor="text1"/>
                <w:bdr w:val="none" w:sz="0" w:space="0" w:color="auto"/>
                <w:lang w:val="lt-LT"/>
              </w:rPr>
              <w:t>Dr. Dovilė Murauskienė</w:t>
            </w:r>
          </w:p>
          <w:p w:rsidR="001D4373" w:rsidRPr="00FC5AB8" w:rsidRDefault="00FC5AB8"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Pr>
                <w:rFonts w:eastAsia="Times New Roman" w:cs="Times New Roman"/>
                <w:i/>
                <w:color w:val="000000" w:themeColor="text1"/>
                <w:bdr w:val="none" w:sz="0" w:space="0" w:color="auto"/>
                <w:lang w:val="lt-LT"/>
              </w:rPr>
              <w:t xml:space="preserve">Mykolo </w:t>
            </w:r>
            <w:proofErr w:type="spellStart"/>
            <w:r>
              <w:rPr>
                <w:rFonts w:eastAsia="Times New Roman" w:cs="Times New Roman"/>
                <w:i/>
                <w:color w:val="000000" w:themeColor="text1"/>
                <w:bdr w:val="none" w:sz="0" w:space="0" w:color="auto"/>
                <w:lang w:val="lt-LT"/>
              </w:rPr>
              <w:t>Romerio</w:t>
            </w:r>
            <w:proofErr w:type="spellEnd"/>
            <w:r>
              <w:rPr>
                <w:rFonts w:eastAsia="Times New Roman" w:cs="Times New Roman"/>
                <w:i/>
                <w:color w:val="000000" w:themeColor="text1"/>
                <w:bdr w:val="none" w:sz="0" w:space="0" w:color="auto"/>
                <w:lang w:val="lt-LT"/>
              </w:rPr>
              <w:t xml:space="preserve"> universiteto Teisės mokyklos Baudžiamosios teisės ir proceso instituto lektorė, advokatė</w:t>
            </w:r>
          </w:p>
        </w:tc>
      </w:tr>
    </w:tbl>
    <w:p w:rsidR="001D4373" w:rsidRDefault="001D4373">
      <w:pPr>
        <w:rPr>
          <w:sz w:val="16"/>
          <w:szCs w:val="16"/>
          <w:u w:val="single"/>
        </w:rPr>
      </w:pPr>
    </w:p>
    <w:p w:rsidR="001D4373" w:rsidRDefault="001D4373">
      <w:pPr>
        <w:rPr>
          <w:sz w:val="16"/>
          <w:szCs w:val="16"/>
          <w:u w:val="single"/>
        </w:rPr>
      </w:pPr>
    </w:p>
    <w:p w:rsidR="001D4373" w:rsidRDefault="002F2FE2">
      <w:pPr>
        <w:jc w:val="center"/>
        <w:rPr>
          <w:u w:val="single"/>
        </w:rPr>
      </w:pPr>
      <w:r>
        <w:rPr>
          <w:u w:val="single"/>
        </w:rPr>
        <w:t>Antradienis</w:t>
      </w:r>
      <w:r w:rsidR="00024155">
        <w:rPr>
          <w:u w:val="single"/>
        </w:rPr>
        <w:t>, 202</w:t>
      </w:r>
      <w:r w:rsidR="0071364B">
        <w:rPr>
          <w:u w:val="single"/>
        </w:rPr>
        <w:t>1</w:t>
      </w:r>
      <w:r w:rsidR="00024155">
        <w:rPr>
          <w:u w:val="single"/>
        </w:rPr>
        <w:t xml:space="preserve"> m. </w:t>
      </w:r>
      <w:proofErr w:type="spellStart"/>
      <w:r w:rsidR="0071364B">
        <w:rPr>
          <w:u w:val="single"/>
          <w:lang w:val="de-DE"/>
        </w:rPr>
        <w:t>sausio</w:t>
      </w:r>
      <w:proofErr w:type="spellEnd"/>
      <w:r w:rsidR="0071364B">
        <w:rPr>
          <w:u w:val="single"/>
          <w:lang w:val="de-DE"/>
        </w:rPr>
        <w:t xml:space="preserve"> 2</w:t>
      </w:r>
      <w:r>
        <w:rPr>
          <w:u w:val="single"/>
          <w:lang w:val="en-US"/>
        </w:rPr>
        <w:t>6</w:t>
      </w:r>
      <w:r w:rsidR="00024155">
        <w:rPr>
          <w:u w:val="single"/>
          <w:lang w:val="en-US"/>
        </w:rPr>
        <w:t xml:space="preserve"> </w:t>
      </w:r>
      <w:r w:rsidR="00024155">
        <w:rPr>
          <w:u w:val="single"/>
        </w:rPr>
        <w:t>d.</w:t>
      </w:r>
    </w:p>
    <w:p w:rsidR="001D4373" w:rsidRDefault="001D4373">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1D4373" w:rsidTr="00F54A1C">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F54A1C" w:rsidP="00F54A1C">
            <w:pPr>
              <w:jc w:val="center"/>
            </w:pPr>
            <w:r>
              <w:rPr>
                <w:i/>
                <w:iCs/>
              </w:rPr>
              <w:t>8</w:t>
            </w:r>
            <w:r w:rsidR="00024155">
              <w:rPr>
                <w:i/>
                <w:iCs/>
              </w:rPr>
              <w:t>.30</w:t>
            </w:r>
          </w:p>
        </w:tc>
        <w:tc>
          <w:tcPr>
            <w:tcW w:w="9280" w:type="dxa"/>
            <w:tcBorders>
              <w:top w:val="nil"/>
              <w:left w:val="nil"/>
              <w:bottom w:val="nil"/>
              <w:right w:val="nil"/>
            </w:tcBorders>
            <w:shd w:val="clear" w:color="auto" w:fill="auto"/>
            <w:tcMar>
              <w:top w:w="80" w:type="dxa"/>
              <w:left w:w="80" w:type="dxa"/>
              <w:bottom w:w="80" w:type="dxa"/>
              <w:right w:w="332" w:type="dxa"/>
            </w:tcMar>
          </w:tcPr>
          <w:p w:rsidR="001D4373" w:rsidRDefault="0071364B">
            <w:pPr>
              <w:tabs>
                <w:tab w:val="left" w:pos="8552"/>
                <w:tab w:val="left" w:pos="8732"/>
              </w:tabs>
              <w:ind w:right="252"/>
              <w:jc w:val="both"/>
            </w:pPr>
            <w:r>
              <w:t xml:space="preserve">Prisijungimas prie Zoom platformos. </w:t>
            </w:r>
            <w:r w:rsidR="00024155">
              <w:t>Dalyvių registracija.</w:t>
            </w:r>
          </w:p>
        </w:tc>
      </w:tr>
      <w:tr w:rsidR="001D4373" w:rsidTr="00FC5AB8">
        <w:trPr>
          <w:trHeight w:val="1106"/>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F54A1C" w:rsidP="00F54A1C">
            <w:pPr>
              <w:jc w:val="center"/>
            </w:pPr>
            <w:r>
              <w:rPr>
                <w:b/>
                <w:bCs/>
              </w:rPr>
              <w:t>9</w:t>
            </w:r>
            <w:r w:rsidR="00024155">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Pr="002F2FE2" w:rsidRDefault="00FC5AB8" w:rsidP="0071364B">
            <w:pPr>
              <w:tabs>
                <w:tab w:val="left" w:pos="145"/>
                <w:tab w:val="left" w:pos="283"/>
              </w:tabs>
              <w:jc w:val="both"/>
              <w:rPr>
                <w:b/>
              </w:rPr>
            </w:pPr>
            <w:r w:rsidRPr="002F2FE2">
              <w:rPr>
                <w:b/>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r>
              <w:rPr>
                <w:b/>
              </w:rPr>
              <w:t>.</w:t>
            </w:r>
          </w:p>
        </w:tc>
      </w:tr>
      <w:tr w:rsidR="001D4373"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F54A1C">
            <w:pPr>
              <w:jc w:val="center"/>
            </w:pPr>
            <w:r>
              <w:rPr>
                <w:i/>
                <w:iCs/>
              </w:rPr>
              <w:t>1</w:t>
            </w:r>
            <w:r w:rsidR="00F54A1C">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024155">
            <w:pPr>
              <w:jc w:val="both"/>
            </w:pPr>
            <w:proofErr w:type="spellStart"/>
            <w:r>
              <w:rPr>
                <w:i/>
                <w:iCs/>
                <w:lang w:val="de-DE"/>
              </w:rPr>
              <w:t>Pertrauka</w:t>
            </w:r>
            <w:proofErr w:type="spellEnd"/>
          </w:p>
        </w:tc>
      </w:tr>
      <w:tr w:rsidR="001D4373" w:rsidTr="00F54A1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Pr="0071364B" w:rsidRDefault="00024155" w:rsidP="00F54A1C">
            <w:pPr>
              <w:jc w:val="center"/>
            </w:pPr>
            <w:r>
              <w:rPr>
                <w:b/>
                <w:bCs/>
              </w:rPr>
              <w:t>1</w:t>
            </w:r>
            <w:r w:rsidR="00F54A1C">
              <w:rPr>
                <w:b/>
                <w:bCs/>
              </w:rPr>
              <w:t>0</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Pr="0071364B" w:rsidRDefault="00024155" w:rsidP="0071364B">
            <w:pPr>
              <w:tabs>
                <w:tab w:val="left" w:pos="145"/>
                <w:tab w:val="left" w:pos="283"/>
              </w:tabs>
              <w:jc w:val="both"/>
              <w:rPr>
                <w:b/>
                <w:bCs/>
              </w:rPr>
            </w:pPr>
            <w:r>
              <w:rPr>
                <w:b/>
                <w:bCs/>
              </w:rPr>
              <w:t>Mokymų tęsinys</w:t>
            </w:r>
          </w:p>
        </w:tc>
      </w:tr>
      <w:tr w:rsidR="001D4373"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F54A1C">
            <w:pPr>
              <w:jc w:val="center"/>
            </w:pPr>
            <w:r>
              <w:rPr>
                <w:i/>
                <w:iCs/>
              </w:rPr>
              <w:t>1</w:t>
            </w:r>
            <w:r w:rsidR="00F54A1C">
              <w:rPr>
                <w:i/>
                <w:iCs/>
              </w:rPr>
              <w:t>2</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024155">
            <w:pPr>
              <w:tabs>
                <w:tab w:val="left" w:pos="145"/>
                <w:tab w:val="left" w:pos="283"/>
              </w:tabs>
              <w:jc w:val="both"/>
            </w:pPr>
            <w:proofErr w:type="spellStart"/>
            <w:r>
              <w:rPr>
                <w:i/>
                <w:iCs/>
                <w:lang w:val="de-DE"/>
              </w:rPr>
              <w:t>Pertrauka</w:t>
            </w:r>
            <w:proofErr w:type="spellEnd"/>
          </w:p>
        </w:tc>
      </w:tr>
      <w:tr w:rsidR="001D4373" w:rsidTr="00F54A1C">
        <w:trPr>
          <w:trHeight w:val="324"/>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F54A1C">
            <w:pPr>
              <w:jc w:val="center"/>
            </w:pPr>
            <w:r>
              <w:rPr>
                <w:b/>
                <w:bCs/>
              </w:rPr>
              <w:t>1</w:t>
            </w:r>
            <w:r w:rsidR="00F54A1C">
              <w:rPr>
                <w:b/>
                <w:bCs/>
              </w:rPr>
              <w:t>3</w:t>
            </w:r>
            <w:r>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Pr="002F2FE2" w:rsidRDefault="00FC5AB8" w:rsidP="00FC5AB8">
            <w:pPr>
              <w:jc w:val="both"/>
              <w:rPr>
                <w:b/>
                <w:bCs/>
              </w:rPr>
            </w:pPr>
            <w:r w:rsidRPr="002F2FE2">
              <w:rPr>
                <w:rFonts w:eastAsia="Times New Roman"/>
                <w:b/>
                <w:bCs/>
              </w:rPr>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r>
      <w:tr w:rsidR="001D4373"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F54A1C">
            <w:pPr>
              <w:jc w:val="center"/>
            </w:pPr>
            <w:r>
              <w:rPr>
                <w:i/>
                <w:iCs/>
              </w:rPr>
              <w:t>1</w:t>
            </w:r>
            <w:r w:rsidR="00F54A1C">
              <w:rPr>
                <w:i/>
                <w:iCs/>
              </w:rPr>
              <w:t>4</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024155">
            <w:pPr>
              <w:tabs>
                <w:tab w:val="left" w:pos="145"/>
                <w:tab w:val="left" w:pos="283"/>
              </w:tabs>
              <w:jc w:val="both"/>
            </w:pPr>
            <w:proofErr w:type="spellStart"/>
            <w:r>
              <w:rPr>
                <w:i/>
                <w:iCs/>
                <w:lang w:val="de-DE"/>
              </w:rPr>
              <w:t>Pertrauka</w:t>
            </w:r>
            <w:proofErr w:type="spellEnd"/>
          </w:p>
        </w:tc>
      </w:tr>
      <w:tr w:rsidR="001D4373" w:rsidTr="00F54A1C">
        <w:trPr>
          <w:trHeight w:val="31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F54A1C">
            <w:pPr>
              <w:jc w:val="center"/>
            </w:pPr>
            <w:r>
              <w:rPr>
                <w:b/>
                <w:bCs/>
              </w:rPr>
              <w:t>1</w:t>
            </w:r>
            <w:r w:rsidR="00F54A1C">
              <w:rPr>
                <w:b/>
                <w:bCs/>
              </w:rPr>
              <w:t>4</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Pr="0071364B" w:rsidRDefault="0071364B">
            <w:pPr>
              <w:tabs>
                <w:tab w:val="left" w:pos="145"/>
                <w:tab w:val="left" w:pos="283"/>
              </w:tabs>
              <w:jc w:val="both"/>
              <w:rPr>
                <w:lang w:val="lt-LT"/>
              </w:rPr>
            </w:pPr>
            <w:r>
              <w:rPr>
                <w:b/>
                <w:bCs/>
              </w:rPr>
              <w:t>Mokym</w:t>
            </w:r>
            <w:r>
              <w:rPr>
                <w:b/>
                <w:bCs/>
                <w:lang w:val="lt-LT"/>
              </w:rPr>
              <w:t>ų tęsinys</w:t>
            </w:r>
          </w:p>
        </w:tc>
      </w:tr>
      <w:tr w:rsidR="001D4373"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F54A1C">
            <w:pPr>
              <w:jc w:val="center"/>
            </w:pPr>
            <w:r>
              <w:rPr>
                <w:i/>
                <w:iCs/>
              </w:rPr>
              <w:t>1</w:t>
            </w:r>
            <w:r w:rsidR="00F54A1C">
              <w:rPr>
                <w:i/>
                <w:iCs/>
              </w:rPr>
              <w:t>6</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2F2FE2" w:rsidP="002F2FE2">
            <w:pPr>
              <w:tabs>
                <w:tab w:val="left" w:pos="145"/>
                <w:tab w:val="left" w:pos="283"/>
              </w:tabs>
              <w:jc w:val="both"/>
            </w:pPr>
            <w:r>
              <w:rPr>
                <w:i/>
                <w:iCs/>
                <w:lang w:val="pt-PT"/>
              </w:rPr>
              <w:t>N</w:t>
            </w:r>
            <w:r w:rsidR="0071364B">
              <w:rPr>
                <w:i/>
                <w:iCs/>
                <w:lang w:val="pt-PT"/>
              </w:rPr>
              <w:t>uotolinio</w:t>
            </w:r>
            <w:r w:rsidR="00024155">
              <w:rPr>
                <w:i/>
                <w:iCs/>
                <w:lang w:val="pt-PT"/>
              </w:rPr>
              <w:t xml:space="preserve"> seminaro pabaiga.</w:t>
            </w:r>
          </w:p>
        </w:tc>
      </w:tr>
    </w:tbl>
    <w:p w:rsidR="0071364B" w:rsidRDefault="0071364B">
      <w:pPr>
        <w:jc w:val="center"/>
        <w:rPr>
          <w:u w:val="single"/>
        </w:rPr>
      </w:pPr>
    </w:p>
    <w:p w:rsidR="001D4373" w:rsidRDefault="00024155">
      <w:pPr>
        <w:rPr>
          <w:b/>
          <w:bCs/>
          <w:sz w:val="20"/>
          <w:szCs w:val="20"/>
        </w:rPr>
      </w:pPr>
      <w:r>
        <w:rPr>
          <w:b/>
          <w:bCs/>
          <w:sz w:val="20"/>
          <w:szCs w:val="20"/>
        </w:rPr>
        <w:t>Anketų pildymas.</w:t>
      </w:r>
    </w:p>
    <w:p w:rsidR="001D4373" w:rsidRDefault="00024155">
      <w:pPr>
        <w:rPr>
          <w:b/>
          <w:bCs/>
          <w:sz w:val="20"/>
          <w:szCs w:val="20"/>
        </w:rPr>
      </w:pPr>
      <w:r>
        <w:rPr>
          <w:b/>
          <w:bCs/>
          <w:sz w:val="20"/>
          <w:szCs w:val="20"/>
        </w:rPr>
        <w:t>Programa gali keistis.</w:t>
      </w:r>
    </w:p>
    <w:p w:rsidR="0071364B" w:rsidRDefault="0071364B">
      <w:pPr>
        <w:rPr>
          <w:b/>
          <w:bCs/>
          <w:sz w:val="20"/>
          <w:szCs w:val="20"/>
        </w:rPr>
      </w:pPr>
      <w:bookmarkStart w:id="0" w:name="_GoBack"/>
      <w:bookmarkEnd w:id="0"/>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tbl>
      <w:tblPr>
        <w:tblStyle w:val="TableNormal"/>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1D4373">
        <w:trPr>
          <w:trHeight w:val="893"/>
        </w:trPr>
        <w:tc>
          <w:tcPr>
            <w:tcW w:w="9961" w:type="dxa"/>
            <w:tcBorders>
              <w:top w:val="nil"/>
              <w:left w:val="nil"/>
              <w:bottom w:val="nil"/>
              <w:right w:val="nil"/>
            </w:tcBorders>
            <w:shd w:val="clear" w:color="auto" w:fill="auto"/>
            <w:tcMar>
              <w:top w:w="80" w:type="dxa"/>
              <w:left w:w="152" w:type="dxa"/>
              <w:bottom w:w="80" w:type="dxa"/>
              <w:right w:w="80" w:type="dxa"/>
            </w:tcMar>
          </w:tcPr>
          <w:p w:rsidR="001D4373" w:rsidRDefault="00024155">
            <w:pPr>
              <w:ind w:left="72" w:hanging="72"/>
              <w:jc w:val="center"/>
              <w:rPr>
                <w:b/>
                <w:bCs/>
                <w:sz w:val="16"/>
                <w:szCs w:val="16"/>
              </w:rPr>
            </w:pPr>
            <w:r>
              <w:rPr>
                <w:b/>
                <w:bCs/>
                <w:sz w:val="16"/>
                <w:szCs w:val="16"/>
                <w:lang w:val="it-IT"/>
              </w:rPr>
              <w:t xml:space="preserve">Seminaro organizatorius: </w:t>
            </w:r>
          </w:p>
          <w:p w:rsidR="001D4373" w:rsidRDefault="00024155">
            <w:pPr>
              <w:ind w:left="72" w:hanging="72"/>
              <w:jc w:val="center"/>
              <w:rPr>
                <w:b/>
                <w:bCs/>
                <w:sz w:val="16"/>
                <w:szCs w:val="16"/>
              </w:rPr>
            </w:pPr>
            <w:r>
              <w:rPr>
                <w:b/>
                <w:bCs/>
                <w:sz w:val="16"/>
                <w:szCs w:val="16"/>
                <w:lang w:val="pt-PT"/>
              </w:rPr>
              <w:t>Nacionalin</w:t>
            </w:r>
            <w:r>
              <w:rPr>
                <w:b/>
                <w:bCs/>
                <w:sz w:val="16"/>
                <w:szCs w:val="16"/>
              </w:rPr>
              <w:t>ė teismų administracija</w:t>
            </w:r>
          </w:p>
          <w:p w:rsidR="001D4373" w:rsidRDefault="00024155">
            <w:pPr>
              <w:ind w:left="72" w:hanging="72"/>
              <w:jc w:val="center"/>
              <w:rPr>
                <w:sz w:val="16"/>
                <w:szCs w:val="16"/>
              </w:rPr>
            </w:pPr>
            <w:r>
              <w:rPr>
                <w:b/>
                <w:bCs/>
                <w:sz w:val="16"/>
                <w:szCs w:val="16"/>
              </w:rPr>
              <w:t>Kontaktai ir telefonai:</w:t>
            </w:r>
          </w:p>
          <w:p w:rsidR="001D4373" w:rsidRDefault="00024155">
            <w:pPr>
              <w:ind w:left="72" w:hanging="72"/>
              <w:jc w:val="center"/>
            </w:pPr>
            <w:r>
              <w:rPr>
                <w:sz w:val="16"/>
                <w:szCs w:val="16"/>
              </w:rPr>
              <w:t xml:space="preserve">Dalyvių sąrašai, seminaro organizavimas: Mokymų </w:t>
            </w:r>
            <w:r>
              <w:rPr>
                <w:sz w:val="16"/>
                <w:szCs w:val="16"/>
                <w:lang w:val="it-IT"/>
              </w:rPr>
              <w:t>ir tarptautinio bendradarbiavimo skyriaus mokym</w:t>
            </w:r>
            <w:r>
              <w:rPr>
                <w:sz w:val="16"/>
                <w:szCs w:val="16"/>
              </w:rPr>
              <w:t xml:space="preserve">ų </w:t>
            </w:r>
            <w:r>
              <w:rPr>
                <w:sz w:val="16"/>
                <w:szCs w:val="16"/>
                <w:lang w:val="it-IT"/>
              </w:rPr>
              <w:t>organizavimo specialist</w:t>
            </w:r>
            <w:r>
              <w:rPr>
                <w:sz w:val="16"/>
                <w:szCs w:val="16"/>
              </w:rPr>
              <w:t xml:space="preserve">ė Neringa Sakalauskienė </w:t>
            </w:r>
            <w:r>
              <w:rPr>
                <w:sz w:val="16"/>
                <w:szCs w:val="16"/>
                <w:lang w:val="pt-PT"/>
              </w:rPr>
              <w:t>tel. 8 645 52828, el. pa</w:t>
            </w:r>
            <w:r>
              <w:rPr>
                <w:sz w:val="16"/>
                <w:szCs w:val="16"/>
              </w:rPr>
              <w:t>š</w:t>
            </w:r>
            <w:r>
              <w:rPr>
                <w:sz w:val="16"/>
                <w:szCs w:val="16"/>
                <w:lang w:val="es-ES_tradnl"/>
              </w:rPr>
              <w:t xml:space="preserve">tas: </w:t>
            </w:r>
            <w:hyperlink r:id="rId7" w:history="1">
              <w:r>
                <w:rPr>
                  <w:rStyle w:val="Hyperlink0"/>
                  <w:rFonts w:eastAsia="Arial Unicode MS"/>
                  <w:sz w:val="16"/>
                  <w:szCs w:val="16"/>
                </w:rPr>
                <w:t>neringa.sakalauskiene@teismai.lt</w:t>
              </w:r>
            </w:hyperlink>
          </w:p>
        </w:tc>
      </w:tr>
      <w:tr w:rsidR="001D4373" w:rsidTr="0071364B">
        <w:trPr>
          <w:trHeight w:val="213"/>
        </w:trPr>
        <w:tc>
          <w:tcPr>
            <w:tcW w:w="9961" w:type="dxa"/>
            <w:tcBorders>
              <w:top w:val="nil"/>
              <w:left w:val="nil"/>
              <w:bottom w:val="nil"/>
              <w:right w:val="nil"/>
            </w:tcBorders>
            <w:shd w:val="clear" w:color="auto" w:fill="auto"/>
            <w:tcMar>
              <w:top w:w="80" w:type="dxa"/>
              <w:left w:w="152" w:type="dxa"/>
              <w:bottom w:w="80" w:type="dxa"/>
              <w:right w:w="80" w:type="dxa"/>
            </w:tcMar>
          </w:tcPr>
          <w:p w:rsidR="001D4373" w:rsidRDefault="00F54A1C" w:rsidP="002F2FE2">
            <w:pPr>
              <w:ind w:left="72" w:hanging="72"/>
              <w:jc w:val="center"/>
            </w:pPr>
            <w:r>
              <w:rPr>
                <w:b/>
                <w:bCs/>
                <w:sz w:val="16"/>
                <w:szCs w:val="16"/>
                <w:lang w:val="es-ES_tradnl"/>
              </w:rPr>
              <w:t>Seminaras vyks Zoom p</w:t>
            </w:r>
            <w:r w:rsidR="002F2FE2">
              <w:rPr>
                <w:b/>
                <w:bCs/>
                <w:sz w:val="16"/>
                <w:szCs w:val="16"/>
                <w:lang w:val="es-ES_tradnl"/>
              </w:rPr>
              <w:t>latformoje</w:t>
            </w:r>
          </w:p>
        </w:tc>
      </w:tr>
    </w:tbl>
    <w:p w:rsidR="001D4373" w:rsidRDefault="001D4373">
      <w:pPr>
        <w:widowControl w:val="0"/>
      </w:pPr>
    </w:p>
    <w:sectPr w:rsidR="001D4373">
      <w:headerReference w:type="default" r:id="rId8"/>
      <w:pgSz w:w="11900" w:h="16840"/>
      <w:pgMar w:top="680" w:right="567"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5D" w:rsidRDefault="00024155">
      <w:r>
        <w:separator/>
      </w:r>
    </w:p>
  </w:endnote>
  <w:endnote w:type="continuationSeparator" w:id="0">
    <w:p w:rsidR="00B7435D" w:rsidRDefault="000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5D" w:rsidRDefault="00024155">
      <w:r>
        <w:separator/>
      </w:r>
    </w:p>
  </w:footnote>
  <w:footnote w:type="continuationSeparator" w:id="0">
    <w:p w:rsidR="00B7435D" w:rsidRDefault="0002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373" w:rsidRDefault="00024155">
    <w:pPr>
      <w:pStyle w:val="Antrats"/>
      <w:tabs>
        <w:tab w:val="clear" w:pos="9638"/>
        <w:tab w:val="right" w:pos="9612"/>
      </w:tabs>
      <w:jc w:val="center"/>
    </w:pPr>
    <w:r>
      <w:rPr>
        <w:rFonts w:ascii="Arial" w:hAnsi="Arial"/>
        <w:b/>
        <w:bCs/>
        <w14:shadow w14:blurRad="0" w14:dist="19050" w14:dir="2700000" w14:sx="100000" w14:sy="100000" w14:kx="0" w14:ky="0" w14:algn="tl">
          <w14:srgbClr w14:val="000000">
            <w14:alpha w14:val="50000"/>
          </w14:srgbClr>
        </w14:shadow>
      </w:rPr>
      <w:t>NACIONALINĖ TEISMŲ ADMINISTRACIJA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formatting="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4373"/>
    <w:rsid w:val="00024155"/>
    <w:rsid w:val="001D4373"/>
    <w:rsid w:val="002F2FE2"/>
    <w:rsid w:val="0071364B"/>
    <w:rsid w:val="00A616B6"/>
    <w:rsid w:val="00B7435D"/>
    <w:rsid w:val="00B96A2F"/>
    <w:rsid w:val="00F54A1C"/>
    <w:rsid w:val="00F87B52"/>
    <w:rsid w:val="00FC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5887">
      <w:bodyDiv w:val="1"/>
      <w:marLeft w:val="0"/>
      <w:marRight w:val="0"/>
      <w:marTop w:val="0"/>
      <w:marBottom w:val="0"/>
      <w:divBdr>
        <w:top w:val="none" w:sz="0" w:space="0" w:color="auto"/>
        <w:left w:val="none" w:sz="0" w:space="0" w:color="auto"/>
        <w:bottom w:val="none" w:sz="0" w:space="0" w:color="auto"/>
        <w:right w:val="none" w:sz="0" w:space="0" w:color="auto"/>
      </w:divBdr>
    </w:div>
    <w:div w:id="550921640">
      <w:bodyDiv w:val="1"/>
      <w:marLeft w:val="0"/>
      <w:marRight w:val="0"/>
      <w:marTop w:val="0"/>
      <w:marBottom w:val="0"/>
      <w:divBdr>
        <w:top w:val="none" w:sz="0" w:space="0" w:color="auto"/>
        <w:left w:val="none" w:sz="0" w:space="0" w:color="auto"/>
        <w:bottom w:val="none" w:sz="0" w:space="0" w:color="auto"/>
        <w:right w:val="none" w:sz="0" w:space="0" w:color="auto"/>
      </w:divBdr>
    </w:div>
    <w:div w:id="132975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ringa.sakalauskiene@teismai.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1150</Words>
  <Characters>657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9</cp:revision>
  <dcterms:created xsi:type="dcterms:W3CDTF">2020-02-11T07:12:00Z</dcterms:created>
  <dcterms:modified xsi:type="dcterms:W3CDTF">2020-12-02T10:46:00Z</dcterms:modified>
</cp:coreProperties>
</file>