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8E20" w14:textId="77777777" w:rsidR="00034F8E" w:rsidRDefault="004E1219">
      <w:pPr>
        <w:pStyle w:val="Date858D7CFB-ED40-4347-BF05-701D383B685F858D7CFB-ED40-4347-BF05-701D383B685F0"/>
        <w:ind w:firstLine="1134"/>
      </w:pPr>
      <w:r>
        <w:rPr>
          <w:noProof/>
          <w:szCs w:val="24"/>
        </w:rPr>
        <w:drawing>
          <wp:inline distT="0" distB="0" distL="0" distR="0" wp14:anchorId="56BBC23C" wp14:editId="7C1765A3">
            <wp:extent cx="731520" cy="753749"/>
            <wp:effectExtent l="0" t="0" r="0" b="8251"/>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731520" cy="753749"/>
                    </a:xfrm>
                    <a:prstGeom prst="rect">
                      <a:avLst/>
                    </a:prstGeom>
                    <a:noFill/>
                    <a:ln>
                      <a:noFill/>
                      <a:prstDash/>
                    </a:ln>
                  </pic:spPr>
                </pic:pic>
              </a:graphicData>
            </a:graphic>
          </wp:inline>
        </w:drawing>
      </w:r>
    </w:p>
    <w:p w14:paraId="77DC19AB" w14:textId="77777777" w:rsidR="00034F8E" w:rsidRDefault="004E1219">
      <w:pPr>
        <w:pStyle w:val="Title"/>
        <w:spacing w:line="240" w:lineRule="auto"/>
        <w:ind w:firstLine="1134"/>
        <w:rPr>
          <w:rFonts w:ascii="Times New Roman" w:hAnsi="Times New Roman"/>
          <w:sz w:val="24"/>
          <w:szCs w:val="24"/>
        </w:rPr>
      </w:pPr>
      <w:r>
        <w:rPr>
          <w:rFonts w:ascii="Times New Roman" w:hAnsi="Times New Roman"/>
          <w:sz w:val="24"/>
          <w:szCs w:val="24"/>
        </w:rPr>
        <w:t>TEISĖJŲ ETIKOS IR DRAUSMĖS KOMISIJA</w:t>
      </w:r>
    </w:p>
    <w:p w14:paraId="51D1B03A" w14:textId="77777777" w:rsidR="00034F8E" w:rsidRDefault="00034F8E">
      <w:pPr>
        <w:pStyle w:val="Date858D7CFB-ED40-4347-BF05-701D383B685F858D7CFB-ED40-4347-BF05-701D383B685F0"/>
        <w:ind w:firstLine="1134"/>
        <w:rPr>
          <w:b/>
          <w:sz w:val="28"/>
          <w:szCs w:val="28"/>
        </w:rPr>
      </w:pPr>
    </w:p>
    <w:p w14:paraId="74628BB1" w14:textId="77777777" w:rsidR="00034F8E" w:rsidRDefault="004E1219">
      <w:pPr>
        <w:pStyle w:val="Date858D7CFB-ED40-4347-BF05-701D383B685F858D7CFB-ED40-4347-BF05-701D383B685F0"/>
        <w:ind w:firstLine="1134"/>
        <w:rPr>
          <w:b/>
          <w:sz w:val="28"/>
          <w:szCs w:val="28"/>
        </w:rPr>
      </w:pPr>
      <w:r>
        <w:rPr>
          <w:b/>
          <w:sz w:val="28"/>
          <w:szCs w:val="28"/>
        </w:rPr>
        <w:t>S P R E N D I M A S</w:t>
      </w:r>
    </w:p>
    <w:p w14:paraId="0395F15A" w14:textId="77777777" w:rsidR="00034F8E" w:rsidRDefault="004E1219">
      <w:pPr>
        <w:pStyle w:val="Date858D7CFB-ED40-4347-BF05-701D383B685F858D7CFB-ED40-4347-BF05-701D383B685F0"/>
        <w:ind w:firstLine="1134"/>
        <w:rPr>
          <w:b/>
          <w:caps/>
          <w:szCs w:val="24"/>
        </w:rPr>
      </w:pPr>
      <w:r>
        <w:rPr>
          <w:b/>
          <w:caps/>
          <w:szCs w:val="24"/>
        </w:rPr>
        <w:t>atsisakyti iškelti drausmės bylą</w:t>
      </w:r>
    </w:p>
    <w:p w14:paraId="2A58BA7A" w14:textId="77777777" w:rsidR="00034F8E" w:rsidRDefault="004E1219">
      <w:pPr>
        <w:pStyle w:val="Date858D7CFB-ED40-4347-BF05-701D383B685F858D7CFB-ED40-4347-BF05-701D383B685F0"/>
        <w:ind w:firstLine="1134"/>
      </w:pPr>
      <w:r>
        <w:rPr>
          <w:b/>
          <w:caps/>
          <w:szCs w:val="24"/>
        </w:rPr>
        <w:t>teisėjui A. m.</w:t>
      </w:r>
    </w:p>
    <w:p w14:paraId="28F69750" w14:textId="77777777" w:rsidR="00034F8E" w:rsidRDefault="00034F8E">
      <w:pPr>
        <w:pStyle w:val="Date858D7CFB-ED40-4347-BF05-701D383B685F858D7CFB-ED40-4347-BF05-701D383B685F"/>
        <w:ind w:firstLine="1077"/>
        <w:rPr>
          <w:szCs w:val="24"/>
        </w:rPr>
      </w:pPr>
    </w:p>
    <w:p w14:paraId="1717AC5C" w14:textId="77777777" w:rsidR="00034F8E" w:rsidRDefault="004E1219">
      <w:pPr>
        <w:pStyle w:val="Date858D7CFB-ED40-4347-BF05-701D383B685F858D7CFB-ED40-4347-BF05-701D383B685F"/>
        <w:ind w:firstLine="1077"/>
      </w:pPr>
      <w:r>
        <w:rPr>
          <w:szCs w:val="24"/>
        </w:rPr>
        <w:t>2021  m. kovo 12 d. Nr.</w:t>
      </w:r>
      <w:r>
        <w:rPr>
          <w:color w:val="999999"/>
          <w:szCs w:val="24"/>
        </w:rPr>
        <w:t xml:space="preserve"> </w:t>
      </w:r>
      <w:r>
        <w:rPr>
          <w:szCs w:val="24"/>
        </w:rPr>
        <w:t>18 P-4</w:t>
      </w:r>
    </w:p>
    <w:p w14:paraId="023C062A" w14:textId="77777777" w:rsidR="00034F8E" w:rsidRDefault="004E1219">
      <w:pPr>
        <w:pStyle w:val="Date858D7CFB-ED40-4347-BF05-701D383B685F858D7CFB-ED40-4347-BF05-701D383B685F"/>
        <w:ind w:firstLine="1077"/>
        <w:rPr>
          <w:szCs w:val="24"/>
        </w:rPr>
      </w:pPr>
      <w:r>
        <w:rPr>
          <w:szCs w:val="24"/>
        </w:rPr>
        <w:t>Vilnius</w:t>
      </w:r>
    </w:p>
    <w:p w14:paraId="53C52A56" w14:textId="77777777" w:rsidR="00034F8E" w:rsidRDefault="00034F8E">
      <w:pPr>
        <w:pStyle w:val="Date858D7CFB-ED40-4347-BF05-701D383B685F858D7CFB-ED40-4347-BF05-701D383B685F"/>
        <w:ind w:firstLine="1077"/>
        <w:jc w:val="left"/>
        <w:rPr>
          <w:szCs w:val="24"/>
        </w:rPr>
      </w:pPr>
    </w:p>
    <w:p w14:paraId="4DF5FE1C" w14:textId="77777777" w:rsidR="00034F8E" w:rsidRDefault="004E1219">
      <w:pPr>
        <w:pStyle w:val="Tekstas"/>
        <w:spacing w:before="0" w:after="0"/>
        <w:ind w:firstLine="851"/>
      </w:pPr>
      <w:r>
        <w:rPr>
          <w:szCs w:val="24"/>
        </w:rPr>
        <w:t xml:space="preserve">Teisėjų etikos ir drausmės komisija, dalyvaujant Komisijos nariams Sigitai </w:t>
      </w:r>
      <w:proofErr w:type="spellStart"/>
      <w:r>
        <w:rPr>
          <w:szCs w:val="24"/>
        </w:rPr>
        <w:t>Jokimaitei</w:t>
      </w:r>
      <w:proofErr w:type="spellEnd"/>
      <w:r>
        <w:rPr>
          <w:szCs w:val="24"/>
        </w:rPr>
        <w:t xml:space="preserve"> (pirmininkė), Snieguolei Matulienei (pranešėja), </w:t>
      </w:r>
      <w:proofErr w:type="spellStart"/>
      <w:r>
        <w:rPr>
          <w:szCs w:val="24"/>
        </w:rPr>
        <w:t>Veslavai</w:t>
      </w:r>
      <w:proofErr w:type="spellEnd"/>
      <w:r>
        <w:rPr>
          <w:szCs w:val="24"/>
        </w:rPr>
        <w:t xml:space="preserve"> Ruskan, </w:t>
      </w:r>
      <w:proofErr w:type="spellStart"/>
      <w:r>
        <w:rPr>
          <w:szCs w:val="24"/>
        </w:rPr>
        <w:t>Urmilai</w:t>
      </w:r>
      <w:proofErr w:type="spellEnd"/>
      <w:r>
        <w:rPr>
          <w:szCs w:val="24"/>
        </w:rPr>
        <w:t xml:space="preserve"> </w:t>
      </w:r>
      <w:proofErr w:type="spellStart"/>
      <w:r>
        <w:rPr>
          <w:szCs w:val="24"/>
        </w:rPr>
        <w:t>Valiukienei</w:t>
      </w:r>
      <w:proofErr w:type="spellEnd"/>
      <w:r>
        <w:rPr>
          <w:szCs w:val="24"/>
        </w:rPr>
        <w:t xml:space="preserve">, Tomui </w:t>
      </w:r>
      <w:proofErr w:type="spellStart"/>
      <w:r>
        <w:rPr>
          <w:szCs w:val="24"/>
        </w:rPr>
        <w:t>Berkmanui</w:t>
      </w:r>
      <w:proofErr w:type="spellEnd"/>
      <w:r>
        <w:rPr>
          <w:szCs w:val="24"/>
        </w:rPr>
        <w:t xml:space="preserve"> ir Liudui Ramanauskui, sekretoriaujant Nacionalinės teismų administracijos Administravimo skyriaus teisininkei Olgai </w:t>
      </w:r>
      <w:proofErr w:type="spellStart"/>
      <w:r>
        <w:rPr>
          <w:szCs w:val="24"/>
        </w:rPr>
        <w:t>Baltrėnei</w:t>
      </w:r>
      <w:proofErr w:type="spellEnd"/>
      <w:r>
        <w:rPr>
          <w:szCs w:val="24"/>
        </w:rPr>
        <w:t xml:space="preserve">, dalyvaujant </w:t>
      </w:r>
      <w:r>
        <w:rPr>
          <w:szCs w:val="24"/>
          <w:shd w:val="clear" w:color="auto" w:fill="FFFFFF"/>
        </w:rPr>
        <w:t>Lietuvos Aukščiausiojo</w:t>
      </w:r>
      <w:r>
        <w:rPr>
          <w:rFonts w:ascii="Arial" w:hAnsi="Arial" w:cs="Arial"/>
          <w:sz w:val="21"/>
          <w:szCs w:val="21"/>
          <w:shd w:val="clear" w:color="auto" w:fill="FFFFFF"/>
        </w:rPr>
        <w:t xml:space="preserve"> </w:t>
      </w:r>
      <w:r>
        <w:rPr>
          <w:szCs w:val="24"/>
        </w:rPr>
        <w:t xml:space="preserve">Teismo teisėjui A. M. (A. M.), išnagrinėjusi pareiškėjos </w:t>
      </w:r>
      <w:r>
        <w:t xml:space="preserve">VšĮ „Lietuvos nacionalinio radijo ir televizijos“ žurnalistės A. M. </w:t>
      </w:r>
      <w:r>
        <w:rPr>
          <w:szCs w:val="24"/>
        </w:rPr>
        <w:t xml:space="preserve">teikimus dėl drausmės bylos iškėlimo </w:t>
      </w:r>
      <w:r>
        <w:rPr>
          <w:szCs w:val="24"/>
          <w:shd w:val="clear" w:color="auto" w:fill="FFFFFF"/>
        </w:rPr>
        <w:t>Lietuvos Aukščiausiojo</w:t>
      </w:r>
      <w:r>
        <w:rPr>
          <w:rFonts w:ascii="Arial" w:hAnsi="Arial" w:cs="Arial"/>
          <w:sz w:val="21"/>
          <w:szCs w:val="21"/>
          <w:shd w:val="clear" w:color="auto" w:fill="FFFFFF"/>
        </w:rPr>
        <w:t xml:space="preserve"> </w:t>
      </w:r>
      <w:r>
        <w:rPr>
          <w:szCs w:val="24"/>
        </w:rPr>
        <w:t xml:space="preserve">Teismo teisėjui A. M., </w:t>
      </w:r>
    </w:p>
    <w:p w14:paraId="712252FB" w14:textId="77777777" w:rsidR="00034F8E" w:rsidRDefault="004E1219">
      <w:pPr>
        <w:pStyle w:val="Tekstas"/>
        <w:spacing w:before="0" w:after="0"/>
        <w:ind w:firstLine="851"/>
        <w:rPr>
          <w:szCs w:val="24"/>
        </w:rPr>
      </w:pPr>
      <w:r>
        <w:rPr>
          <w:szCs w:val="24"/>
        </w:rPr>
        <w:t>susipažinusi su medžiaga,</w:t>
      </w:r>
    </w:p>
    <w:p w14:paraId="4CD66D14" w14:textId="77777777" w:rsidR="00034F8E" w:rsidRDefault="00034F8E">
      <w:pPr>
        <w:pStyle w:val="Tekstas"/>
        <w:spacing w:before="0" w:after="0"/>
        <w:ind w:firstLine="851"/>
        <w:rPr>
          <w:spacing w:val="30"/>
          <w:szCs w:val="24"/>
        </w:rPr>
      </w:pPr>
    </w:p>
    <w:p w14:paraId="592388E2" w14:textId="77777777" w:rsidR="00034F8E" w:rsidRDefault="004E1219">
      <w:pPr>
        <w:pStyle w:val="Tekstas"/>
        <w:spacing w:before="0" w:after="0"/>
        <w:ind w:firstLine="851"/>
        <w:rPr>
          <w:spacing w:val="30"/>
          <w:szCs w:val="24"/>
        </w:rPr>
      </w:pPr>
      <w:r>
        <w:rPr>
          <w:spacing w:val="30"/>
          <w:szCs w:val="24"/>
        </w:rPr>
        <w:t>n u s t a t ė :</w:t>
      </w:r>
    </w:p>
    <w:p w14:paraId="4347202A" w14:textId="77777777" w:rsidR="00034F8E" w:rsidRDefault="00034F8E">
      <w:pPr>
        <w:ind w:firstLine="851"/>
        <w:jc w:val="both"/>
        <w:rPr>
          <w:sz w:val="24"/>
          <w:szCs w:val="24"/>
        </w:rPr>
      </w:pPr>
    </w:p>
    <w:p w14:paraId="1AA9D1D6" w14:textId="77777777" w:rsidR="00034F8E" w:rsidRDefault="004E1219">
      <w:pPr>
        <w:ind w:firstLine="851"/>
        <w:jc w:val="both"/>
      </w:pPr>
      <w:r>
        <w:rPr>
          <w:sz w:val="24"/>
          <w:szCs w:val="24"/>
        </w:rPr>
        <w:t xml:space="preserve">Teisėjų etikos ir drausmės komisijoje (toliau – Komisija) 2020 m. gruodžio 22 d. gautas iš Vyriausiosios tarnybinės etikos komisijos (toliau – VTEK) persiųstas VšĮ „Lietuvos nacionalinio radijo ir televizijos“ žurnalistės A. M. (toliau – pareiškėja) pranešimas (toliau – teikimas), kuriame prašoma įvertinti, ar </w:t>
      </w:r>
      <w:r>
        <w:rPr>
          <w:sz w:val="24"/>
          <w:szCs w:val="24"/>
          <w:shd w:val="clear" w:color="auto" w:fill="FFFFFF"/>
        </w:rPr>
        <w:t>Lietuvos Aukščiausiojo</w:t>
      </w:r>
      <w:r>
        <w:rPr>
          <w:rFonts w:ascii="Arial" w:hAnsi="Arial" w:cs="Arial"/>
          <w:sz w:val="24"/>
          <w:szCs w:val="24"/>
          <w:shd w:val="clear" w:color="auto" w:fill="FFFFFF"/>
        </w:rPr>
        <w:t xml:space="preserve"> </w:t>
      </w:r>
      <w:r>
        <w:rPr>
          <w:sz w:val="24"/>
          <w:szCs w:val="24"/>
        </w:rPr>
        <w:t>Teismo (toliau – LAT) teisėjas</w:t>
      </w:r>
      <w:r>
        <w:rPr>
          <w:szCs w:val="24"/>
        </w:rPr>
        <w:t xml:space="preserve"> </w:t>
      </w:r>
      <w:r>
        <w:rPr>
          <w:sz w:val="24"/>
          <w:szCs w:val="24"/>
        </w:rPr>
        <w:t xml:space="preserve">A. M. turėjo deklaruoti, kad veda mokymus komercinėje įmonėje „Mokymų klubas“, ir ar jis nesupainiojo viešųjų ir privačiųjų interesų, kai, parduodant paslaugą, nurodoma, kad jis yra ne tik teisėjas, bet ir pretendentų į teisėjus komisijos narys, ir siūloma nusipirkti pretendentų į teisėjus komisijos nario teisėjo paslaugą – mokymus, jeigu norima pretenduoti į teisėjus. Teikime nurodoma, kad 2020 m. teisėjas A. M. tris kartus vedė komercinius seminarus privačioje komercinėje įstaigoje „Mokymų klubas“, tačiau jų viešai nedeklaravo. Teikime pažymima, kad, siūlant pirkti teisėjo seminarą grupėje, MB „Mokymų klubas“ vadybininkės yra nurodyta, kad A. M. yra ne tik teisėjas, bet ir Pretendentų į teisėjus egzamino komisijos narys. </w:t>
      </w:r>
    </w:p>
    <w:p w14:paraId="7FE3CBC4" w14:textId="77777777" w:rsidR="00034F8E" w:rsidRDefault="004E1219">
      <w:pPr>
        <w:ind w:firstLine="851"/>
        <w:jc w:val="both"/>
        <w:rPr>
          <w:sz w:val="24"/>
          <w:szCs w:val="24"/>
        </w:rPr>
      </w:pPr>
      <w:r>
        <w:rPr>
          <w:sz w:val="24"/>
          <w:szCs w:val="24"/>
        </w:rPr>
        <w:t>Komisija 2021 m. sausio 13 d. gavo papildomą pranešimą (toliau – teikimas) dėl teisėjo A. M.. Pateiktame teikime VšĮ „Lietuvos nacionalinio radijo ir televizijos“ žurnalistė A. M. nurodo, kad teisėjas A. M. ilgiau nei penkerius metus nedeklaravo nuomos sandorio. Teikime nurodoma, kad minėtas sandoris deklaruotas tik 2020 m. sausio 12 d., nors sudarytas 2015 m. rugpjūčio 4 d., be to, privačių interesų deklaracijoje nėra nurodyta sandorio vertė. Teikime taip pat nurodoma, kad teisėjas A. M. nėra deklaravęs giminystės ryšių su Vilniaus miesto apylinkės teismo teisėju, teismo pirmininko pavaduotoju J. M. (jie yra broliai). Pareiškėjos vertinimu, yra didelė tikimybė, kad teisėjas A. M. peržiūrės ir vertins savo artimo giminaičio priimtą sprendimą. Taip pat pareiškėja nurodo, kad Vilniaus miesto apylinkės teismo teisėjo (teismo pirmininko pavaduotojo) J. M. žmona dirba Lietuvos Respublikos Prezidentūros kanceliarijoje. Pareiškėjos teigimu, Lietuvos Respublikos Prezidentas, patartas patarėjų ir remdamasis specialistų pateikta medžiaga, sprendžia dėl teisėjų karjeros, pareigų ir pan. Pareiškėja pažymi, kad šio giminystės ryšio teisėjas A. M. taip pat nėra deklaravęs. Teikime taip pat nurodoma, kad teisėjas A. M. vedė mokymus vienoje bendrovėje, tačiau vėliau paaiškėjo, kad papildomai pinigų jis užsidirbo bent keliose bendrovėse ar samdomas viešųjų įstaigų.</w:t>
      </w:r>
    </w:p>
    <w:p w14:paraId="610D13EA" w14:textId="77777777" w:rsidR="00034F8E" w:rsidRDefault="004E1219">
      <w:pPr>
        <w:ind w:firstLine="851"/>
        <w:jc w:val="both"/>
      </w:pPr>
      <w:r>
        <w:rPr>
          <w:sz w:val="24"/>
          <w:szCs w:val="24"/>
        </w:rPr>
        <w:t xml:space="preserve">VTEK 2020 m. gruodžio 22 d. raštu Nr. S-3253-(2.5) įvertinusi pareiškėjos teikime nurodytas aplinkybes nusprendė nepradėti tyrimo dėl teisėjo A. M. elgesio atitikties Lietuvos Respublikos viešųjų ir privačių interesų derinimo valstybinėje tarnyboje įstatymo (toliau – </w:t>
      </w:r>
      <w:r>
        <w:rPr>
          <w:sz w:val="24"/>
          <w:szCs w:val="24"/>
        </w:rPr>
        <w:lastRenderedPageBreak/>
        <w:t>VPIDVTĮ) nuostatoms ir teikime nurodytas aplinkybes pagal kompetenciją perdavė vertinti Komisijai. VTEK rašte pažymėjo, kad teikime nepateikta duomenų, kurių pagrindu būtų galima teigti, kad, pavyzdžiui, teisėjas A. M. gavo atlyginimą už neatliktą darbą, t. y. ne laisvu laiku, o tuomet, kai turėjo vykdyti teisėjo tarnybines funkcijas, vedė mokymus ir tokiu būdu, pasinaudodamas pareigomis, galėjo gauti asmeninės naudos. VTEK, įvertinusi teikime nurodomas aplinkybes, rašte taip pat pažymėjo, kad nėra pagrindo daryti išvadą, jog teisėjas vedamų mokymų metu galbūt atskleidė viešai neskelbiamą, jam einant teisėjo pareigas sužinotą tarnybinę informaciją ne tarnybos tikslams. VTEK rašte nurodė, kad teikime nurodoma situacija galėtų būti vertinama VPIDVTĮ nuostatų, įpareigojančių nustatyta tvarka deklaruoti privačius interesus, kontekste, jeigu būtų gauta duomenų apie tai, kad teisėjas A. M., vykdydamas teisėjo pareigas ar Pretendentų į teisėjus atrankos komisijos nario pareigas, nedeklaravo duomenų apie aplinkybes, kurios galėjo būti laikomos keliančiomis interesų konfliktą, t. y., pavyzdžiui, atsirado galimybė spręsti klausimus, susijusius su fiziniais ar juridiniais asmenimis, su kuriais teisėjas yra sudaręs sutartis (sandorius), gauna (ar yra gavęs) pajamų ir pan. Nagrinėjamu atveju tokių duomenų VTEK nebuvo pateikta.</w:t>
      </w:r>
    </w:p>
    <w:p w14:paraId="4DC1DFA2" w14:textId="77777777" w:rsidR="00034F8E" w:rsidRDefault="004E1219">
      <w:pPr>
        <w:ind w:firstLine="851"/>
        <w:jc w:val="both"/>
        <w:rPr>
          <w:sz w:val="24"/>
          <w:szCs w:val="24"/>
        </w:rPr>
      </w:pPr>
      <w:r>
        <w:rPr>
          <w:sz w:val="24"/>
          <w:szCs w:val="24"/>
        </w:rPr>
        <w:t>Komisija 2021 m. sausio 18 d. raštu Nr. 17P-3-(7.4.8) persiuntė VTEK pareiškėjos papildomą teikimą dėl teisėjo A. M. nedeklaruoto sandorio ir nedeklaruotų giminystės ryšių bei pavedė atlikti tyrimą dėl pareiškėjos teikime nurodytų aplinkybių.</w:t>
      </w:r>
    </w:p>
    <w:p w14:paraId="21AD2BB6" w14:textId="77777777" w:rsidR="00034F8E" w:rsidRDefault="004E1219">
      <w:pPr>
        <w:ind w:firstLine="851"/>
        <w:jc w:val="both"/>
      </w:pPr>
      <w:r>
        <w:rPr>
          <w:sz w:val="24"/>
          <w:szCs w:val="24"/>
        </w:rPr>
        <w:t xml:space="preserve">VTEK 2021 m. sausio 29 d. raštu Nr. S-287-(2.5) įvertinusi pareiškėjos teikime nurodytas aplinkybes nustatė, kad teisėjas A. M. 2015 m. rugpjūčio 4 d. sudarytą nuomos sandorį deklaravo 2015 m. lapkričio 2 d. teiktoje privačių interesų deklaracijoje, vėliau 2017–2019 metais teiktose deklaracijose šis sandoris nedeklaruotas, o 2021 m. sausio 12 d. vėl nurodomas. VTEK, atsižvelgusi į tai, kad teisėjas A. M. savo privačių interesų deklaracijoje jau yra deklaravęs duomenis apie sudarytą nuomos sandorį, neturėjo pagrindo siųsti raginimą tokius duomenis deklaruoti. </w:t>
      </w:r>
    </w:p>
    <w:p w14:paraId="0B72A123" w14:textId="77777777" w:rsidR="00034F8E" w:rsidRDefault="004E1219">
      <w:pPr>
        <w:ind w:firstLine="851"/>
        <w:jc w:val="both"/>
      </w:pPr>
      <w:r>
        <w:rPr>
          <w:sz w:val="24"/>
          <w:szCs w:val="24"/>
        </w:rPr>
        <w:t xml:space="preserve">VTEK rašte pažymėjo, kad pagal </w:t>
      </w:r>
      <w:r>
        <w:rPr>
          <w:rStyle w:val="Emphasis"/>
          <w:i w:val="0"/>
          <w:sz w:val="24"/>
          <w:szCs w:val="24"/>
        </w:rPr>
        <w:t xml:space="preserve">VPIDVTĮ 6 straipsnio 2 dalies 4 punktą deklaruojantysis deklaracijoje privalo nurodyti privačius interesus, egzistuojančius ar galinčius atsirasti ir dėl jam artimo asmens ar kito asmens arba dėl su šiais asmenimis arba juo pačiu susijusių duomenų. VTEK vertinimu, tik pats teisėjas gali spręsti, ar asmenį, su kuriuo susijusius sprendimus jis galėtų priimti ir kuris būtų laikytinas teisėjo privačiu interesu, be jau taikomos nušalinimo pareigos, dar reiktų nurodyti privačių interesų deklaracijoje. VTEK rašte nurodė, jog neturi duomenų, kad </w:t>
      </w:r>
      <w:r>
        <w:rPr>
          <w:sz w:val="24"/>
          <w:szCs w:val="24"/>
        </w:rPr>
        <w:t>A. M., eidamas teisėjo</w:t>
      </w:r>
      <w:r>
        <w:rPr>
          <w:rStyle w:val="Emphasis"/>
          <w:i w:val="0"/>
          <w:sz w:val="24"/>
          <w:szCs w:val="24"/>
        </w:rPr>
        <w:t xml:space="preserve"> pareigas, sprendė klausimus, susijusius su jam artimų asmenų privačiais interesais. Tačiau VTEK nusprendė kreiptis į teisėją </w:t>
      </w:r>
      <w:r>
        <w:rPr>
          <w:sz w:val="24"/>
          <w:szCs w:val="24"/>
        </w:rPr>
        <w:t>A. M. ir pasiūlė įsivertinti interesų konflikto kilimo tikimybę bei papildyti savo privačių interesų deklaraciją, nurodant aplinkybes, susijusias su galimu interesų konfliktu jam einant teisėjo pareigas.</w:t>
      </w:r>
    </w:p>
    <w:p w14:paraId="479C8226" w14:textId="77777777" w:rsidR="00034F8E" w:rsidRDefault="004E1219">
      <w:pPr>
        <w:ind w:firstLine="851"/>
        <w:jc w:val="both"/>
      </w:pPr>
      <w:r>
        <w:rPr>
          <w:sz w:val="24"/>
          <w:szCs w:val="24"/>
        </w:rPr>
        <w:t>Komisija, siekdama išsamiau išsiaiškinti teikimuose nurodytas aplinkybes, 2021 m. sausio 8 d. raštu Nr. 17p-172-(7.4.8) pavedė LAT pirmininkui atlikti tyrimą ir tyrimo išvadas pateikti Komisijai.</w:t>
      </w:r>
    </w:p>
    <w:p w14:paraId="5A39BBC0" w14:textId="77777777" w:rsidR="00034F8E" w:rsidRDefault="004E1219">
      <w:pPr>
        <w:ind w:firstLine="851"/>
        <w:jc w:val="both"/>
        <w:rPr>
          <w:sz w:val="24"/>
          <w:szCs w:val="24"/>
        </w:rPr>
      </w:pPr>
      <w:r>
        <w:rPr>
          <w:sz w:val="24"/>
          <w:szCs w:val="24"/>
        </w:rPr>
        <w:t xml:space="preserve">LAT pirmininko sudaryta komisija (toliau – LAT komisija), susipažinusi su teikimų medžiaga ir įvertinusi teikimuose nurodytas aplinkybes, atlikusi tyrimą, patikrinimo akte nurodė, kad 2020 m. teisėjas A. M. viešai skaitė 8 paskaitas (vedė mokymus) autorinių sutarčių, sudarytų su privačiomis įmonėmis ar viešosiomis įstaigomis, pagrindu, tačiau šių sutarčių nedeklaravo privačių interesų deklaracijoje. LAT komisija patikrinimo akte nustatė, kad 2020 m. A. M. privačiose įmonėse personalinių ar vidinių mokymų paskaitų neskaitė, personalinių ar vidinių seminarų nevedė. Patikrinimo akte pažymėta, kad nuo visų autorinio atlyginimo pajamų yra sumokėti mokesčiai, pajamos deklaruotos. LAT komisija, įvertinusi teikime nurodytas aplinkybes, nenustatė, kad teisėjas A. M. MB „Mokymų klubas“ tinklalapyje būtų pristatomas kaip Pretendentų į teisėjus egzamino komisijos narys. Patikrinimo akte nurodoma, kad vienas 2020 m. teisėjo A. M. vestų mokymų dalyvis (pagal pateiktus sąrašus) laikė pretendentų į teisėjus egzaminą. Konstatuota, kad 2020 m. teisėjas A. M. nenagrinėjo bylų, kuriose dalyvavo mokymus organizavusios įmonės ar įstaigos. Patikrinimo metu nustatyta, kad teisėjas A. M. 2020 m. skaitė paskaitas laisvu nuo bylų nagrinėjimo laiku. LAT komisija nustatė, kad teisėjas A. M. buto nuomos sandorį deklaravo 2015 m. lapkričio 2 d. Pagal pakeistą teisinį reglamentavimą deklaracija atnaujinta 2021 m. sausio 12 d., </w:t>
      </w:r>
      <w:r>
        <w:rPr>
          <w:sz w:val="24"/>
          <w:szCs w:val="24"/>
        </w:rPr>
        <w:lastRenderedPageBreak/>
        <w:t xml:space="preserve">šį nuomos sandorį nurodant iš naujo. Patikrinimo akte taip pat konstatuota, kad teisėjas A. M. nedeklaravo savo brolio J. M. giminystės ir brolio žmonos N. M. svainystės ryšių. </w:t>
      </w:r>
    </w:p>
    <w:p w14:paraId="73E4ADAE" w14:textId="77777777" w:rsidR="00034F8E" w:rsidRDefault="004E1219">
      <w:pPr>
        <w:autoSpaceDE w:val="0"/>
        <w:ind w:firstLine="851"/>
        <w:jc w:val="both"/>
      </w:pPr>
      <w:r>
        <w:rPr>
          <w:sz w:val="24"/>
          <w:szCs w:val="24"/>
        </w:rPr>
        <w:t xml:space="preserve">Teisėjas A. M. LAT komisijai 2021 m. sausio 18 d. pateiktame paaiškinime nurodė, kad medžiagos paruošimas paskaitai apie kasacinio teismo plėtojamą teisės aiškinimo praktiką ir tokios susistemintos medžiagos pateikimas viešos paskaitos metu turi būti pripažįstama teisėjui leidžiama pedagogine ir kūrybine veikla. Teisėjas A. M. paaiškino, kad kiekvieną kartą MB „Mokymų klubas“ jam el. paštu atsiųsdavo pasiūlymą skaityti konkrečios temos paskaitą ir kiekvieną kartą atskirai buvo tariamasi dėl medžiagos parengimo ir paskaitos bei autorinio atlyginimo. Teisėjas nurodė, kad atlyginimas mokėtas į nurodytą banko sąskaitą, prieš tai atskaičius ir sumokėjus visus teisės aktų nustatytus mokesčius. Paaiškinime teisėjas pažymėjo, kad nuo visų gautų autorinio atlyginimo pajamų yra sumokėti mokesčiai, pajamos deklaruotos tiek Valstybinio socialinio draudimo fondo valdybai (toliau – „Sodra“), tiek Valstybinei mokesčių inspekcijai (toliau – VMI). Teisėjas A. M. taip pat paaiškino, kad jis niekuomet nebūdavo informuojamas, kas buvo atvykę klausyti jo paskaitų, jis niekada to ir neklausė. Teisėjas akcentavo, kad pirmoji paskaita vyko auditorijoje, tačiau klausytojų asmeniškai nepažinojo ir nepažįsta. Visos kitos paskaitos vyko nuotoliniu būdu, o viena – mišriu būdu (dalis klausėsi auditorijoje, dalis – nuotoliniu būdu). Teisėjas A. M. nurodė, kad iš klausimų pobūdžio yra susidaręs nuomonę, kad jo paskaitose dalyvaudavo tiek privačių įmonių atstovai, tiek advokatai, tiek valstybės institucijų ir (ar) įstaigų atstovai. Teisėjas paaiškino, kad paskaitų metu jis pristatydavo susistemintą teismų praktiką, aptarinėjo kylančias teisinio pobūdžio problemas, taikydamas paskaitų metu aptariamų teisės aktų normas pagal konkrečias paskaitų teisės temas; niekada nesileisdavo į diskusijas apie konkrečias bylas. Teisėjas A. M. pažymėjo, jog vidinių mokymų privačioms bendrovėms ar kam nors asmeniškai jis nevedė. Teisėjas teigė, kad vieną kartą yra gavęs pasiūlymą skaityti paskaitą per vidaus mokymus, tačiau aiškiai išreiškęs poziciją, kad vidaus mokymų privačioms įmonėms neveda. Teisėjo vertinimu, jis nėra pažeidęs VPIDVTĮ nuostatų, interesų konflikto nėra ir negali atsirasti, todėl jis neturėjo pareigos deklaruoti anksčiau nurodytų autorinių sutarčių. </w:t>
      </w:r>
    </w:p>
    <w:p w14:paraId="26E7F2DC" w14:textId="77777777" w:rsidR="00034F8E" w:rsidRDefault="004E1219">
      <w:pPr>
        <w:autoSpaceDE w:val="0"/>
        <w:ind w:firstLine="851"/>
        <w:jc w:val="both"/>
      </w:pPr>
      <w:r>
        <w:rPr>
          <w:sz w:val="24"/>
          <w:szCs w:val="24"/>
        </w:rPr>
        <w:t>Teisėjas A. M. 2021 m. sausio 20 d. LAT komisijai pateiktame papildomame paaiškinime nurodė, kad jam asmeninės nuosavybės teise priklausančio buto nuomos sandorį jis deklaravo dar 2015 m. lapkričio mėn., šiais metais, atnaujindamas privačių interesų deklaraciją, buto nuomos sandorį nurodė iš naujo. Teisėjas pažymėjo, kad jo brolio – Vilniaus miesto apylinkės teismo teisėjo (teismo pirmininko pavaduotojo) J. M. – žmona N. M. dirba Lietuvos Respublikos Prezidento kanceliarijoje, jos pareigos yra techninio aptarnaujamojo pobūdžio Teisės grupėje, darbo funkcijos neapima teisės patarti Respublikos Prezidentui teisėjų karjeros klausimais. Teisėjo vertinimu, nėra jokio interesų konflikto, kuris turėtų būti deklaruojamas privačių interesų deklaracijoje. Teisėjo paaiškinimu,</w:t>
      </w:r>
      <w:r>
        <w:t xml:space="preserve"> </w:t>
      </w:r>
      <w:r>
        <w:rPr>
          <w:sz w:val="24"/>
          <w:szCs w:val="24"/>
        </w:rPr>
        <w:t>žinodamas, kad tikrai neteks kasacine tvarka nagrinėti bylos, kurioje atitinkamą procesinį sprendimą priėmė jo brolis – Vilniaus miesto apylinkės teismo teisėjas (teismo pirmininko pavaduotojas) J. M., buvo įsitikinęs, jog interesų konflikto nėra, todėl ir nedeklaravo šio giminystės ryšio. Teisėjo teigimu, jeigu jis ir būtų paskirtas į kasacine tvarka nagrinėjamą bylą, kurioje sprendimą yra priėmęs jo brolis, jis būtų nusišalinęs</w:t>
      </w:r>
    </w:p>
    <w:p w14:paraId="2B5CA522" w14:textId="77777777" w:rsidR="00034F8E" w:rsidRDefault="004E1219">
      <w:pPr>
        <w:autoSpaceDE w:val="0"/>
        <w:ind w:firstLine="851"/>
        <w:jc w:val="both"/>
      </w:pPr>
      <w:r>
        <w:rPr>
          <w:sz w:val="24"/>
          <w:szCs w:val="24"/>
          <w:lang w:eastAsia="en-US"/>
        </w:rPr>
        <w:t xml:space="preserve">Komisijos posėdžio metu teisėjas </w:t>
      </w:r>
      <w:r>
        <w:rPr>
          <w:sz w:val="24"/>
          <w:szCs w:val="24"/>
        </w:rPr>
        <w:t>A. M.</w:t>
      </w:r>
      <w:r>
        <w:rPr>
          <w:sz w:val="24"/>
          <w:szCs w:val="24"/>
          <w:lang w:eastAsia="en-US"/>
        </w:rPr>
        <w:t xml:space="preserve"> patvirtino raštu pateiktus paaiškinimus bei papildomai paaiškino, kad </w:t>
      </w:r>
      <w:r>
        <w:rPr>
          <w:sz w:val="24"/>
          <w:szCs w:val="24"/>
        </w:rPr>
        <w:t xml:space="preserve">paskaitų metu buvo pristatoma susisteminta teismų praktika, aptariamos nagrinėjamų teisės normų taikymo problemos, dėl konkrečių bylų nebuvo diskutuojama. Teisėjas A. M. pažymėjo, jog paskaitas skaitė neapibrėžtam asmenų ratui, asmenų, kuriems skaitė paskaitas, asmeniškai nepažįsta, todėl jokių moralinio pobūdžio įsipareigojimų ar moralinės skolos neturi nei paskaitų klausytojams, nei paskaitų organizatoriams, taip pat neturi jokio asmeninio turtinio ar neturtinio pobūdžio suinteresuotumo. Teisėjas akcentavo, jog vidinių mokymų privačioms bendrovėms ar kam nors asmeniškai jis nevedė. Teisėjas nurodė, kad vieną kartą yra gavęs pasiūlymą skaityti paskaitą per vidaus mokymus, tačiau aiškiai išreiškė poziciją, jog vidaus mokymų privačioms įmonėms jis neveda. Teisėjo teigimu, jeigu teisme būtų nagrinėjama civilinė byla, kurioje bet kokiu statusu dalyvautų mokymus organizavusios įmonės ar įstaigos, ir jis būtų įtrauktas į tokią bylą nagrinėjančios teisėjų kolegijos sudėtį, be jokių abejonių, nusišalintų nuo tokios bylos nagrinėjimo. Teisėjas taip pat paaiškino, kad sau asmeninės nuosavybės teise priklausančio buto nuomos sandorį jis deklaravo dar 2015 m. lapkričio mėn., šiais metais, atnaujindamas privačių interesų deklaraciją, buto nuomos sandorį nurodė iš naujo. Atsakinėdamas </w:t>
      </w:r>
      <w:r>
        <w:rPr>
          <w:sz w:val="24"/>
          <w:szCs w:val="24"/>
        </w:rPr>
        <w:lastRenderedPageBreak/>
        <w:t xml:space="preserve">į klausimus dėl brolio J. M., teisėjas A. M. nurodė, kad ši aplinkybė, jog su J. M. yra broliai, visiems žinoma, todėl nėra jokio intereso konflikto. Teisėjas pažymėjo, kad bylų, kurias išnagrinėjo J. M., jam nagrinėti neskiria. Dėl brolio žmonos N. M. teisėjas A. M. paaiškino, kad jos pareigos Teisės grupėje yra techninio aptarnaujamojo pobūdžio, darbo funkcijos neapima teisės patarti Respublikos Prezidentui teisėjų karjeros klausimais, todėl nėra jokio intereso konflikto. </w:t>
      </w:r>
    </w:p>
    <w:p w14:paraId="1C37E092" w14:textId="77777777" w:rsidR="00034F8E" w:rsidRDefault="00034F8E">
      <w:pPr>
        <w:autoSpaceDE w:val="0"/>
        <w:ind w:firstLine="851"/>
        <w:jc w:val="both"/>
        <w:rPr>
          <w:sz w:val="24"/>
          <w:szCs w:val="24"/>
          <w:lang w:eastAsia="en-US"/>
        </w:rPr>
      </w:pPr>
    </w:p>
    <w:p w14:paraId="26AF0500" w14:textId="77777777" w:rsidR="00034F8E" w:rsidRDefault="004E1219">
      <w:pPr>
        <w:autoSpaceDE w:val="0"/>
        <w:ind w:firstLine="851"/>
        <w:jc w:val="both"/>
      </w:pPr>
      <w:r>
        <w:rPr>
          <w:i/>
          <w:sz w:val="24"/>
          <w:szCs w:val="24"/>
        </w:rPr>
        <w:t xml:space="preserve">Drausmės bylą teisėjui </w:t>
      </w:r>
      <w:r>
        <w:rPr>
          <w:i/>
          <w:iCs/>
          <w:sz w:val="24"/>
          <w:szCs w:val="24"/>
        </w:rPr>
        <w:t>A. M.</w:t>
      </w:r>
      <w:r>
        <w:rPr>
          <w:i/>
          <w:sz w:val="24"/>
          <w:szCs w:val="24"/>
        </w:rPr>
        <w:t xml:space="preserve"> </w:t>
      </w:r>
      <w:r>
        <w:rPr>
          <w:i/>
          <w:iCs/>
          <w:sz w:val="24"/>
          <w:szCs w:val="24"/>
        </w:rPr>
        <w:t>kelti</w:t>
      </w:r>
      <w:r>
        <w:rPr>
          <w:i/>
          <w:iCs/>
          <w:szCs w:val="24"/>
        </w:rPr>
        <w:t xml:space="preserve"> </w:t>
      </w:r>
      <w:r>
        <w:rPr>
          <w:i/>
          <w:sz w:val="24"/>
          <w:szCs w:val="24"/>
        </w:rPr>
        <w:t>atsisakytina</w:t>
      </w:r>
    </w:p>
    <w:p w14:paraId="235FA12D" w14:textId="77777777" w:rsidR="00034F8E" w:rsidRDefault="00034F8E">
      <w:pPr>
        <w:autoSpaceDE w:val="0"/>
        <w:ind w:firstLine="851"/>
        <w:jc w:val="both"/>
        <w:rPr>
          <w:i/>
          <w:sz w:val="24"/>
          <w:szCs w:val="24"/>
        </w:rPr>
      </w:pPr>
    </w:p>
    <w:p w14:paraId="26B6FC76" w14:textId="77777777" w:rsidR="00034F8E" w:rsidRDefault="004E1219">
      <w:pPr>
        <w:autoSpaceDE w:val="0"/>
        <w:ind w:firstLine="851"/>
        <w:jc w:val="both"/>
      </w:pPr>
      <w:r>
        <w:rPr>
          <w:sz w:val="24"/>
          <w:szCs w:val="24"/>
        </w:rPr>
        <w:t>Komisija iškelia teisėjui drausmės bylą, kai teisėjo veiksmuose nustato nusižengimų, numatytų Lietuvos Respublikos teismų įstatymo (toliau –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55000EC9" w14:textId="77777777" w:rsidR="00034F8E" w:rsidRDefault="00034F8E">
      <w:pPr>
        <w:shd w:val="clear" w:color="auto" w:fill="FFFFFF"/>
        <w:ind w:firstLine="851"/>
        <w:jc w:val="both"/>
        <w:rPr>
          <w:sz w:val="24"/>
          <w:szCs w:val="24"/>
        </w:rPr>
      </w:pPr>
    </w:p>
    <w:p w14:paraId="7E441FA4" w14:textId="77777777" w:rsidR="00034F8E" w:rsidRDefault="004E1219">
      <w:pPr>
        <w:shd w:val="clear" w:color="auto" w:fill="FFFFFF"/>
        <w:ind w:firstLine="851"/>
        <w:jc w:val="both"/>
      </w:pPr>
      <w:r>
        <w:rPr>
          <w:i/>
          <w:sz w:val="24"/>
          <w:szCs w:val="24"/>
        </w:rPr>
        <w:t xml:space="preserve">Dėl teisėjo </w:t>
      </w:r>
      <w:r>
        <w:rPr>
          <w:i/>
          <w:iCs/>
          <w:sz w:val="24"/>
          <w:szCs w:val="24"/>
        </w:rPr>
        <w:t>A. M.</w:t>
      </w:r>
      <w:r>
        <w:rPr>
          <w:i/>
          <w:sz w:val="24"/>
          <w:szCs w:val="24"/>
        </w:rPr>
        <w:t xml:space="preserve"> nedeklaruotų mokymų </w:t>
      </w:r>
      <w:r>
        <w:rPr>
          <w:i/>
          <w:iCs/>
          <w:sz w:val="24"/>
          <w:szCs w:val="24"/>
        </w:rPr>
        <w:t>komercinėse įmonėse</w:t>
      </w:r>
    </w:p>
    <w:p w14:paraId="167EC2A1" w14:textId="77777777" w:rsidR="00034F8E" w:rsidRDefault="00034F8E">
      <w:pPr>
        <w:shd w:val="clear" w:color="auto" w:fill="FFFFFF"/>
        <w:ind w:firstLine="851"/>
        <w:jc w:val="both"/>
        <w:rPr>
          <w:i/>
          <w:iCs/>
          <w:sz w:val="24"/>
          <w:szCs w:val="24"/>
        </w:rPr>
      </w:pPr>
    </w:p>
    <w:p w14:paraId="17FD4B45" w14:textId="77777777" w:rsidR="00034F8E" w:rsidRDefault="004E1219">
      <w:pPr>
        <w:pStyle w:val="Tekstas"/>
        <w:spacing w:before="0" w:after="0"/>
        <w:ind w:firstLine="851"/>
      </w:pPr>
      <w:r>
        <w:rPr>
          <w:szCs w:val="24"/>
        </w:rPr>
        <w:t>Nagrinėjamu atveju Komisijos prašoma įvertinti, ar teisėjo A. M. veiksmuose nėra drausminės atsakomybės požymių, t. y. prašoma įvertinti, ar jis nesupainiojo viešųjų ir privačiųjų interesų, kai vedė mokymus komercinėse įmonėse ir jų nedeklaravo. Be to, anot pareiškėjos, parduodant mokymus teisėjas A. M. buvo pristatomas ne tik kaip teisėjas, bet ir kaip Pretendentų į teisėjus egzaminų komisijos narys.</w:t>
      </w:r>
    </w:p>
    <w:p w14:paraId="6B3D530E" w14:textId="77777777" w:rsidR="00034F8E" w:rsidRDefault="004E1219">
      <w:pPr>
        <w:pStyle w:val="Tekstas"/>
        <w:spacing w:before="0" w:after="0"/>
        <w:ind w:firstLine="851"/>
      </w:pPr>
      <w:r>
        <w:t>Pagal Lietuvos Respublikos Konstitucijos (toliau – Konstitucija) 109 straipsnio 1 dalį teismų funkcija – vykdyti teisingumą. Konstitucijos 109 straipsnio 2 dalyje nustatyta, kad teisėjas ir teismai, vykdydami teisingumą, yra nepriklausomi. Konstitucinis teisėjo nepriklausomumo principas yra įtvirtintas Teismų įstatymo 3 straipsnyje. Lietuvos Respublikos Konstitucinis Teismas (toliau – Konstitucinis Teismas) 1999 m. gruodžio 21 d. nutarime pažymėjo, kad teisingumo vykdymas – teismų funkcija, lemianti šios valdžios vietą valstybės valdžios sistemoje ir teisėjų statusą. Konstitucinis Teismas 2006 m. lapkričio 27 d. nutarime pažymėjo, kad teisėjo elgesys – tiek susijęs su tiesioginiu pareigų atlikimu, tiek su jo veikla, kuri nėra susijusi su jo pareigomis, – neturi kelti abejonių dėl jo nešališkumo ir nepriklausomumo.</w:t>
      </w:r>
    </w:p>
    <w:p w14:paraId="2AA83ABF" w14:textId="77777777" w:rsidR="00034F8E" w:rsidRDefault="004E1219">
      <w:pPr>
        <w:autoSpaceDE w:val="0"/>
        <w:ind w:firstLine="851"/>
        <w:jc w:val="both"/>
      </w:pPr>
      <w:r>
        <w:rPr>
          <w:sz w:val="24"/>
          <w:szCs w:val="24"/>
        </w:rPr>
        <w:t xml:space="preserve">Komisija pažymi, kad teisėjui yra keliami aukštesni elgesio standartai nei kitiems asmenims. Tiek eidamas tiesiogines pareigas, tiek laisvu nuo pareigų atlikimo metu jis turi vadovautis Teisėjų etikos kodekse įtvirtintais principais, laikytis šiame kodekse nustatytų teisėjų etikos taisyklių. Teisėjų etiško elgesio vertinimo svarbiausiais kriterijais turėtų būti teisėjo nepriklausomumo ir nešališkumo principai. </w:t>
      </w:r>
    </w:p>
    <w:p w14:paraId="12E27234" w14:textId="77777777" w:rsidR="00034F8E" w:rsidRDefault="004E1219">
      <w:pPr>
        <w:pStyle w:val="Tekstas"/>
        <w:spacing w:before="0" w:after="0"/>
        <w:ind w:firstLine="851"/>
      </w:pPr>
      <w:r>
        <w:t>Europos Tarybos Ministrų Komiteto 2010 m. lapkričio 17 d. rekomendacijos Nr. (2010)12 „Dėl teisėjų: nepriklausomumas, veiksmingumas ir atsakomybė“ (toliau – Rekomendacija) II skyriuje yra apibrėžiamas teisėjo išorinis nepriklausomumas. Rekomendacijos II skyriaus 21 punkte nustatyta, kad teisėjai turi teisę užsiimti veikla, kuri nėra tarnybinių pareigų vykdymas; siekiant išvengti interesų konfliktų, ši veikla turėtų būti apribota iki veiksmų, kurie atitinka nešališkumą ir nepriklausomumą.</w:t>
      </w:r>
    </w:p>
    <w:p w14:paraId="1443ECF1" w14:textId="77777777" w:rsidR="00034F8E" w:rsidRDefault="004E1219">
      <w:pPr>
        <w:autoSpaceDE w:val="0"/>
        <w:ind w:firstLine="851"/>
        <w:jc w:val="both"/>
      </w:pPr>
      <w:r>
        <w:rPr>
          <w:sz w:val="24"/>
          <w:szCs w:val="24"/>
        </w:rPr>
        <w:t>Konstitucijos 113 straipsnio 1 dalyje nustatyta, kad teisėjas negali gauti kito atlyginimo, išskyrus teisėjo atlyginimą bei užmokestį už pedagoginę ar kūrybinę veiklą.</w:t>
      </w:r>
      <w:r>
        <w:rPr>
          <w:color w:val="000000"/>
          <w:sz w:val="24"/>
          <w:szCs w:val="24"/>
        </w:rPr>
        <w:t xml:space="preserve"> Jis taip pat negali gauti jokio kito atlyginimo, išskyrus teisėjo atlyginimą bei užmokestį už pedagoginę ar kūrybinę veiklą.</w:t>
      </w:r>
      <w:r>
        <w:rPr>
          <w:sz w:val="24"/>
          <w:szCs w:val="24"/>
        </w:rPr>
        <w:t xml:space="preserve"> Šiuo draudimu siekiama užtikrinti teisėjų nepriklausomumą ir nešališkumą, kartu ir tinkamą pagal Konstituciją, </w:t>
      </w:r>
      <w:proofErr w:type="spellStart"/>
      <w:r>
        <w:rPr>
          <w:i/>
          <w:iCs/>
          <w:sz w:val="24"/>
          <w:szCs w:val="24"/>
        </w:rPr>
        <w:t>inter</w:t>
      </w:r>
      <w:proofErr w:type="spellEnd"/>
      <w:r>
        <w:rPr>
          <w:i/>
          <w:iCs/>
          <w:sz w:val="24"/>
          <w:szCs w:val="24"/>
        </w:rPr>
        <w:t xml:space="preserve"> alia</w:t>
      </w:r>
      <w:r>
        <w:rPr>
          <w:sz w:val="24"/>
          <w:szCs w:val="24"/>
        </w:rPr>
        <w:t xml:space="preserve"> jos 109 straipsnį, teismams priskirtos teisingumo funkcijos vykdymą.</w:t>
      </w:r>
    </w:p>
    <w:p w14:paraId="0CE587EF" w14:textId="77777777" w:rsidR="00034F8E" w:rsidRDefault="004E1219">
      <w:pPr>
        <w:pStyle w:val="Tekstas"/>
        <w:spacing w:before="0" w:after="0"/>
        <w:ind w:firstLine="851"/>
      </w:pPr>
      <w:r>
        <w:t xml:space="preserve">Teismų įstatymo 48 straipsnis nustato tam tikras taisykles dėl teisėjo darbo ir veiklos ne teisme, būtent nustato tiek apribojimus (dirbti verslo ar kitokiose privačiose įstaigose ar įmonėse, dalyvauti politinių partijų, kitų politinių organizacijų veikloje), tiek veiklos pobūdį, kuria gali </w:t>
      </w:r>
      <w:r>
        <w:lastRenderedPageBreak/>
        <w:t>užsiimti teisėjas (pedagoginė ar kūrybinė veikla, dalyvavimas teisės aktų projektų rengimo grupėse, atstovavimas Lietuvos valstybei tarptautinėse organizacijose).</w:t>
      </w:r>
    </w:p>
    <w:p w14:paraId="5C9CA002" w14:textId="77777777" w:rsidR="00034F8E" w:rsidRDefault="004E1219">
      <w:pPr>
        <w:pStyle w:val="Tekstas"/>
        <w:spacing w:before="0" w:after="0"/>
        <w:ind w:firstLine="851"/>
      </w:pPr>
      <w:r>
        <w:rPr>
          <w:szCs w:val="24"/>
        </w:rPr>
        <w:t xml:space="preserve">Konstitucinis Teismas 2016 m. gegužės 16 d. sprendime Nr. KT16-S9/2016 „Dėl Lietuvos Respublikos Konstitucinio Teismo 2001 m. liepos 12 d., 2004 m. liepos 1 d. nutarimų nuostatų išaiškinimo“ išaiškino, kad pedagoginės ir kūrybinės veiklos konstitucinės sampratos nėra tapačios, kad kiekviena iš jų turi savarankišką turinį. Pedagoginė veikla siejama su dėstymu, mokymu, ugdymu mokymo, auklėjimo įstaigose (įskaitant aukštąsias mokyklas), tuo tarpu kūrybinė veikla yra veikla, kuria siekiama sukurti mokslo, technikos, kultūros ar meno kūrinį (2004 m. liepos 1 d. nutarimas, 2011 m. vasario 23 d. sprendimas). Taigi kūrybinė veikla apima </w:t>
      </w:r>
      <w:proofErr w:type="spellStart"/>
      <w:r>
        <w:rPr>
          <w:i/>
          <w:iCs/>
          <w:szCs w:val="24"/>
        </w:rPr>
        <w:t>inter</w:t>
      </w:r>
      <w:proofErr w:type="spellEnd"/>
      <w:r>
        <w:rPr>
          <w:i/>
          <w:iCs/>
          <w:szCs w:val="24"/>
        </w:rPr>
        <w:t xml:space="preserve"> alia</w:t>
      </w:r>
      <w:r>
        <w:rPr>
          <w:szCs w:val="24"/>
        </w:rPr>
        <w:t xml:space="preserve"> mokslinę veiklą.</w:t>
      </w:r>
    </w:p>
    <w:p w14:paraId="7FB351CD" w14:textId="77777777" w:rsidR="00034F8E" w:rsidRDefault="004E1219">
      <w:pPr>
        <w:autoSpaceDE w:val="0"/>
        <w:ind w:firstLine="851"/>
        <w:jc w:val="both"/>
      </w:pPr>
      <w:r>
        <w:rPr>
          <w:sz w:val="24"/>
          <w:szCs w:val="24"/>
        </w:rPr>
        <w:t xml:space="preserve">Aiškindamas kūrybinės veiklos konstitucinę sampratą Konstitucinis Teismas pažymėjo, kad Konstitucijos 42 straipsnio 1 dalyje nustatyta, jog kultūra, mokslas ir tyrinėjimai bei dėstymas yra laisvi, o šio straipsnio 3 dalyje – jog dvasinius ir materialinius autoriaus interesus, susijusius su mokslo, technikos, kultūros ir meno kūryba, saugo ir gina įstatymas. Pagal Konstituciją kūrybinė veikla – tai veikla mokslo, technikos, kultūros ar meno srityse, kuria siekiama sukurti kūrinį, t. y. kokybiškai naują, originalią, niekada anksčiau neegzistavusią konkrečią materialinę ar dvasinę mokslo, technikos, kultūros ar meno vertybę. Kūrybinė veikla gali būti ir nuolatinė, profesinė, ir vienkartinė (epizodinė). Konstitucijoje įtvirtinta kūrybinės veiklos samprata yra viena, jos turinys nepriklauso </w:t>
      </w:r>
      <w:proofErr w:type="spellStart"/>
      <w:r>
        <w:rPr>
          <w:i/>
          <w:iCs/>
          <w:sz w:val="24"/>
          <w:szCs w:val="24"/>
        </w:rPr>
        <w:t>inter</w:t>
      </w:r>
      <w:proofErr w:type="spellEnd"/>
      <w:r>
        <w:rPr>
          <w:i/>
          <w:iCs/>
          <w:sz w:val="24"/>
          <w:szCs w:val="24"/>
        </w:rPr>
        <w:t xml:space="preserve"> alia</w:t>
      </w:r>
      <w:r>
        <w:rPr>
          <w:sz w:val="24"/>
          <w:szCs w:val="24"/>
        </w:rPr>
        <w:t xml:space="preserve"> nuo to, koks asmuo ja užsiima. Už kūrybinę veiklą autoriui gali būti sumokėtas atlyginimas, kurį, visuotinai įprasta, reguliuoja autorių teisės normos (2004 m. liepos 1 d. nutarimas, 2011 m. vasario 23 d. sprendimas). </w:t>
      </w:r>
    </w:p>
    <w:p w14:paraId="1D5626F4" w14:textId="77777777" w:rsidR="00034F8E" w:rsidRDefault="004E1219">
      <w:pPr>
        <w:autoSpaceDE w:val="0"/>
        <w:ind w:firstLine="851"/>
        <w:jc w:val="both"/>
      </w:pPr>
      <w:r>
        <w:rPr>
          <w:sz w:val="24"/>
          <w:szCs w:val="24"/>
        </w:rPr>
        <w:t>Komisija, išnagrinėjusi teikimą, įvertinusi LAT komisijos neplaninio (operatyvaus) tikslinio patikrinimo aktą bei su juo susijusią medžiagą, išklausiusi teisėjo A. M. paaiškinimus, nustatė, kad 2020 m. teisėjas A. M. autorinių sutarčių su privačiomis ir viešosiomis įstaigomis pagrindu vedė aštuonis seminarus / mokymus: keturis seminarus, organizuotus MB „Mokymų klubas“, po vieną seminarą, organizuotą MB „</w:t>
      </w:r>
      <w:proofErr w:type="spellStart"/>
      <w:r>
        <w:rPr>
          <w:sz w:val="24"/>
          <w:szCs w:val="24"/>
        </w:rPr>
        <w:t>Katsu</w:t>
      </w:r>
      <w:proofErr w:type="spellEnd"/>
      <w:r>
        <w:rPr>
          <w:sz w:val="24"/>
          <w:szCs w:val="24"/>
        </w:rPr>
        <w:t xml:space="preserve">“, UAB „Mokesčių srautas“, Nemokumo administratorių rūmų ir Nacionalinės bankroto administratorių asociacijos. Iš autorinių sutarčių nustatyta, kad paskaitų temos orientuotos į nemokumo ir civilinio proceso klausimus. Autorinių sutarčių objektai – pranešimo (susistemintos medžiagos) parengimas ir seminaro vedimas (paskaitos ar pranešimo skaitymas). Autorinės sutartys patvirtina, kad už kiekvieną paskaitą gautas autorinis atlyginimas nesiekė 1000 Eur, o nuo visų autorinio atlyginimo pajamų yra sumokėti mokesčiai (VMI), pajamos deklaruotos Valstybinio socialinio draudimo fondo valdybai („Sodrai“). </w:t>
      </w:r>
    </w:p>
    <w:p w14:paraId="0D210D53" w14:textId="77777777" w:rsidR="00034F8E" w:rsidRDefault="004E1219">
      <w:pPr>
        <w:autoSpaceDE w:val="0"/>
        <w:ind w:firstLine="851"/>
        <w:jc w:val="both"/>
        <w:rPr>
          <w:sz w:val="24"/>
          <w:szCs w:val="24"/>
        </w:rPr>
      </w:pPr>
      <w:r>
        <w:rPr>
          <w:sz w:val="24"/>
          <w:szCs w:val="24"/>
        </w:rPr>
        <w:t>Komisija neturi duomenų, leidžiančių daryti išvadą, kad teisėjas A. M. būtų vedęs personalinius ar vidinius seminarus privačiose įmonėse. LAT komisija, įvertinusi teisėjo A. M. paaiškinimus, taip pat teisėjo ir MB „</w:t>
      </w:r>
      <w:proofErr w:type="spellStart"/>
      <w:r>
        <w:rPr>
          <w:sz w:val="24"/>
          <w:szCs w:val="24"/>
        </w:rPr>
        <w:t>Katsu</w:t>
      </w:r>
      <w:proofErr w:type="spellEnd"/>
      <w:r>
        <w:rPr>
          <w:sz w:val="24"/>
          <w:szCs w:val="24"/>
        </w:rPr>
        <w:t>“ elektroninį susirašinėjimą, kuriame teisėjas aiškiai nurodė, kad paskaitų vidiniuose privačių įmonių mokymuose jis neskaito, patikrinimo akte konstatavo, kad teisėjas A. M. nėra davęs sutikimo mokymų organizatoriams vesti vidinius mokymus privačiose įmonėse, ir padarė išvadą, kad tokia teisėjo pozicija patvirtina jo nesutikimą vesti personalinius mokymus ar vidinius seminarus, kitus tokio formato mokymus.</w:t>
      </w:r>
    </w:p>
    <w:p w14:paraId="4808E2D9" w14:textId="77777777" w:rsidR="00034F8E" w:rsidRDefault="004E1219">
      <w:pPr>
        <w:autoSpaceDE w:val="0"/>
        <w:ind w:firstLine="851"/>
        <w:jc w:val="both"/>
      </w:pPr>
      <w:r>
        <w:rPr>
          <w:sz w:val="24"/>
          <w:szCs w:val="24"/>
        </w:rPr>
        <w:t xml:space="preserve">Komisija, išnagrinėjusi pareiškėjos VšĮ „Lietuvos nacionalinio radijo ir televizijos“ žurnalistės A. M. teikimo turinį, nustatė, kad jame nurodomi teiginiai, jog teisėjas A. M. MB „Mokymų klubas“ tinklalapyje buvo pristatomas kaip Pretendentų į teisėjus egzamino komisijos narys, nepasitvirtino. LAT komisija tyrė pareiškėjos teikime nurodytas aplinkybes, kaip lektoriai pristatomi svetainėje </w:t>
      </w:r>
      <w:hyperlink r:id="rId7" w:history="1">
        <w:r>
          <w:rPr>
            <w:rStyle w:val="Hyperlink"/>
            <w:color w:val="auto"/>
            <w:sz w:val="24"/>
            <w:szCs w:val="24"/>
            <w:u w:val="none"/>
          </w:rPr>
          <w:t>https://mokymuklubas.lt/lektoriai/</w:t>
        </w:r>
      </w:hyperlink>
      <w:r>
        <w:rPr>
          <w:sz w:val="24"/>
          <w:szCs w:val="24"/>
        </w:rPr>
        <w:t xml:space="preserve"> (svetainėje lankytasi du kartus – 2021 m. sausio 12 d. ir 2021 m. sausio 26 d.). Pirmuoju atveju teisėjas A. M. buvo pristatomas kaip LAT teisėjas, antruoju atveju – jis lektorių sąraše nenurodytas</w:t>
      </w:r>
      <w:bookmarkStart w:id="0" w:name="_Hlk63193290"/>
      <w:r>
        <w:rPr>
          <w:sz w:val="24"/>
          <w:szCs w:val="24"/>
        </w:rPr>
        <w:t xml:space="preserve">. Teisėjo A. M. pristatymas kaip Pretendentų į teisėjus egzamino komisijos nario, jei toks yra buvęs, tyrimo metu nebuvo išlikęs. </w:t>
      </w:r>
      <w:bookmarkEnd w:id="0"/>
      <w:r>
        <w:rPr>
          <w:sz w:val="24"/>
          <w:szCs w:val="24"/>
        </w:rPr>
        <w:t xml:space="preserve">MB „Mokymų klubas“, nors ir buvo prašytas nurodyti, kaip 2020 m. jo tinklalapyje oficialiai buvo pristatytas lektorius A. M., tokios informacijos nepateikė. Taigi, duomenų, leidžiančių daryti išvadą, kad teisėjas A. M. MB „Mokymų klubas“ tinklalapyje buvo pristatomas kaip Pretendentų į teisėjus egzamino komisijos narys, nėra. </w:t>
      </w:r>
    </w:p>
    <w:p w14:paraId="17F3736E" w14:textId="77777777" w:rsidR="00034F8E" w:rsidRDefault="004E1219">
      <w:pPr>
        <w:autoSpaceDE w:val="0"/>
        <w:ind w:firstLine="851"/>
        <w:jc w:val="both"/>
      </w:pPr>
      <w:r>
        <w:rPr>
          <w:sz w:val="24"/>
          <w:szCs w:val="24"/>
        </w:rPr>
        <w:t xml:space="preserve">Be to, siekiant nustatyti, ar buvo konkrečių atvejų, kai teisėjo A. M. vestų mokymų dalyvis laikė ir pretendentų į teisėjus egzaminą, LAT komisijos prašymu buvo pateiktas pretendentų į teisėjus egzaminą 2020 m. laikiusių 46 asmenų sąrašas, kuris buvo sugretintas su teisėjo A. M. </w:t>
      </w:r>
      <w:r>
        <w:rPr>
          <w:sz w:val="24"/>
          <w:szCs w:val="24"/>
        </w:rPr>
        <w:lastRenderedPageBreak/>
        <w:t>paskaitų klausytojų sąrašais (53 asmenys). Iš pateiktų dalyvių sąrašų LAT komisija nustatė, kad klausytojų auditorija buvo įvairi: privatūs asmenys, privačių įmonių, valstybės institucijų atstovai, atskirų teisinių profesijų (gildijų) atstovai (pvz., advokatai, bankroto administratoriai), ir tik viena paskaitų dalyvė laikė pretendentų į teisėjus egzaminą (VMI darbuotoja I. B. 2020 m. kovo 13 d. dalyvavo MB „Mokymų klubas“ organizuotame seminare „Fizinių asmenų bankrotas. Visi 2020 m. pakeitimai“). Teisėjas A. M. paaiškino, kad jis paskaitas skaitė neapibrėžtam asmenų ratui, o asmenų, kuriems skaitė paskaitas, asmeniškai nepažįsta. Pažymėtina ir tai, kad asmenys, laikantys pretendentų į teisėjus egzaminą, prieš egzaminą ištraukia šifrus, kurie nurodomi egzamino atsakymų lape, už egzaminuojamajam suteikto šifro ir jo konfidencialumo išsaugojimą atsakingas egzaminuojamasis (Pretendentų į teisėjus egzamino komisijos nuostatų, patvirtintų Teisėjų tarybos 2019 m. gruodžio 13 d. nutarimu Nr. 13P-206-(7.1.2), 37, 38, 46 p.). Taigi Pretendentų į teisėjus egzamino komisijos nariui nėra žinoma egzaminuojamo asmens, kurio darbą jis tikrina, tapatybė.</w:t>
      </w:r>
    </w:p>
    <w:p w14:paraId="719FF935" w14:textId="77777777" w:rsidR="00034F8E" w:rsidRDefault="004E1219">
      <w:pPr>
        <w:autoSpaceDE w:val="0"/>
        <w:ind w:firstLine="851"/>
        <w:jc w:val="both"/>
      </w:pPr>
      <w:r>
        <w:rPr>
          <w:sz w:val="24"/>
          <w:szCs w:val="24"/>
        </w:rPr>
        <w:t xml:space="preserve">Kaip jau minėta, </w:t>
      </w:r>
      <w:r>
        <w:rPr>
          <w:color w:val="000000"/>
          <w:sz w:val="24"/>
          <w:szCs w:val="24"/>
          <w:shd w:val="clear" w:color="auto" w:fill="FFFFFF"/>
        </w:rPr>
        <w:t xml:space="preserve">Konstitucija teisėjui nedraudžia, be pagrindinės veiklos – teisingumo vykdymo, </w:t>
      </w:r>
      <w:r>
        <w:rPr>
          <w:sz w:val="24"/>
          <w:szCs w:val="24"/>
        </w:rPr>
        <w:t xml:space="preserve">užsiimti ir kitokia veikla, kuri būtų pedagoginė ar kūrybinė, ir teisėjas už ją galėtų gauti atitinkamą užmokestį. Pažymėtina ir tai, kad draudimas teisėjui dirbti verslo, komercijos ar kitokiose privačiose įstaigose ar įmonėse netaikomas jo pedagoginei, kūrybinei, </w:t>
      </w:r>
      <w:proofErr w:type="spellStart"/>
      <w:r>
        <w:rPr>
          <w:i/>
          <w:iCs/>
          <w:sz w:val="24"/>
          <w:szCs w:val="24"/>
        </w:rPr>
        <w:t>inter</w:t>
      </w:r>
      <w:proofErr w:type="spellEnd"/>
      <w:r>
        <w:rPr>
          <w:i/>
          <w:iCs/>
          <w:sz w:val="24"/>
          <w:szCs w:val="24"/>
        </w:rPr>
        <w:t xml:space="preserve"> alia</w:t>
      </w:r>
      <w:r>
        <w:rPr>
          <w:sz w:val="24"/>
          <w:szCs w:val="24"/>
        </w:rPr>
        <w:t xml:space="preserve"> mokslinei, veiklai mokymo ar mokslo įstaigose, pagal Konstituciją ji yra leidžiama (Konstitucinio Teismo 2016 m. gegužės 16 d. sprendimas). </w:t>
      </w:r>
    </w:p>
    <w:p w14:paraId="21285394" w14:textId="77777777" w:rsidR="00034F8E" w:rsidRDefault="004E1219">
      <w:pPr>
        <w:autoSpaceDE w:val="0"/>
        <w:ind w:firstLine="851"/>
        <w:jc w:val="both"/>
      </w:pPr>
      <w:r>
        <w:rPr>
          <w:sz w:val="24"/>
          <w:szCs w:val="24"/>
        </w:rPr>
        <w:t xml:space="preserve">Konstitucinis Teismas 2016 m. gegužės 16 d. sprendime pažymėjo, jog su dėstymu, mokymu ir ugdymu susijusi pedagoginė, kūrybinė, taip pat mokslinė veikla, kuri gali būti ir vienkartinė (epizodinė), taip pat suponuoja tai, kad ši veikla </w:t>
      </w:r>
      <w:r>
        <w:rPr>
          <w:i/>
          <w:iCs/>
          <w:sz w:val="24"/>
          <w:szCs w:val="24"/>
        </w:rPr>
        <w:t>nebūtinai</w:t>
      </w:r>
      <w:r>
        <w:rPr>
          <w:sz w:val="24"/>
          <w:szCs w:val="24"/>
        </w:rPr>
        <w:t xml:space="preserve"> kiekvienu atveju turi būti siejama su konkrečiais darbo, tarnybos ar kitokiais santykiais su atitinkamomis įstaigomis. </w:t>
      </w:r>
    </w:p>
    <w:p w14:paraId="231B08D8" w14:textId="77777777" w:rsidR="00034F8E" w:rsidRDefault="004E1219">
      <w:pPr>
        <w:autoSpaceDE w:val="0"/>
        <w:ind w:firstLine="851"/>
        <w:jc w:val="both"/>
      </w:pPr>
      <w:proofErr w:type="spellStart"/>
      <w:r>
        <w:rPr>
          <w:sz w:val="24"/>
          <w:szCs w:val="24"/>
        </w:rPr>
        <w:t>Bangaloro</w:t>
      </w:r>
      <w:proofErr w:type="spellEnd"/>
      <w:r>
        <w:rPr>
          <w:sz w:val="24"/>
          <w:szCs w:val="24"/>
        </w:rPr>
        <w:t xml:space="preserve"> teisėjų elgesio principai, priimti 2002 m. lapkričio 25–26 d. Hagoje vykusiame teismų pirmininkų posėdyje, skirti teisėjų etiško elgesio standartams įtvirtinti, sudaryti siekiant apibrėžti teisėjų elgesio gaires ir suteikti teismų sistemai pagrindą reguliuoti teisėjų elgesį, numato nešališkumo vertybę. Nešališkumo principas pripažįstamas kaip labai svarbus tinkamam teisėjo pareigų vykdymui. </w:t>
      </w:r>
      <w:proofErr w:type="spellStart"/>
      <w:r>
        <w:rPr>
          <w:sz w:val="24"/>
          <w:szCs w:val="24"/>
        </w:rPr>
        <w:t>Bangaloro</w:t>
      </w:r>
      <w:proofErr w:type="spellEnd"/>
      <w:r>
        <w:rPr>
          <w:sz w:val="24"/>
          <w:szCs w:val="24"/>
        </w:rPr>
        <w:t xml:space="preserve"> teisėjų elgesio principų 4.11.4 punkte nustatyta, kad teisėjas gali dalyvauti kitoje veikloje, jeigu ši veikla nesumenkina teisėjo pareigų orumo arba kitais būdais netrukdo teisėjo pareigų vykdymui.</w:t>
      </w:r>
    </w:p>
    <w:p w14:paraId="5F2F0329" w14:textId="77777777" w:rsidR="00034F8E" w:rsidRDefault="004E1219">
      <w:pPr>
        <w:autoSpaceDE w:val="0"/>
        <w:ind w:firstLine="851"/>
        <w:jc w:val="both"/>
      </w:pPr>
      <w:r>
        <w:rPr>
          <w:sz w:val="24"/>
          <w:szCs w:val="24"/>
        </w:rPr>
        <w:t>VTEK, vertindama pareiškėjos VšĮ „Lietuvos nacionalinio radijo ir televizijos“ žurnalistės A. M. teikime nurodytas aplinkybes, 2020 m. gruodžio 22 d. rašte Nr. S-3253-(2.5) nurodė, jog pagal VPIDVTĮ 3 straipsnio 1 dalies 3, 5 punktus deklaruojantys asmenys privalo nesinaudoti tarnybinėmis pareigomis ar tarnybiniu statusu asmeninei naudai gauti, nesinaudoti viešai neskelbiama tarnybine informacija ne tarnybinei veiklai, ir pažymėjo, kad pareiškėjos teikime nepateikta duomenų, kurių pagrindu galima būtų teigti, jog teisėjas A. M. gavo atlyginimą už neatliktą darbą, t. y. ne laisvu laiku, o tuomet, kai turėjo vykdyti teisėjo tarnybines funkcijas, vedė mokymus ir tokiu būdu, pasinaudodamas pareigomis, galėjo gauti asmeninės naudos.</w:t>
      </w:r>
    </w:p>
    <w:p w14:paraId="29991AAE" w14:textId="77777777" w:rsidR="00034F8E" w:rsidRDefault="004E1219">
      <w:pPr>
        <w:autoSpaceDE w:val="0"/>
        <w:ind w:firstLine="851"/>
        <w:jc w:val="both"/>
      </w:pPr>
      <w:r>
        <w:rPr>
          <w:sz w:val="24"/>
          <w:szCs w:val="24"/>
        </w:rPr>
        <w:t>Komisija atkreipia dėmesį į Teismų įstatymo</w:t>
      </w:r>
      <w:r>
        <w:rPr>
          <w:color w:val="333333"/>
          <w:sz w:val="24"/>
          <w:szCs w:val="24"/>
        </w:rPr>
        <w:t xml:space="preserve"> </w:t>
      </w:r>
      <w:bookmarkStart w:id="1" w:name="part_54485737d91a4ffd956766787088cae1"/>
      <w:bookmarkEnd w:id="1"/>
      <w:r>
        <w:rPr>
          <w:sz w:val="24"/>
          <w:szCs w:val="24"/>
        </w:rPr>
        <w:t>44</w:t>
      </w:r>
      <w:r>
        <w:rPr>
          <w:sz w:val="24"/>
          <w:szCs w:val="24"/>
          <w:vertAlign w:val="superscript"/>
        </w:rPr>
        <w:t>1</w:t>
      </w:r>
      <w:r>
        <w:rPr>
          <w:sz w:val="24"/>
          <w:szCs w:val="24"/>
        </w:rPr>
        <w:t xml:space="preserve"> straipsnio 1 dalį, nustatančią, kad </w:t>
      </w:r>
      <w:bookmarkStart w:id="2" w:name="part_3f95a15b9cfe48f8b981de57852c2855"/>
      <w:bookmarkEnd w:id="2"/>
      <w:r>
        <w:rPr>
          <w:sz w:val="24"/>
          <w:szCs w:val="24"/>
        </w:rPr>
        <w:t xml:space="preserve">teisėjas savo darbo laiką planuoja ir organizuoja savarankiškai, išskyrus proceso įstatymuose nustatytus atvejus. </w:t>
      </w:r>
      <w:r>
        <w:rPr>
          <w:sz w:val="24"/>
          <w:szCs w:val="24"/>
          <w:shd w:val="clear" w:color="auto" w:fill="FFFFFF"/>
        </w:rPr>
        <w:t xml:space="preserve">Įvertinus išskirtinį konstitucinį teisėjo statusą, kylantį iš Konstitucijoje įtvirtintos teisingumo vykdymo funkcijos, atsižvelgus į tai, kad teisėjas pagal jo atliekamas pareigas negali būti priskirtas prie valstybės tarnautojų ar darbuotojų, darytina išvada, kad teisėjo darbo laiko nėra pagrindo vertinti kaip normuoto. Nenormuotas teisėjo darbo laikas reiškia, kad </w:t>
      </w:r>
      <w:r>
        <w:rPr>
          <w:rFonts w:eastAsia="Calibri"/>
          <w:sz w:val="24"/>
          <w:szCs w:val="24"/>
          <w:lang w:eastAsia="en-US"/>
        </w:rPr>
        <w:t xml:space="preserve">teisėjai turi teisę per dieną darbą organizuoti savo nuožiūra taip, kad laikas būtų išnaudojamas efektyviau, geresniam teisėjo pareigų atlikimui ir nebūtinai darbo vietoje. Teisėjas pats turi teisę nusistatyti, kada ir kiek būti darbo vietoje. Tą jis sprendžia pagal jam tenkančias pareigas nustatytu laiku nagrinėti bylas, dalyvauti teismo ar kituose renginiuose (susirinkimuose, susitikimuose, pasitarimuose, priėmimuose, kvalifikacijos kėlimo užsiėmimuose, mokymuose, budėjimuose ir kt.), kuriuose dalyvauti paskirtas ar įsipareigojo dalyvauti. </w:t>
      </w:r>
      <w:r>
        <w:rPr>
          <w:sz w:val="24"/>
          <w:szCs w:val="24"/>
        </w:rPr>
        <w:t>Atlikusi tyrimą, LAT komisija patikrinimo akte konstatavo, kad teisėjo A. M. paskaitos nebuvo skaitomos bylų nagrinėjimo metu, taip pat jos netrukdė teisėjui A. M. dalyvauti Civilinių bylų skyriaus teisėjų pasitarimuose, kituose organizaciniuose renginiuose.</w:t>
      </w:r>
    </w:p>
    <w:p w14:paraId="71A1566E" w14:textId="77777777" w:rsidR="00034F8E" w:rsidRDefault="004E1219">
      <w:pPr>
        <w:autoSpaceDE w:val="0"/>
        <w:ind w:firstLine="851"/>
        <w:jc w:val="both"/>
      </w:pPr>
      <w:r>
        <w:rPr>
          <w:sz w:val="24"/>
          <w:szCs w:val="24"/>
        </w:rPr>
        <w:t xml:space="preserve">Komisijos vertinimu, teisėjo A. M. mokymų ar seminarų vedimas, netrukdantis atlikti tiesiogines teisėjo pareigas, neprieštarauja teisėjų etikos reikalavimams. Pagal teisingumo principo </w:t>
      </w:r>
      <w:r>
        <w:rPr>
          <w:sz w:val="24"/>
          <w:szCs w:val="24"/>
        </w:rPr>
        <w:lastRenderedPageBreak/>
        <w:t xml:space="preserve">nuostatas teisėjas gali rašyti, skaityti paskaitas, mokyti ir dalyvauti su teise, teisine sistema, teisingumo įgyvendinimu arba kitais klausimais susijusioje veikloje. Teisėjo veikla, susijusi su paskaitų skaitymu, neprieštarauja jo pareigų orumui ir teisėjo garbei. Komisijos nuomone, tokia veikla kaip tik suteikia teisėjui galimybių gilinti profesines žinias ir tobulinti bendravimo su auditorija bei viešo kalbėjimo įgūdžius, taip pat kelti teisėjo profesijos prestižą, gerinti teisėjo vardą visuomenėje, taip prisidedant prie teismų, kaip atviros institucijos, vardo propagavimo. </w:t>
      </w:r>
    </w:p>
    <w:p w14:paraId="557DB644" w14:textId="77777777" w:rsidR="00034F8E" w:rsidRDefault="004E1219">
      <w:pPr>
        <w:autoSpaceDE w:val="0"/>
        <w:ind w:firstLine="851"/>
        <w:jc w:val="both"/>
      </w:pPr>
      <w:r>
        <w:rPr>
          <w:sz w:val="24"/>
          <w:szCs w:val="24"/>
        </w:rPr>
        <w:t xml:space="preserve">Komisija laikosi nuomonės, kad teisėjo A. M. nurodyta veikla, susijusi su paskaitų teisine tematika rengimu ir skaitymu, patenka į Konstitucijoje apibrėžtą veiklos sritį, už kurią teisėjas gali papildomai gauti atlygį. Seminarų vedimas konkrečios teisės šakos klausimais, už kurį teisėjui mokamas </w:t>
      </w:r>
      <w:r>
        <w:rPr>
          <w:iCs/>
          <w:sz w:val="24"/>
          <w:szCs w:val="24"/>
        </w:rPr>
        <w:t>autorinis</w:t>
      </w:r>
      <w:r>
        <w:rPr>
          <w:sz w:val="24"/>
          <w:szCs w:val="24"/>
        </w:rPr>
        <w:t xml:space="preserve"> atlyginimas, neprieštarauja Teismų įstatymo 48 straipsnio 4 dalyje įtvirtintam draudimui. </w:t>
      </w:r>
    </w:p>
    <w:p w14:paraId="52C635BB" w14:textId="77777777" w:rsidR="00034F8E" w:rsidRDefault="004E1219">
      <w:pPr>
        <w:autoSpaceDE w:val="0"/>
        <w:ind w:firstLine="851"/>
        <w:jc w:val="both"/>
      </w:pPr>
      <w:r>
        <w:rPr>
          <w:sz w:val="24"/>
          <w:szCs w:val="24"/>
        </w:rPr>
        <w:t xml:space="preserve">Svarbu pažymėti tik tai, kad visais atvejais už </w:t>
      </w:r>
      <w:r>
        <w:rPr>
          <w:sz w:val="24"/>
          <w:szCs w:val="24"/>
          <w:shd w:val="clear" w:color="auto" w:fill="FFFFFF"/>
        </w:rPr>
        <w:t>pedagoginę ar kūrybinę veiklą</w:t>
      </w:r>
      <w:r>
        <w:rPr>
          <w:sz w:val="24"/>
          <w:szCs w:val="24"/>
        </w:rPr>
        <w:t xml:space="preserve"> teisėjui mokamas užmokestis privalo būti aiškiai nustatomas, proporcingai įdėtam darbui, bei mokamas įstatymų nustatyta tvarka, išskaičiuojant visus privalomus mokesčius ir vykdant kitus įstatymų reikalavimus (pvz., dėl viešųjų ir privačių interesų, pajamų deklaravimo ir t. t.). Atlikusi tyrimą, LAT komisija patikrinimo akte konstatavo, kad nuo visų autorinio atlyginimo pajamų yra sumokėti mokesčiai, pajamos deklaruotos. </w:t>
      </w:r>
    </w:p>
    <w:p w14:paraId="19081769" w14:textId="77777777" w:rsidR="00034F8E" w:rsidRDefault="004E1219">
      <w:pPr>
        <w:widowControl w:val="0"/>
        <w:tabs>
          <w:tab w:val="left" w:pos="720"/>
        </w:tabs>
        <w:ind w:firstLine="720"/>
        <w:jc w:val="both"/>
      </w:pPr>
      <w:r>
        <w:rPr>
          <w:sz w:val="24"/>
          <w:szCs w:val="24"/>
        </w:rPr>
        <w:t>Komisija savo praktikoje jau yra pasisakiusi, kad VPIDVTĮ nuostatų laikymosi kontrolė Teisėjų etikos ir drausmės komisijai nepriskirta, teisėjų deklaracijų turinio tikrinimas ir vertinimas yra VTEK kompetencija (Teisėjų etikos ir drausmės komisijos 2018 m. kovo 26 d. sprendimas Nr. 18P-7, 2018 m. vasario 1 d. sprendimas Nr. 18P-3).</w:t>
      </w:r>
    </w:p>
    <w:p w14:paraId="6676CDC4" w14:textId="77777777" w:rsidR="00034F8E" w:rsidRDefault="004E1219">
      <w:pPr>
        <w:widowControl w:val="0"/>
        <w:tabs>
          <w:tab w:val="left" w:pos="720"/>
        </w:tabs>
        <w:ind w:firstLine="720"/>
        <w:jc w:val="both"/>
        <w:rPr>
          <w:sz w:val="24"/>
          <w:szCs w:val="24"/>
        </w:rPr>
      </w:pPr>
      <w:r>
        <w:rPr>
          <w:sz w:val="24"/>
          <w:szCs w:val="24"/>
        </w:rPr>
        <w:t xml:space="preserve">VPIDVTĮ (11 straipsnio 1 dalies 7 punktas, 15 straipsnio 2 dalis) teisėjams yra taikomas su tam tikromis išlygomis, kadangi viešųjų interesų viršenybės užtikrinimo būdai nustatomi ir kituose teisėjų veiklą reglamentuojančiuose įstatymuose. </w:t>
      </w:r>
    </w:p>
    <w:p w14:paraId="76C0C200" w14:textId="77777777" w:rsidR="00034F8E" w:rsidRDefault="004E1219">
      <w:pPr>
        <w:widowControl w:val="0"/>
        <w:tabs>
          <w:tab w:val="left" w:pos="720"/>
        </w:tabs>
        <w:ind w:firstLine="720"/>
        <w:jc w:val="both"/>
        <w:rPr>
          <w:sz w:val="24"/>
          <w:szCs w:val="24"/>
        </w:rPr>
      </w:pPr>
      <w:r>
        <w:rPr>
          <w:sz w:val="24"/>
          <w:szCs w:val="24"/>
        </w:rPr>
        <w:t>Teisėjo etikos kodekso 11 straipsnio 2 punkte aiškiai ir konkrečiai nurodoma teisėjo pareiga vengti viešųjų ir privačių interesų konflikto, o 8 straipsnio 6 punktas numato teisėjams pareigą nusišalinti nuo bylos nagrinėjimo, jeigu yra interesų konfliktas arba turima informacijos, jog privataus pobūdžio aplinkybės gali pakenkti bylos nagrinėjimui.</w:t>
      </w:r>
    </w:p>
    <w:p w14:paraId="5BDF661F" w14:textId="77777777" w:rsidR="00034F8E" w:rsidRDefault="004E1219">
      <w:pPr>
        <w:widowControl w:val="0"/>
        <w:tabs>
          <w:tab w:val="left" w:pos="720"/>
        </w:tabs>
        <w:ind w:firstLine="720"/>
        <w:jc w:val="both"/>
      </w:pPr>
      <w:r>
        <w:rPr>
          <w:sz w:val="24"/>
          <w:szCs w:val="24"/>
        </w:rPr>
        <w:t>Pagal VPIDVTĮ 6 straipsnio 2 dalies 2 punktą d</w:t>
      </w:r>
      <w:r>
        <w:rPr>
          <w:color w:val="000000"/>
          <w:sz w:val="24"/>
          <w:szCs w:val="24"/>
        </w:rPr>
        <w:t>eklaruojantis asmuo deklaracijoje privalo nurodyti privačius interesus,</w:t>
      </w:r>
      <w:r>
        <w:rPr>
          <w:sz w:val="24"/>
          <w:szCs w:val="24"/>
        </w:rPr>
        <w:t xml:space="preserve"> </w:t>
      </w:r>
      <w:r>
        <w:rPr>
          <w:color w:val="000000"/>
          <w:sz w:val="24"/>
          <w:szCs w:val="24"/>
        </w:rPr>
        <w:t>egzistuojančius ar galinčius atsirasti dėl jo, sutuoktinio, sugyventinio, partnerio ryšių su juridiniais ir fiziniais asmenimis sudarius sandorį, kurio vertė didesnė negu 3000 Eur, įskaitant individualios veiklos sandorius. Deklaracijoje pateikiama informacija apie sandorius, sudarytus per 12 mėnesių iki deklaracijos pateikimo dienos</w:t>
      </w:r>
      <w:r>
        <w:rPr>
          <w:sz w:val="24"/>
          <w:szCs w:val="24"/>
        </w:rPr>
        <w:t>. Taigi, pagal galiojančias įstatymo nuostatas, teisėjas A. M. turėtų deklaruoti su MB „Mokymų klubas“, MB „</w:t>
      </w:r>
      <w:proofErr w:type="spellStart"/>
      <w:r>
        <w:rPr>
          <w:sz w:val="24"/>
          <w:szCs w:val="24"/>
        </w:rPr>
        <w:t>Katsu</w:t>
      </w:r>
      <w:proofErr w:type="spellEnd"/>
      <w:r>
        <w:rPr>
          <w:sz w:val="24"/>
          <w:szCs w:val="24"/>
        </w:rPr>
        <w:t>“, UAB „Mokesčių srautas“, Nemokumo administratorių rūmais ir Nacionalinės bankroto administratorių asociacija sudarytas autorines sutartis (sandorius) esant dviem būtinoms sąlygoms: pirma, jeigu sudaryto sandorio vertė viršytų 3000 Eur; antra, teisėjui A. M. einant teisėjo pareigas kiltų ar galėtų kilti pareiga spręsti klausimus, susijusius su MB „Mokymų klubas“, MB „</w:t>
      </w:r>
      <w:proofErr w:type="spellStart"/>
      <w:r>
        <w:rPr>
          <w:sz w:val="24"/>
          <w:szCs w:val="24"/>
        </w:rPr>
        <w:t>Katsu</w:t>
      </w:r>
      <w:proofErr w:type="spellEnd"/>
      <w:r>
        <w:rPr>
          <w:sz w:val="24"/>
          <w:szCs w:val="24"/>
        </w:rPr>
        <w:t xml:space="preserve">“, UAB „Mokesčių srautas“, Nemokumo administratorių rūmais ir Nacionalinės bankroto administratorių asociacija bylose, kurias jis nagrinėtų, t. y. teisėjo nagrinėjamose bylose būtų įtraukti minėti juridiniai asmenys ar jie dalyvautų kaip viena iš šalių. </w:t>
      </w:r>
    </w:p>
    <w:p w14:paraId="245D914C" w14:textId="77777777" w:rsidR="00034F8E" w:rsidRDefault="004E1219">
      <w:pPr>
        <w:autoSpaceDE w:val="0"/>
        <w:ind w:firstLine="851"/>
        <w:jc w:val="both"/>
        <w:rPr>
          <w:sz w:val="24"/>
          <w:szCs w:val="24"/>
        </w:rPr>
      </w:pPr>
      <w:r>
        <w:rPr>
          <w:sz w:val="24"/>
          <w:szCs w:val="24"/>
        </w:rPr>
        <w:t xml:space="preserve">Komisija, įvertinusi LAT komisijos patikrinimo aktą, Lietuvos teismų informacinės sistemos LITEKO duomenis bei teisėjo A. M. paaiškinimus, nustatė, kad kiekvienos autorinės sutarties vertė nesiekė 3000 Eur sumos, be to, 2020 metais teisėjas A. M. nenagrinėjo bylų, kuriose dalyvavo mokymus organizavusios įmonės ar įstaigos. </w:t>
      </w:r>
    </w:p>
    <w:p w14:paraId="349BE8E0" w14:textId="77777777" w:rsidR="00034F8E" w:rsidRDefault="004E1219">
      <w:pPr>
        <w:autoSpaceDE w:val="0"/>
        <w:ind w:firstLine="851"/>
        <w:jc w:val="both"/>
      </w:pPr>
      <w:r>
        <w:rPr>
          <w:sz w:val="24"/>
          <w:szCs w:val="24"/>
        </w:rPr>
        <w:t xml:space="preserve">Atlikusi tyrimą dėl pareiškėjos teikime nurodytų aplinkybių, VTEK 2020 m. gruodžio 22 d. raštu Nr. S-3253-(2.5) nusprendė nepradėti tyrimo dėl A. M. elgesio atitikties VPIDVTĮ nuostatoms. VTEK atkreipė dėmesį į tai, kad VPIDVTĮ 6 straipsnio 2 dalies 4 punktas įpareigoja deklaruojantįjį nurodyti privačius interesus, egzistuojančius ar galinčius atsirasti ir dėl jam artimo asmens ar kito asmens arba kito asmens arba dėl su šiais asmenimis arba juo pačiu susijusių duomenų, bei pažymėjo, jog VPIDVTĮ suteikia teisę pačiam deklaruojančiajam savarankiškai įvertinti, ar ir kiti, ne tik VPIDVTĮ 6 straipsnyje reglamentuoti konkretūs duomenys bei privatūs interesai, gali būti laikomi galinčiais sukelti interesų konflikto situaciją. </w:t>
      </w:r>
    </w:p>
    <w:p w14:paraId="5C41B22A" w14:textId="77777777" w:rsidR="00034F8E" w:rsidRDefault="004E1219">
      <w:pPr>
        <w:autoSpaceDE w:val="0"/>
        <w:ind w:firstLine="851"/>
        <w:jc w:val="both"/>
      </w:pPr>
      <w:r>
        <w:rPr>
          <w:sz w:val="24"/>
          <w:szCs w:val="24"/>
        </w:rPr>
        <w:lastRenderedPageBreak/>
        <w:t xml:space="preserve">Komisijos posėdyje teisėjas A. M. paaiškino, kad jeigu teisme būtų nagrinėjama civilinė byla, kurioje dalyvautų mokymus organizavusios įmonės ar įstaigos, ir jis būtų įtrauktas į tokią bylą nagrinėjančios teisėjų kolegijos sudėtį, jis, be jokių abejonių, nusišalintų nuo šios bylos nagrinėjimo. </w:t>
      </w:r>
    </w:p>
    <w:p w14:paraId="5F5CD876" w14:textId="77777777" w:rsidR="00034F8E" w:rsidRDefault="004E1219">
      <w:pPr>
        <w:autoSpaceDE w:val="0"/>
        <w:ind w:firstLine="851"/>
        <w:jc w:val="both"/>
      </w:pPr>
      <w:r>
        <w:rPr>
          <w:sz w:val="24"/>
          <w:szCs w:val="24"/>
        </w:rPr>
        <w:t xml:space="preserve">Komisija pažymi, kad </w:t>
      </w:r>
      <w:r>
        <w:rPr>
          <w:color w:val="000000"/>
          <w:sz w:val="24"/>
          <w:szCs w:val="24"/>
          <w:shd w:val="clear" w:color="auto" w:fill="FFFFFF"/>
        </w:rPr>
        <w:t xml:space="preserve">teisėjų nušalinimo nuo civilinės bylos nagrinėjimo pagrindus nustato </w:t>
      </w:r>
      <w:r>
        <w:rPr>
          <w:sz w:val="24"/>
          <w:szCs w:val="24"/>
        </w:rPr>
        <w:t xml:space="preserve">Civilinio proceso kodekso </w:t>
      </w:r>
      <w:r>
        <w:rPr>
          <w:color w:val="000000"/>
          <w:sz w:val="24"/>
          <w:szCs w:val="24"/>
          <w:shd w:val="clear" w:color="auto" w:fill="FFFFFF"/>
        </w:rPr>
        <w:t xml:space="preserve">64–66 straipsniai. </w:t>
      </w:r>
      <w:r>
        <w:rPr>
          <w:sz w:val="24"/>
          <w:szCs w:val="24"/>
          <w:shd w:val="clear" w:color="auto" w:fill="FFFFFF"/>
        </w:rPr>
        <w:t xml:space="preserve">Byloje dalyvaujantis asmuo, manydamas, kad jo bylą nagrinėjantis teisėjas gali būti neobjektyvus ir šališkas, gali, remdamasis </w:t>
      </w:r>
      <w:r>
        <w:rPr>
          <w:sz w:val="24"/>
          <w:szCs w:val="24"/>
        </w:rPr>
        <w:t xml:space="preserve">Civilinio proceso kodekso </w:t>
      </w:r>
      <w:r>
        <w:rPr>
          <w:sz w:val="24"/>
          <w:szCs w:val="24"/>
          <w:shd w:val="clear" w:color="auto" w:fill="FFFFFF"/>
        </w:rPr>
        <w:t>65–66 straipsniuose nurodytomis aplinkybėmis, teikti motyvuotą teisėjo nušalinimo pareiškimą (</w:t>
      </w:r>
      <w:r>
        <w:rPr>
          <w:sz w:val="24"/>
          <w:szCs w:val="24"/>
        </w:rPr>
        <w:t xml:space="preserve">Civilinio proceso kodekso </w:t>
      </w:r>
      <w:r>
        <w:rPr>
          <w:sz w:val="24"/>
          <w:szCs w:val="24"/>
          <w:shd w:val="clear" w:color="auto" w:fill="FFFFFF"/>
        </w:rPr>
        <w:t xml:space="preserve">68 straipsnis). Be to, </w:t>
      </w:r>
      <w:r>
        <w:rPr>
          <w:sz w:val="24"/>
          <w:szCs w:val="24"/>
        </w:rPr>
        <w:t xml:space="preserve">Civilinio proceso kodekso </w:t>
      </w:r>
      <w:r>
        <w:rPr>
          <w:sz w:val="24"/>
          <w:szCs w:val="24"/>
          <w:shd w:val="clear" w:color="auto" w:fill="FFFFFF"/>
        </w:rPr>
        <w:t>65, 66 straipsniuose įtvirtinta teisėjo pareiga nusišalinti, kai egzistuoja atitinkamos aplinkybės, keliančios (ar galinčios kelti) abejonių dėl teisėjo nešališkumo.</w:t>
      </w:r>
      <w:r>
        <w:rPr>
          <w:sz w:val="24"/>
          <w:szCs w:val="24"/>
        </w:rPr>
        <w:t xml:space="preserve"> </w:t>
      </w:r>
    </w:p>
    <w:p w14:paraId="07E91398" w14:textId="77777777" w:rsidR="00034F8E" w:rsidRDefault="004E1219">
      <w:pPr>
        <w:autoSpaceDE w:val="0"/>
        <w:ind w:firstLine="851"/>
        <w:jc w:val="both"/>
      </w:pPr>
      <w:r>
        <w:rPr>
          <w:sz w:val="24"/>
          <w:szCs w:val="24"/>
        </w:rPr>
        <w:t>Tais atvejais, kai įstatyme nenurodyta imperatyvi pareiga nusišalinti, pats teisėjas kiekvienu atveju sprendžia, ar yra įstatyme nenustatytos aplinkybės, kurios gali kelti abejonių dėl teisėjo nešališkumo, ar jis pats gali nešališkai išnagrinėti bylą ir ar teisėjas atrodys nešališkai pašaliniam stebėtojui.</w:t>
      </w:r>
    </w:p>
    <w:p w14:paraId="13A150D7" w14:textId="77777777" w:rsidR="00034F8E" w:rsidRDefault="004E1219">
      <w:pPr>
        <w:autoSpaceDE w:val="0"/>
        <w:ind w:firstLine="851"/>
        <w:jc w:val="both"/>
      </w:pPr>
      <w:r>
        <w:rPr>
          <w:sz w:val="24"/>
          <w:szCs w:val="24"/>
        </w:rPr>
        <w:t>Nagrinėjamu atveju nėra duomenų, kad</w:t>
      </w:r>
      <w:r>
        <w:t xml:space="preserve"> </w:t>
      </w:r>
      <w:r>
        <w:rPr>
          <w:sz w:val="24"/>
          <w:szCs w:val="24"/>
        </w:rPr>
        <w:t>teisėjas</w:t>
      </w:r>
      <w:r>
        <w:t xml:space="preserve"> </w:t>
      </w:r>
      <w:r>
        <w:rPr>
          <w:sz w:val="24"/>
          <w:szCs w:val="24"/>
        </w:rPr>
        <w:t>A. M. vykdė</w:t>
      </w:r>
      <w:r>
        <w:t xml:space="preserve"> </w:t>
      </w:r>
      <w:r>
        <w:rPr>
          <w:sz w:val="24"/>
          <w:szCs w:val="24"/>
        </w:rPr>
        <w:t xml:space="preserve">pedagoginę ir (ar) kūrybinę veiklą kvalifikacijos kėlimo renginiuose, apie kurių prieinamumą nebuvo žinoma visuomenei, ar kad į vedamus mokymus buvo kviečiamas dalyvauti tik ribotas asmenų ratas (pavyzdžiui, konkrečios privačios įmonės, konkrečios advokatų profesinės bendrijos ar advokatų kontoros, konkrečios nemokumo paslaugas teikiančios bendrovės, atskiros antstolių kontoros ir pan.), dėl ko galėjo kilti teisėjo ir atskiro subjekto ryšių regimybė, taip pat nėra duomenų, kad kilo situacijos, kuomet teisėją reikėjo nušalinti ar nusišalinti jam nuo bylos nagrinėjimo ar sprendimo priėmimo. </w:t>
      </w:r>
    </w:p>
    <w:p w14:paraId="2EA6F870" w14:textId="77777777" w:rsidR="00034F8E" w:rsidRDefault="004E1219">
      <w:pPr>
        <w:autoSpaceDE w:val="0"/>
        <w:ind w:firstLine="851"/>
        <w:jc w:val="both"/>
      </w:pPr>
      <w:r>
        <w:rPr>
          <w:sz w:val="24"/>
          <w:szCs w:val="24"/>
        </w:rPr>
        <w:t xml:space="preserve">Apibendrindama išdėstytus argumentus Komisija daro išvadą, kad išnagrinėjus pateiktą medžiagą, aplinkybių, kurios leistų teisėjo A. M. veiksmus vertinti kaip teisėjų elgesiui keliamų reikalavimų pažeidimą ir konstatuoti Teismų įstatymo 83 straipsnio 2 dalyje numatytus nusižengimų požymius, nenustatyta. Komisija daro išvadą, kad teisėjas A. M. </w:t>
      </w:r>
      <w:bookmarkStart w:id="3" w:name="_Hlk68804704"/>
      <w:r>
        <w:rPr>
          <w:sz w:val="24"/>
          <w:szCs w:val="24"/>
        </w:rPr>
        <w:t>vykdė</w:t>
      </w:r>
      <w:r>
        <w:t xml:space="preserve"> </w:t>
      </w:r>
      <w:r>
        <w:rPr>
          <w:sz w:val="24"/>
          <w:szCs w:val="24"/>
        </w:rPr>
        <w:t>pedagoginę ir (ar) kūrybinę veiklą</w:t>
      </w:r>
      <w:bookmarkEnd w:id="3"/>
      <w:r>
        <w:rPr>
          <w:sz w:val="24"/>
          <w:szCs w:val="24"/>
        </w:rPr>
        <w:t>, kuri yra leidžiama pagal Konstituciją ir Teismų įstatymą, teisėjo vykdyta</w:t>
      </w:r>
      <w:r>
        <w:t xml:space="preserve"> </w:t>
      </w:r>
      <w:r>
        <w:rPr>
          <w:sz w:val="24"/>
          <w:szCs w:val="24"/>
        </w:rPr>
        <w:t xml:space="preserve">pedagoginė ir (ar) kūrybinė veikla netrukdė atlikti teisėjo pareigų, taigi teisėjo vykdyta veikla (ir /ar darbas) ne teisme nebuvo nesuderinama su tinkamu teismams priskirtos teisingumo funkcijos vykdymu, ši veikla nebuvo nesuderinama su teisėjo nepriklausomumu ir nešališkumu. Todėl Komisija neturi pagrindo konstatuoti, kad teisėjas nesilaikė Konstitucijoje (įskaitant konstitucinę doktriną) ir Teismų įstatyme įtvirtintų darbinės veiklos apribojimų. </w:t>
      </w:r>
    </w:p>
    <w:p w14:paraId="56959A3B" w14:textId="77777777" w:rsidR="00034F8E" w:rsidRDefault="004E1219">
      <w:pPr>
        <w:autoSpaceDE w:val="0"/>
        <w:ind w:firstLine="851"/>
        <w:jc w:val="both"/>
      </w:pPr>
      <w:r>
        <w:rPr>
          <w:sz w:val="24"/>
          <w:szCs w:val="24"/>
        </w:rPr>
        <w:t xml:space="preserve">Atkreiptinas dėmesys, kad Teisėjų taryba, siekdama išsaugoti visuomenės pasitikėjimą teismais, teisėjų konstitucinę teisę užsiimti pedagogine ir kūrybine veikla, </w:t>
      </w:r>
      <w:r>
        <w:rPr>
          <w:sz w:val="24"/>
          <w:szCs w:val="24"/>
          <w:shd w:val="clear" w:color="auto" w:fill="FFFFFF"/>
        </w:rPr>
        <w:t>subalansuoti teisėjo užimtumą kitoje veikloje su konstituciniu teismo nepriklausomumo ir kitais konstituciniais principais bei normomis, apriboti</w:t>
      </w:r>
      <w:r>
        <w:rPr>
          <w:sz w:val="24"/>
          <w:szCs w:val="24"/>
        </w:rPr>
        <w:t xml:space="preserve"> interesų konflikto atsiradimo riziką teismams vykdant teisingumą, 2021 m. vasario 26 d. protokoliniu nutarimu patvirtino Rekomendacijas ,,Dėl teisėjų vykdomos pedagoginės ir kūrybinės veiklos“. </w:t>
      </w:r>
    </w:p>
    <w:p w14:paraId="444AB674" w14:textId="77777777" w:rsidR="00034F8E" w:rsidRDefault="004E1219">
      <w:pPr>
        <w:autoSpaceDE w:val="0"/>
        <w:ind w:firstLine="851"/>
        <w:jc w:val="both"/>
      </w:pPr>
      <w:r>
        <w:rPr>
          <w:iCs/>
          <w:sz w:val="24"/>
          <w:szCs w:val="24"/>
        </w:rPr>
        <w:t>Komisija atsižvelgdama į Teisėjų tarybos patvirtintų rekomendacijų ,,Dėl teisėjų vykdomos pedagoginės ir kūrybinės veiklos“ turinį, rekomenduoja  teisėjui  A. M. vykdant pedagoginę ir kūrybinę veiklą laikytis Rekomendacijose nustatytų elgesio standartų, o iškilus klausimams dėl kūrybinės ir pedagoginės veiklos atitikimo etikos principams/ reikalavimams, kreiptis į Komisiją dėl konsultacijos.</w:t>
      </w:r>
    </w:p>
    <w:p w14:paraId="01466500" w14:textId="77777777" w:rsidR="00034F8E" w:rsidRDefault="00034F8E">
      <w:pPr>
        <w:autoSpaceDE w:val="0"/>
        <w:ind w:firstLine="851"/>
        <w:jc w:val="both"/>
        <w:rPr>
          <w:iCs/>
          <w:sz w:val="24"/>
          <w:szCs w:val="24"/>
        </w:rPr>
      </w:pPr>
    </w:p>
    <w:p w14:paraId="049D50D9" w14:textId="77777777" w:rsidR="00034F8E" w:rsidRDefault="00034F8E">
      <w:pPr>
        <w:ind w:firstLine="851"/>
        <w:rPr>
          <w:i/>
          <w:sz w:val="24"/>
          <w:szCs w:val="24"/>
        </w:rPr>
      </w:pPr>
    </w:p>
    <w:p w14:paraId="22334FE1" w14:textId="77777777" w:rsidR="00034F8E" w:rsidRDefault="004E1219">
      <w:pPr>
        <w:ind w:firstLine="851"/>
      </w:pPr>
      <w:r>
        <w:rPr>
          <w:i/>
          <w:sz w:val="24"/>
          <w:szCs w:val="24"/>
        </w:rPr>
        <w:t xml:space="preserve">Dėl teisėjo </w:t>
      </w:r>
      <w:r>
        <w:rPr>
          <w:i/>
          <w:iCs/>
          <w:sz w:val="24"/>
          <w:szCs w:val="24"/>
        </w:rPr>
        <w:t>A. M.</w:t>
      </w:r>
      <w:r>
        <w:rPr>
          <w:i/>
          <w:sz w:val="24"/>
          <w:szCs w:val="24"/>
        </w:rPr>
        <w:t xml:space="preserve"> nedeklaruoto nuomos sandorio</w:t>
      </w:r>
    </w:p>
    <w:p w14:paraId="258C2ECF" w14:textId="77777777" w:rsidR="00034F8E" w:rsidRDefault="00034F8E">
      <w:pPr>
        <w:ind w:firstLine="851"/>
        <w:jc w:val="both"/>
        <w:rPr>
          <w:i/>
          <w:sz w:val="24"/>
          <w:szCs w:val="24"/>
        </w:rPr>
      </w:pPr>
    </w:p>
    <w:p w14:paraId="0DEC7B01" w14:textId="77777777" w:rsidR="00034F8E" w:rsidRDefault="004E1219">
      <w:pPr>
        <w:ind w:firstLine="851"/>
        <w:jc w:val="both"/>
      </w:pPr>
      <w:r>
        <w:rPr>
          <w:sz w:val="24"/>
          <w:szCs w:val="24"/>
        </w:rPr>
        <w:t>Nagrinėjamu atveju Komisijos prašoma įvertinti, ar teisėjo A. M. veiksmuose nėra drausminės atsakomybės požymių, t. y. prašoma įvertinti, ar jis nesupainiojo viešųjų ir privačiųjų interesų, kai sudaryto nuomos sandorio ilgą laiką nedeklaravo viešųjų ir privačių interesų deklaracijoje.</w:t>
      </w:r>
    </w:p>
    <w:p w14:paraId="44378F3F" w14:textId="77777777" w:rsidR="00034F8E" w:rsidRDefault="004E1219">
      <w:pPr>
        <w:ind w:firstLine="851"/>
        <w:jc w:val="both"/>
      </w:pPr>
      <w:r>
        <w:rPr>
          <w:sz w:val="24"/>
          <w:szCs w:val="24"/>
        </w:rPr>
        <w:t>Išnagrinėjus turimą medžiagą, matyti, kad teisėjas A. M. jam nuosavybės teise priklausančio buto, esančio (</w:t>
      </w:r>
      <w:r>
        <w:rPr>
          <w:i/>
          <w:iCs/>
          <w:sz w:val="24"/>
          <w:szCs w:val="24"/>
        </w:rPr>
        <w:t>duomenys neskelbtini</w:t>
      </w:r>
      <w:r>
        <w:rPr>
          <w:sz w:val="24"/>
          <w:szCs w:val="24"/>
        </w:rPr>
        <w:t xml:space="preserve">), Vilniuje, nuomos sutartį su R. S. deklaravo </w:t>
      </w:r>
      <w:r>
        <w:rPr>
          <w:sz w:val="24"/>
          <w:szCs w:val="24"/>
        </w:rPr>
        <w:lastRenderedPageBreak/>
        <w:t xml:space="preserve">2015 m. lapkričio 2 d. teiktoje privačių interesų deklaracijoje, vėliau šis sandoris nedeklaruotas, o 2021 m. sausio 12 d. vėl nurodomas deklaracijoje. </w:t>
      </w:r>
    </w:p>
    <w:p w14:paraId="227F36B9" w14:textId="77777777" w:rsidR="00034F8E" w:rsidRDefault="004E1219">
      <w:pPr>
        <w:ind w:firstLine="851"/>
        <w:jc w:val="both"/>
        <w:rPr>
          <w:sz w:val="24"/>
          <w:szCs w:val="24"/>
        </w:rPr>
      </w:pPr>
      <w:r>
        <w:rPr>
          <w:sz w:val="24"/>
          <w:szCs w:val="24"/>
        </w:rPr>
        <w:t>Kaip jau minėta, VPIDVTĮ nuostatų laikymosi kontrolė Teisėjų etikos ir drausmės komisijai nepriskirta, teisėjų deklaracijų turinio tikrinimas ir vertinimas yra Vyriausiosios tarnybinės etikos komisijos kompetencija.</w:t>
      </w:r>
    </w:p>
    <w:p w14:paraId="0563164D" w14:textId="77777777" w:rsidR="00034F8E" w:rsidRDefault="004E1219">
      <w:pPr>
        <w:ind w:firstLine="851"/>
        <w:jc w:val="both"/>
      </w:pPr>
      <w:r>
        <w:rPr>
          <w:sz w:val="24"/>
          <w:szCs w:val="24"/>
        </w:rPr>
        <w:t xml:space="preserve">Jau minėta, kad, atlikusi tyrimą dėl pareiškėjos teikime nurodytų aplinkybių, VTEK nusprendė nepradėti tyrimo dėl A. M. galimo intereso konflikto (2021 m. sausio 29 d. raštas Nr. S-287-(2.5). VTEK rašte pažymėjo, jog galiojantis VPIDVTĮ ir toliau įpareigoja deklaruoti privačius interesus (VPIDVTĮ 3 straipsnio 2 dalis) ir nurodyti atitinkamus deklaruotinus duomenis (VPIDVTĮ 6 ir 7 straipsniai), tačiau pažymėjo, kad nuo 2020 m. sausio 1 d. pasikeitė VPIDVTĮ nuostatos, susijusios su privačių interesų deklaracijos turinio reikalavimais, bei VTEK suteikta teisė siųsti raginimą deklaruoti atitinkamus duomenis. VTEK konstatavo, kad teisėjas A. M. savo privačių interesų deklaracijoje jau yra deklaravęs duomenis apie sudarytą nuomos sandorį, todėl nebuvo pagrindo siųsti raginimą tokius duomenis deklaruoti. </w:t>
      </w:r>
    </w:p>
    <w:p w14:paraId="455B3933" w14:textId="77777777" w:rsidR="00034F8E" w:rsidRDefault="004E1219">
      <w:pPr>
        <w:ind w:firstLine="851"/>
        <w:jc w:val="both"/>
        <w:rPr>
          <w:sz w:val="24"/>
          <w:szCs w:val="24"/>
        </w:rPr>
      </w:pPr>
      <w:r>
        <w:rPr>
          <w:sz w:val="24"/>
          <w:szCs w:val="24"/>
        </w:rPr>
        <w:t>Komisijos posėdyje teisėjas A. M. paaiškino, kad jam asmeninės nuosavybės teise priklausančio buto nuomos sandorį deklaravo dar 2015 m. lapkričio mėn., šiais metais, atnaujindamas privačių interesų deklaraciją, buto nuomos sandorį nurodė iš naujo.</w:t>
      </w:r>
    </w:p>
    <w:p w14:paraId="57AE4054" w14:textId="77777777" w:rsidR="00034F8E" w:rsidRDefault="004E1219">
      <w:pPr>
        <w:ind w:firstLine="851"/>
        <w:jc w:val="both"/>
      </w:pPr>
      <w:r>
        <w:rPr>
          <w:sz w:val="24"/>
          <w:szCs w:val="24"/>
        </w:rPr>
        <w:t>VPIDVTĮ 7 straipsnis numato deklaracijos tikslinimą ir pildymą. Kaip nustatyta šiame straipsnyje, jeigu atsirado naujų šio įstatymo 6 straipsnio 1 ir 2 dalyse nurodytų duomenų ar privačių interesų, pasikeitė pateiktoje deklaracijoje nurodyti duomenys ar privatūs interesai, deklaruojantis asmuo privalo nedelsdamas, bet ne vėliau kaip per 30 kalendorinių dienų, patikslinti arba papildyti deklaraciją. Teisėjo A. M. nuomos sandoris, deklaruotas 2015 metais Viešųjų ir privačių interesų deklaracijoje, nurodytas kaip nepasibaigęs (deklaracijos langelis S11), todėl prievolės atnaujinti informacijos dėl šio sandorio kasmet nebuvo. VTEK 2020 m. rugpjūčio 14 d. sprendimu Nr. KS-104 nuo 2020 m. spalio 1 d. buvo įsteigtas Privačių interesų registras (PINREG). Teisėjas A. M., vadovaudamasis 2021 m. sausio 1 d. įsigaliojusiomis Privačių interesų deklaracijų pildymo, tikslinimo, papildymo ir pateikimo taisyklėmis,  2021 m. sausio 12 d., t. y. per VTEK  nustatytą terminą, užpildė Privačių interesų deklaraciją per PINREG, nurodydamas galiojantį nuomos sandorį (VTEK 2020 m. gruodžio 30 d. sprendimo Nr. KS-176 Dėl Privačių interesų deklaracijos formos bei jos pildymo, tikslinimo, papildymo ir pateikimo taisyklių patvirtinimo 4 p.).</w:t>
      </w:r>
    </w:p>
    <w:p w14:paraId="52E6B872" w14:textId="77777777" w:rsidR="00034F8E" w:rsidRDefault="004E1219">
      <w:pPr>
        <w:ind w:firstLine="851"/>
        <w:jc w:val="both"/>
        <w:rPr>
          <w:sz w:val="24"/>
          <w:szCs w:val="24"/>
        </w:rPr>
      </w:pPr>
      <w:r>
        <w:rPr>
          <w:sz w:val="24"/>
          <w:szCs w:val="24"/>
        </w:rPr>
        <w:t xml:space="preserve">Komisija, išnagrinėjusi teikimą, įvertinusi LAT komisijos patikrinimo aktą bei su juo susijusią medžiagą, VTEK išvadas, išklausiusi teisėjo A. M. paaiškinimus, konstatuoja, kad nuomos sutartis su R. S. dėl teisėjui A. M. nuosavybės teise priklausančio buto nuomos buvo deklaruota 2015 m. lapkričio 2 d., 2020 m. gruodžio 30 d. VTEK sprendimu Nr. KS-176 patvirtinus Privačių interesų deklaracijų pildymo, tikslinimo, papildymo ir pateikimo taisykles, kurios įsigaliojo 2021 m. sausio 1 d., teisėjas A. M. 2021 m. sausio 12 d. atnaujino privačių interesų deklaraciją, nurodydamas buto nuomos sutartį iš naujo. Atlikusi tyrimą dėl pareiškėjos teikime nurodytų aplinkybių, VTEK pažeidimų nenustatė. </w:t>
      </w:r>
    </w:p>
    <w:p w14:paraId="783ED6C3" w14:textId="77777777" w:rsidR="00034F8E" w:rsidRDefault="004E1219">
      <w:pPr>
        <w:ind w:firstLine="851"/>
        <w:jc w:val="both"/>
        <w:rPr>
          <w:sz w:val="24"/>
          <w:szCs w:val="24"/>
        </w:rPr>
      </w:pPr>
      <w:r>
        <w:rPr>
          <w:sz w:val="24"/>
          <w:szCs w:val="24"/>
        </w:rPr>
        <w:t>Atsižvelgiant į nurodytas aplinkybes, pagrindo kelti teisėjui A. M. drausmės bylą nėra.</w:t>
      </w:r>
    </w:p>
    <w:p w14:paraId="1DC1DF84" w14:textId="77777777" w:rsidR="00034F8E" w:rsidRDefault="00034F8E">
      <w:pPr>
        <w:shd w:val="clear" w:color="auto" w:fill="FFFFFF"/>
        <w:ind w:firstLine="1134"/>
        <w:jc w:val="both"/>
        <w:rPr>
          <w:sz w:val="24"/>
          <w:szCs w:val="24"/>
        </w:rPr>
      </w:pPr>
    </w:p>
    <w:p w14:paraId="31A89B5A" w14:textId="77777777" w:rsidR="00034F8E" w:rsidRDefault="004E1219">
      <w:pPr>
        <w:ind w:firstLine="851"/>
      </w:pPr>
      <w:r>
        <w:rPr>
          <w:i/>
          <w:sz w:val="24"/>
          <w:szCs w:val="24"/>
        </w:rPr>
        <w:t xml:space="preserve">Dėl teisėjo </w:t>
      </w:r>
      <w:r>
        <w:rPr>
          <w:i/>
          <w:iCs/>
          <w:sz w:val="24"/>
          <w:szCs w:val="24"/>
        </w:rPr>
        <w:t>A. M.</w:t>
      </w:r>
      <w:r>
        <w:rPr>
          <w:i/>
          <w:sz w:val="24"/>
          <w:szCs w:val="24"/>
        </w:rPr>
        <w:t xml:space="preserve"> nedeklaruotų giminystės ryšių</w:t>
      </w:r>
    </w:p>
    <w:p w14:paraId="2C5CA1B7" w14:textId="77777777" w:rsidR="00034F8E" w:rsidRDefault="00034F8E">
      <w:pPr>
        <w:shd w:val="clear" w:color="auto" w:fill="FFFFFF"/>
        <w:ind w:firstLine="851"/>
        <w:jc w:val="both"/>
        <w:rPr>
          <w:sz w:val="24"/>
          <w:szCs w:val="24"/>
        </w:rPr>
      </w:pPr>
    </w:p>
    <w:p w14:paraId="78B4B109" w14:textId="77777777" w:rsidR="00034F8E" w:rsidRDefault="004E1219">
      <w:pPr>
        <w:shd w:val="clear" w:color="auto" w:fill="FFFFFF"/>
        <w:ind w:firstLine="851"/>
        <w:jc w:val="both"/>
      </w:pPr>
      <w:r>
        <w:rPr>
          <w:sz w:val="24"/>
          <w:szCs w:val="24"/>
        </w:rPr>
        <w:t xml:space="preserve">Nagrinėjamu atveju Komisijos prašoma įvertinti, ar teisėjo A. M. veiksmuose nėra drausminės atsakomybės požymių, t. y. prašoma įvertinti, ar jis nesupainiojo viešųjų ir privačių interesų, nedeklaruodamas giminystės ryšių su savo broliu J. M., kuris dirba Vilniaus miesto apylinkės teisme teisėju ir yra šio teismo pirmininko pavaduotojas, taip pat su brolio žmona N. M., kuri dirba Lietuvos Respublikos Prezidento kanceliarijoje, Teisės grupėje. </w:t>
      </w:r>
    </w:p>
    <w:p w14:paraId="46F89204" w14:textId="77777777" w:rsidR="00034F8E" w:rsidRDefault="004E1219">
      <w:pPr>
        <w:shd w:val="clear" w:color="auto" w:fill="FFFFFF"/>
        <w:ind w:firstLine="851"/>
        <w:jc w:val="both"/>
      </w:pPr>
      <w:r>
        <w:rPr>
          <w:sz w:val="24"/>
          <w:szCs w:val="24"/>
        </w:rPr>
        <w:t>Taikant VPIDVTĮ, kitus teisėjų veiklą reglamentuojančius teisės aktus, svarbu tai, kad, lyginant su kitais valstybės tarnautojais, teisėjo veiklos skaidrumui ir nešališkumui keliami aukštesni reikalavimai dėl išskirtinio teisėjo veiklos pobūdžio. Nešališkumo, interesų konflikto ar jo galimybės nebuvimo, veiklos skaidrumo svarbą teisėjo veikloje įtvirtina keletas teisės aktų, tarp jų ir Teisėjų etikos kodeksas.</w:t>
      </w:r>
    </w:p>
    <w:p w14:paraId="49068516" w14:textId="77777777" w:rsidR="00034F8E" w:rsidRDefault="004E1219">
      <w:pPr>
        <w:pStyle w:val="Pagrindinistekstas1"/>
        <w:ind w:firstLine="851"/>
      </w:pPr>
      <w:r>
        <w:rPr>
          <w:rFonts w:ascii="Times New Roman" w:hAnsi="Times New Roman"/>
          <w:sz w:val="24"/>
          <w:szCs w:val="24"/>
          <w:lang w:val="lt-LT"/>
        </w:rPr>
        <w:lastRenderedPageBreak/>
        <w:t xml:space="preserve">Teisėjų etikos kodekso 11 straipsnio 2 punkte nustatyta, kad teisėjas </w:t>
      </w:r>
      <w:r>
        <w:rPr>
          <w:rFonts w:ascii="Times New Roman" w:hAnsi="Times New Roman"/>
          <w:color w:val="000000"/>
          <w:sz w:val="24"/>
          <w:szCs w:val="24"/>
          <w:lang w:val="lt-LT"/>
        </w:rPr>
        <w:t>vadovaudamasis skaidrumo ir viešumo principais privalo vengti viešųjų ir privačių interesų konflikto, o 15 straipsnio 1 punkte teisėjas įpareigotas nepažeisti Lietuvos Respublikos Konstitucijos, tarptautinių sutarčių, įstatymų ir kitų teisės aktų.</w:t>
      </w:r>
    </w:p>
    <w:p w14:paraId="1A2C6A78" w14:textId="77777777" w:rsidR="00034F8E" w:rsidRDefault="004E1219">
      <w:pPr>
        <w:shd w:val="clear" w:color="auto" w:fill="FFFFFF"/>
        <w:ind w:firstLine="851"/>
        <w:jc w:val="both"/>
      </w:pPr>
      <w:r>
        <w:rPr>
          <w:sz w:val="24"/>
          <w:szCs w:val="24"/>
          <w:shd w:val="clear" w:color="auto" w:fill="FFFFFF"/>
        </w:rPr>
        <w:t xml:space="preserve">VPIDVTĮ </w:t>
      </w:r>
      <w:r>
        <w:rPr>
          <w:sz w:val="24"/>
          <w:szCs w:val="24"/>
        </w:rPr>
        <w:t xml:space="preserve">6 straipsnio 1 dalyje nurodytas baigtinis sąrašas duomenų, kuriuos valstybinėje tarnyboje dirbantys asmenys privalo deklaruoti. Šio straipsnio 2 dalies 4 punktas įpareigoja deklaruoti privačius interesus, egzistuojančius ar galinčius atsirasti ir dėl jam artimo asmens ar kito asmens arba dėl su šiais asmenimis arba juo pačiu susijusių duomenų. </w:t>
      </w:r>
    </w:p>
    <w:p w14:paraId="34FD5064" w14:textId="77777777" w:rsidR="00034F8E" w:rsidRDefault="004E1219">
      <w:pPr>
        <w:widowControl w:val="0"/>
        <w:tabs>
          <w:tab w:val="left" w:pos="720"/>
        </w:tabs>
        <w:ind w:firstLine="851"/>
        <w:jc w:val="both"/>
        <w:rPr>
          <w:sz w:val="24"/>
          <w:szCs w:val="24"/>
          <w:lang w:eastAsia="en-US"/>
        </w:rPr>
      </w:pPr>
      <w:r>
        <w:rPr>
          <w:sz w:val="24"/>
          <w:szCs w:val="24"/>
          <w:lang w:eastAsia="en-US"/>
        </w:rPr>
        <w:t xml:space="preserve">VPIDVTĮ (11 straipsnio 7 dalis) teisėjams yra taikomas su tam tikromis išlygomis, kadangi viešųjų interesų viršenybės užtikrinimo būdai nustatomi ir kituose teisėjų veiklą reglamentuojančiuose įstatymuose. </w:t>
      </w:r>
    </w:p>
    <w:p w14:paraId="7501DB26" w14:textId="77777777" w:rsidR="00034F8E" w:rsidRDefault="004E1219">
      <w:pPr>
        <w:widowControl w:val="0"/>
        <w:tabs>
          <w:tab w:val="left" w:pos="720"/>
        </w:tabs>
        <w:ind w:firstLine="851"/>
        <w:jc w:val="both"/>
        <w:rPr>
          <w:sz w:val="24"/>
          <w:szCs w:val="24"/>
        </w:rPr>
      </w:pPr>
      <w:r>
        <w:rPr>
          <w:sz w:val="24"/>
          <w:szCs w:val="24"/>
        </w:rPr>
        <w:t>Kaip jau minėta, Komisija yra pasisakiusi, kad VPIDVTĮ nuostatų laikymosi kontrolė Teisėjų etikos ir drausmės komisijai nepriskirta, teisėjų deklaracijų turinio tikrinimas ir vertinimas yra VTEK kompetencija.</w:t>
      </w:r>
    </w:p>
    <w:p w14:paraId="6341444D" w14:textId="77777777" w:rsidR="00034F8E" w:rsidRDefault="004E1219">
      <w:pPr>
        <w:widowControl w:val="0"/>
        <w:tabs>
          <w:tab w:val="left" w:pos="720"/>
        </w:tabs>
        <w:ind w:firstLine="851"/>
        <w:jc w:val="both"/>
      </w:pPr>
      <w:r>
        <w:rPr>
          <w:sz w:val="24"/>
          <w:szCs w:val="24"/>
        </w:rPr>
        <w:t xml:space="preserve">Jau minėta, kad, atlikusi tyrimą dėl pareiškėjos teikime nurodytų aplinkybių, VTEK 2021 m. sausio 29 d. raštu Nr. S-287-(2.5) nusprendė </w:t>
      </w:r>
      <w:r>
        <w:rPr>
          <w:rStyle w:val="Emphasis"/>
          <w:i w:val="0"/>
          <w:iCs w:val="0"/>
          <w:sz w:val="24"/>
          <w:szCs w:val="24"/>
        </w:rPr>
        <w:t>kreiptis į teisėją</w:t>
      </w:r>
      <w:r>
        <w:rPr>
          <w:rStyle w:val="Emphasis"/>
          <w:sz w:val="24"/>
          <w:szCs w:val="24"/>
        </w:rPr>
        <w:t xml:space="preserve"> </w:t>
      </w:r>
      <w:r>
        <w:rPr>
          <w:sz w:val="24"/>
          <w:szCs w:val="24"/>
        </w:rPr>
        <w:t xml:space="preserve">A. M. su pasiūlymu įsivertinti interesų konflikto kilimo tikimybę bei papildyti savo privačių interesų deklaraciją, nurodant aplinkybes, susijusias su galimu interesų konfliktu jam einat teisėjo pareigas. </w:t>
      </w:r>
    </w:p>
    <w:p w14:paraId="59E635C8" w14:textId="77777777" w:rsidR="00034F8E" w:rsidRDefault="004E1219">
      <w:pPr>
        <w:widowControl w:val="0"/>
        <w:tabs>
          <w:tab w:val="left" w:pos="720"/>
        </w:tabs>
        <w:ind w:firstLine="851"/>
        <w:jc w:val="both"/>
        <w:rPr>
          <w:sz w:val="24"/>
          <w:szCs w:val="24"/>
        </w:rPr>
      </w:pPr>
      <w:r>
        <w:rPr>
          <w:sz w:val="24"/>
          <w:szCs w:val="24"/>
        </w:rPr>
        <w:t>Išnagrinėjus teikimą, įvertinus LAT komisijos patikrinimo aktą bei su juo susijusią medžiagą, nustatyta, kad teisėjo A. M. brolis J. M. dirba Vilniaus apylinkės miesto teisme teisėju ir yra šio teismo pirmininko pavaduotojas, brolio J. M. žmona N. M. dirba Lietuvos Respublikos Prezidento kanceliarijoje, Teisės grupėje vyriausiąja specialiste. LAT komisijos patikrinimo akte konstatuota, kad teisėjas A. M. nedeklaravo savo brolio J. M. giminystės ir brolio žmonos N. M. svainystės ryšių.</w:t>
      </w:r>
    </w:p>
    <w:p w14:paraId="6FAA2480" w14:textId="77777777" w:rsidR="00034F8E" w:rsidRDefault="004E1219">
      <w:pPr>
        <w:widowControl w:val="0"/>
        <w:tabs>
          <w:tab w:val="left" w:pos="720"/>
        </w:tabs>
        <w:ind w:firstLine="851"/>
        <w:jc w:val="both"/>
      </w:pPr>
      <w:r>
        <w:rPr>
          <w:sz w:val="24"/>
          <w:szCs w:val="24"/>
        </w:rPr>
        <w:t xml:space="preserve">Komisijos posėdyje teisėjas A. M. paaiškino, kad aplinkybė, jog jie su J. M. yra broliai, visiems žinoma, todėl interesų konflikto nėra, o bylos, kurias išnagrinėjo teisėjas J. M., jam (teisėjui A. M.) neskiriamos. Dėl brolio žmonos N. M. teisėjas paaiškino, kad jos pareigos Lietuvos Respublikos Prezidento kanceliarijoje, Teisės grupėje, yra techninio aptarnaujamojo pobūdžio, darbo funkcijos neapima teisės patarti Lietuvos Respublikos Prezidentui teisėjų karjeros klausimais, todėl interesų konflikto, kurį jis privalo deklaruoti, nėra. </w:t>
      </w:r>
    </w:p>
    <w:p w14:paraId="6D474373" w14:textId="77777777" w:rsidR="00034F8E" w:rsidRDefault="004E1219">
      <w:pPr>
        <w:widowControl w:val="0"/>
        <w:tabs>
          <w:tab w:val="left" w:pos="720"/>
        </w:tabs>
        <w:ind w:firstLine="851"/>
        <w:jc w:val="both"/>
      </w:pPr>
      <w:r>
        <w:rPr>
          <w:sz w:val="24"/>
          <w:szCs w:val="24"/>
        </w:rPr>
        <w:t xml:space="preserve">Komisija pažymi, kad konstituciniai valdžios įstaigų tarnavimo žmonėms ir valdžios galių ribojimo imperatyvai (Konstitucijos 5 straipsnis) taip pat nustato ir įpareigojimus asmenims, vykdantiems valstybės valdžios įgyvendinimo funkcijas, valstybės tarnautojams, taip pat visiems kitiems asmenims, priimantiems visuomenei ir valstybei reikšmingus sprendimus, įskaitant ir teisėjus. Jie turi veikti Tautos ir Lietuvos valstybės interesais, jų veikla turi būti grindžiama viešuoju interesu ir negali iškelti savo asmeninių ar grupinių interesų virš viešojo intereso, negali naudotis savo statusu savo ar sau artimų asmenų ar kitų asmenų privačiai naudai gauti (plg. </w:t>
      </w:r>
      <w:proofErr w:type="spellStart"/>
      <w:r>
        <w:rPr>
          <w:i/>
          <w:sz w:val="24"/>
        </w:rPr>
        <w:t>inter</w:t>
      </w:r>
      <w:proofErr w:type="spellEnd"/>
      <w:r>
        <w:rPr>
          <w:i/>
          <w:sz w:val="24"/>
        </w:rPr>
        <w:t xml:space="preserve"> alia</w:t>
      </w:r>
      <w:r>
        <w:rPr>
          <w:sz w:val="24"/>
          <w:szCs w:val="24"/>
        </w:rPr>
        <w:t xml:space="preserve"> Konstitucinio Teismo 2004 m. liepos 1 d. nutarimą, 2005 m. vasario 10 d. sprendimą, 2006 m. gruodžio 21 d. nutarimą). </w:t>
      </w:r>
    </w:p>
    <w:p w14:paraId="61F383D8" w14:textId="77777777" w:rsidR="00034F8E" w:rsidRDefault="004E1219">
      <w:pPr>
        <w:widowControl w:val="0"/>
        <w:tabs>
          <w:tab w:val="left" w:pos="720"/>
        </w:tabs>
        <w:ind w:firstLine="851"/>
        <w:jc w:val="both"/>
        <w:rPr>
          <w:sz w:val="24"/>
          <w:szCs w:val="24"/>
        </w:rPr>
      </w:pPr>
      <w:r>
        <w:rPr>
          <w:sz w:val="24"/>
          <w:szCs w:val="24"/>
        </w:rPr>
        <w:t>Šių konstitucinių imperatyvų įgyvendinimui skirtas VPIDVTĮ. Šiuo įstatymu siekiama sudaryti sąlygas atskleisti valstybinėje tarnyboje dirbančių asmenų ir šio įstatymo 4 straipsnio 3 dalyje nurodytų asmenų (visi kartu toliau – deklaruojantys asmenys) privačius interesus, užtikrinti, kad priimant sprendimus pirmenybė būtų teikiama viešiesiems interesams, ir užkirsti kelią kilti interesų konfliktams bei plisti korupcijai.</w:t>
      </w:r>
    </w:p>
    <w:p w14:paraId="5615D30E" w14:textId="77777777" w:rsidR="00034F8E" w:rsidRDefault="004E1219">
      <w:pPr>
        <w:widowControl w:val="0"/>
        <w:tabs>
          <w:tab w:val="left" w:pos="720"/>
        </w:tabs>
        <w:ind w:firstLine="851"/>
        <w:jc w:val="both"/>
        <w:rPr>
          <w:sz w:val="24"/>
          <w:szCs w:val="24"/>
        </w:rPr>
      </w:pPr>
      <w:r>
        <w:rPr>
          <w:sz w:val="24"/>
          <w:szCs w:val="24"/>
        </w:rPr>
        <w:t xml:space="preserve">Atkreiptinas dėmesys, kad Ekonominio bendradarbiavimo ir plėtros organizacijos (EPBO), Europos Tarybos grupės valstybių prieš korupciją (GRECO), kitų autoritetingų tarptautinių organizacijų (pvz., Pasaulio banko, Jungtinių Tautų Organizacijos ir kt.) rekomendacijose vienareikšmiškai pripažįstama, kad privačių interesų deklaravimas yra viena iš veiksmingiausių viešųjų ir privačių interesų konfliktų valstybinėje tarnyboje prevencijos priemonių, kurianti pasitikėjimą viešuoju sektoriumi, o deklaravimo pareigos nevykdymas kenkia valstybės tarnybos veiklos skaidrumui. Šių vertybinių nuostatų Komisija laikosi priimdama sprendimus bei rekomendacijas. </w:t>
      </w:r>
    </w:p>
    <w:p w14:paraId="1E4E94E8" w14:textId="77777777" w:rsidR="00034F8E" w:rsidRDefault="004E1219">
      <w:pPr>
        <w:widowControl w:val="0"/>
        <w:tabs>
          <w:tab w:val="left" w:pos="720"/>
        </w:tabs>
        <w:ind w:firstLine="851"/>
        <w:jc w:val="both"/>
      </w:pPr>
      <w:r>
        <w:rPr>
          <w:sz w:val="24"/>
          <w:szCs w:val="24"/>
        </w:rPr>
        <w:t>VPIDVTĮ 6 straipsnio 2 dalyje nurodyta, kad deklaruojantis asmuo deklaracijoje privalo nurodyti egzistuojančius ar galinčius atsirasti privačius interesus.</w:t>
      </w:r>
      <w:r>
        <w:t xml:space="preserve"> </w:t>
      </w:r>
      <w:r>
        <w:rPr>
          <w:sz w:val="24"/>
          <w:szCs w:val="24"/>
        </w:rPr>
        <w:t xml:space="preserve">Taigi, ir duomenys, nurodyti šio </w:t>
      </w:r>
      <w:r>
        <w:rPr>
          <w:sz w:val="24"/>
          <w:szCs w:val="24"/>
        </w:rPr>
        <w:lastRenderedPageBreak/>
        <w:t xml:space="preserve">straipsnio 2 dalies 4 punkte, pateikiami privačių interesų deklaracijoje tik tais atvejais, jei privačius interesus deklaruojantis asmuo, įvertinęs visas aplinkybes, turi pagrindo manyti, kad ateityje dėl jam artimo asmens ar kito asmens jam gali atsirasti reali interesų konflikto tikimybė. Komisijos nuomone, nustatytu teisiniu reguliavimu siekiama, kad valstybės tarnyboje dirbantys asmenys, </w:t>
      </w:r>
      <w:proofErr w:type="spellStart"/>
      <w:r>
        <w:rPr>
          <w:i/>
          <w:iCs/>
          <w:sz w:val="24"/>
          <w:szCs w:val="24"/>
        </w:rPr>
        <w:t>inter</w:t>
      </w:r>
      <w:proofErr w:type="spellEnd"/>
      <w:r>
        <w:rPr>
          <w:i/>
          <w:iCs/>
          <w:sz w:val="24"/>
          <w:szCs w:val="24"/>
        </w:rPr>
        <w:t xml:space="preserve"> alia</w:t>
      </w:r>
      <w:r>
        <w:rPr>
          <w:sz w:val="24"/>
          <w:szCs w:val="24"/>
        </w:rPr>
        <w:t xml:space="preserve"> ir teisėjai, deklaruotų ne visus faktus, bet viešų ir privačių interesų konfliktą galinčius kelti faktus.</w:t>
      </w:r>
    </w:p>
    <w:p w14:paraId="47B3536F" w14:textId="77777777" w:rsidR="00034F8E" w:rsidRDefault="004E1219">
      <w:pPr>
        <w:widowControl w:val="0"/>
        <w:tabs>
          <w:tab w:val="left" w:pos="720"/>
        </w:tabs>
        <w:ind w:firstLine="851"/>
        <w:jc w:val="both"/>
        <w:rPr>
          <w:sz w:val="24"/>
          <w:szCs w:val="24"/>
        </w:rPr>
      </w:pPr>
      <w:r>
        <w:rPr>
          <w:sz w:val="24"/>
          <w:szCs w:val="24"/>
        </w:rPr>
        <w:t xml:space="preserve">Taigi, nors VPIDVTĮ suteikia deklaruojantiems asmenims pakankamai plačią </w:t>
      </w:r>
      <w:proofErr w:type="spellStart"/>
      <w:r>
        <w:rPr>
          <w:sz w:val="24"/>
          <w:szCs w:val="24"/>
        </w:rPr>
        <w:t>diskreciją</w:t>
      </w:r>
      <w:proofErr w:type="spellEnd"/>
      <w:r>
        <w:rPr>
          <w:sz w:val="24"/>
          <w:szCs w:val="24"/>
        </w:rPr>
        <w:t xml:space="preserve"> spręsti, ar jų veikloje atsiradusi aplinkybė gali jiems kelti interesų konfliktą ir ar ją privalu nurodyti privačių interesų deklaracijoje, teisėjo socialinis statusas bei jam keliami itin aukšti etinio bei moralinio pobūdžio reikalavimai įpareigoja ypač atidžiai vertinti savo elgesį, aplinkybes bei faktus, galinčius sukelti interesų konfliktą.</w:t>
      </w:r>
    </w:p>
    <w:p w14:paraId="4594AA48" w14:textId="77777777" w:rsidR="00034F8E" w:rsidRDefault="004E1219">
      <w:pPr>
        <w:widowControl w:val="0"/>
        <w:tabs>
          <w:tab w:val="left" w:pos="720"/>
        </w:tabs>
        <w:ind w:firstLine="851"/>
        <w:jc w:val="both"/>
      </w:pPr>
      <w:r>
        <w:rPr>
          <w:color w:val="000000"/>
          <w:sz w:val="24"/>
          <w:szCs w:val="24"/>
        </w:rPr>
        <w:t>Teisėjo A. M. nedeklaruotas giminystės ryšys su broliu, kuris yra žemesnės instancijos teismo teisėjas bendrosios kompetencijos teismuose, kurių teisėjas yra ir A. M., pats savaime negali būti vertinamas kaip faktas galintis sukelti viešų ir privačių interesų konfliktą, nes abu šie asmenys yra vieši asmenys, vykdantys teisingumą Lietuvos Respublikos vardu. Komisijai nėra pateikti duomenys ir Komisija neturi faktinio pagrindo spręsti, kad konkrečiu atveju teisėjas A. M. atliko ar galėjo atlikti tarnybines pareigas, susijusias su savo brolio priimtų procesinių sprendimų peržiūrėjimu. Taip pat, nagrinėjant teikimus, buvo nustatytos aplinkybės, kad į N. M. darbines pareigas neįeina patarimas Lietuvos Respublikos Prezidentui teisėjų karjeros klausimais, bei faktas, kad LAT teisėjas A. M. aktualiu laikotarpiu karjeros nesiekia. Taigi Komisija neturi pagrindo konstatuoti, kad teisėjas A. M. šiuo aspektu, nedeklaruodamas giminystės ir svainystės ryšių, pažeidė teisėjų etikos reikalavimus.</w:t>
      </w:r>
    </w:p>
    <w:p w14:paraId="735567A4" w14:textId="77777777" w:rsidR="00034F8E" w:rsidRDefault="004E1219">
      <w:pPr>
        <w:autoSpaceDE w:val="0"/>
        <w:ind w:firstLine="851"/>
        <w:jc w:val="both"/>
      </w:pPr>
      <w:r>
        <w:rPr>
          <w:sz w:val="24"/>
          <w:szCs w:val="24"/>
        </w:rPr>
        <w:t>Apibendrinusi išdėstytus argumentus, Komisija daro išvadą, kad išnagrinėjus turimą medžiagą nenustatyta aplinkybių, kurios leistų teisėjo A. M. veiksmus vertinti kaip teisėjų elgesiui keliamų reikalavimų pažeidimą ir konstatuoti Teismų įstatymo 83 straipsnio 2 dalyje numatytus nusižengimų požymius, kurie konkrečiu atveju sudarytų pagrindą taikyti Komisijos kompetencijai priskirtas, teisės aktuose nustatytas teisėjų drausminės atsakomybės priemones.</w:t>
      </w:r>
    </w:p>
    <w:p w14:paraId="2E75F677" w14:textId="77777777" w:rsidR="00034F8E" w:rsidRDefault="004E1219">
      <w:pPr>
        <w:widowControl w:val="0"/>
        <w:tabs>
          <w:tab w:val="left" w:pos="720"/>
        </w:tabs>
        <w:ind w:firstLine="851"/>
        <w:jc w:val="both"/>
      </w:pPr>
      <w:r>
        <w:rPr>
          <w:iCs/>
          <w:sz w:val="24"/>
          <w:szCs w:val="24"/>
        </w:rPr>
        <w:t xml:space="preserve">Komisija, vadovaudamasi skaidrumo ir viešumo principais, kurie įpareigoja teisėjus vengti </w:t>
      </w:r>
      <w:r>
        <w:rPr>
          <w:iCs/>
          <w:sz w:val="24"/>
          <w:szCs w:val="24"/>
          <w:shd w:val="clear" w:color="auto" w:fill="FFFFFF"/>
        </w:rPr>
        <w:t xml:space="preserve">veiklos šališkumo regimybės bei elgtis taip, kad nekiltų abejonių dėl interesų konflikto buvimo, rekomenduoja </w:t>
      </w:r>
      <w:r>
        <w:rPr>
          <w:iCs/>
          <w:sz w:val="24"/>
          <w:szCs w:val="24"/>
        </w:rPr>
        <w:t>teisėjui A. M. papildyti savo privačių interesų deklaraciją, nurodant aplinkybes, susijusias su galimu interesų konfliktu jam einat teisėjo pareigas, t. y. giminystę su Vilniaus miesto apylinkės teismo teisėju bei šio teismo pirmininko pavaduotoju J. M..</w:t>
      </w:r>
    </w:p>
    <w:p w14:paraId="7E7CFEAE" w14:textId="77777777" w:rsidR="00034F8E" w:rsidRDefault="00034F8E">
      <w:pPr>
        <w:ind w:firstLine="993"/>
        <w:jc w:val="both"/>
        <w:rPr>
          <w:sz w:val="24"/>
          <w:szCs w:val="24"/>
        </w:rPr>
      </w:pPr>
    </w:p>
    <w:p w14:paraId="1C43560B" w14:textId="77777777" w:rsidR="00034F8E" w:rsidRDefault="004E1219">
      <w:pPr>
        <w:ind w:firstLine="993"/>
        <w:jc w:val="both"/>
        <w:rPr>
          <w:sz w:val="24"/>
          <w:szCs w:val="24"/>
        </w:rPr>
      </w:pPr>
      <w:r>
        <w:rPr>
          <w:sz w:val="24"/>
          <w:szCs w:val="24"/>
        </w:rPr>
        <w:t>Vadovaudamasi Teisėjų etikos ir drausmės komisijos nuostatų 44.2 punktu, Teisėjų etikos ir drausmės komisija</w:t>
      </w:r>
    </w:p>
    <w:p w14:paraId="5E48AF26" w14:textId="77777777" w:rsidR="00034F8E" w:rsidRDefault="00034F8E">
      <w:pPr>
        <w:ind w:firstLine="993"/>
        <w:jc w:val="both"/>
        <w:rPr>
          <w:sz w:val="24"/>
          <w:szCs w:val="24"/>
        </w:rPr>
      </w:pPr>
    </w:p>
    <w:p w14:paraId="257425C4" w14:textId="77777777" w:rsidR="00034F8E" w:rsidRDefault="004E1219">
      <w:pPr>
        <w:ind w:firstLine="993"/>
        <w:jc w:val="both"/>
        <w:rPr>
          <w:sz w:val="24"/>
          <w:szCs w:val="24"/>
        </w:rPr>
      </w:pPr>
      <w:r>
        <w:rPr>
          <w:sz w:val="24"/>
          <w:szCs w:val="24"/>
        </w:rPr>
        <w:t>n u s p r e n d ž i a:</w:t>
      </w:r>
    </w:p>
    <w:p w14:paraId="73D98553" w14:textId="77777777" w:rsidR="00034F8E" w:rsidRDefault="00034F8E">
      <w:pPr>
        <w:ind w:firstLine="993"/>
        <w:jc w:val="both"/>
        <w:rPr>
          <w:sz w:val="24"/>
          <w:szCs w:val="24"/>
        </w:rPr>
      </w:pPr>
    </w:p>
    <w:p w14:paraId="7ADCB909" w14:textId="77777777" w:rsidR="00034F8E" w:rsidRDefault="004E1219">
      <w:pPr>
        <w:ind w:firstLine="993"/>
        <w:jc w:val="both"/>
      </w:pPr>
      <w:r>
        <w:rPr>
          <w:sz w:val="24"/>
          <w:szCs w:val="24"/>
        </w:rPr>
        <w:t xml:space="preserve">atsisakyti iškelti drausmės bylą </w:t>
      </w:r>
      <w:r>
        <w:rPr>
          <w:sz w:val="24"/>
          <w:szCs w:val="24"/>
          <w:shd w:val="clear" w:color="auto" w:fill="FFFFFF"/>
        </w:rPr>
        <w:t>Lietuvos Aukščiausiojo</w:t>
      </w:r>
      <w:r>
        <w:rPr>
          <w:rFonts w:ascii="Arial" w:hAnsi="Arial" w:cs="Arial"/>
          <w:sz w:val="24"/>
          <w:szCs w:val="24"/>
          <w:shd w:val="clear" w:color="auto" w:fill="FFFFFF"/>
        </w:rPr>
        <w:t xml:space="preserve"> </w:t>
      </w:r>
      <w:r>
        <w:rPr>
          <w:sz w:val="24"/>
          <w:szCs w:val="24"/>
        </w:rPr>
        <w:t>Teismo teisėjui A. M..</w:t>
      </w:r>
    </w:p>
    <w:p w14:paraId="00B38017" w14:textId="77777777" w:rsidR="00034F8E" w:rsidRDefault="004E1219">
      <w:pPr>
        <w:ind w:firstLine="993"/>
        <w:jc w:val="both"/>
        <w:rPr>
          <w:sz w:val="24"/>
          <w:szCs w:val="24"/>
        </w:rPr>
      </w:pPr>
      <w:r>
        <w:rPr>
          <w:sz w:val="24"/>
          <w:szCs w:val="24"/>
        </w:rPr>
        <w:t>Sprendimas neskundžiamas.</w:t>
      </w:r>
    </w:p>
    <w:p w14:paraId="0145A28A" w14:textId="77777777" w:rsidR="00034F8E" w:rsidRDefault="00034F8E">
      <w:pPr>
        <w:shd w:val="clear" w:color="auto" w:fill="FFFFFF"/>
        <w:tabs>
          <w:tab w:val="left" w:pos="7088"/>
        </w:tabs>
        <w:ind w:firstLine="851"/>
        <w:rPr>
          <w:sz w:val="24"/>
          <w:szCs w:val="24"/>
        </w:rPr>
      </w:pPr>
    </w:p>
    <w:p w14:paraId="677933BD" w14:textId="77777777" w:rsidR="00034F8E" w:rsidRDefault="00034F8E">
      <w:pPr>
        <w:tabs>
          <w:tab w:val="left" w:pos="0"/>
        </w:tabs>
        <w:ind w:right="-1"/>
        <w:jc w:val="both"/>
        <w:rPr>
          <w:sz w:val="24"/>
          <w:szCs w:val="24"/>
        </w:rPr>
      </w:pPr>
    </w:p>
    <w:p w14:paraId="2FC2DA6C" w14:textId="77777777" w:rsidR="00034F8E" w:rsidRDefault="004E1219">
      <w:pPr>
        <w:tabs>
          <w:tab w:val="left" w:pos="0"/>
        </w:tabs>
        <w:ind w:right="-1"/>
        <w:jc w:val="both"/>
        <w:rPr>
          <w:sz w:val="24"/>
          <w:szCs w:val="24"/>
        </w:rPr>
      </w:pPr>
      <w:r>
        <w:rPr>
          <w:sz w:val="24"/>
          <w:szCs w:val="24"/>
        </w:rPr>
        <w:t>Komisijos pirmininkė:</w:t>
      </w:r>
      <w:r>
        <w:rPr>
          <w:sz w:val="24"/>
          <w:szCs w:val="24"/>
        </w:rPr>
        <w:tab/>
      </w:r>
      <w:r>
        <w:rPr>
          <w:sz w:val="24"/>
          <w:szCs w:val="24"/>
        </w:rPr>
        <w:tab/>
      </w:r>
      <w:r>
        <w:rPr>
          <w:sz w:val="24"/>
          <w:szCs w:val="24"/>
        </w:rPr>
        <w:tab/>
      </w:r>
      <w:r>
        <w:rPr>
          <w:sz w:val="24"/>
          <w:szCs w:val="24"/>
        </w:rPr>
        <w:tab/>
      </w:r>
      <w:r>
        <w:rPr>
          <w:sz w:val="24"/>
          <w:szCs w:val="24"/>
        </w:rPr>
        <w:tab/>
        <w:t xml:space="preserve"> Sigita Jokimaitė</w:t>
      </w:r>
    </w:p>
    <w:p w14:paraId="61423D05" w14:textId="77777777" w:rsidR="00034F8E" w:rsidRDefault="00034F8E">
      <w:pPr>
        <w:tabs>
          <w:tab w:val="left" w:pos="0"/>
        </w:tabs>
        <w:ind w:right="-1"/>
        <w:jc w:val="both"/>
        <w:rPr>
          <w:sz w:val="24"/>
          <w:szCs w:val="24"/>
        </w:rPr>
      </w:pPr>
    </w:p>
    <w:p w14:paraId="452BD636" w14:textId="77777777" w:rsidR="00034F8E" w:rsidRDefault="004E1219">
      <w:pPr>
        <w:shd w:val="clear" w:color="auto" w:fill="FFFFFF"/>
        <w:tabs>
          <w:tab w:val="left" w:pos="7088"/>
        </w:tabs>
        <w:ind w:right="-1"/>
        <w:rPr>
          <w:sz w:val="24"/>
          <w:szCs w:val="24"/>
        </w:rPr>
      </w:pPr>
      <w:r>
        <w:rPr>
          <w:sz w:val="24"/>
          <w:szCs w:val="24"/>
        </w:rPr>
        <w:t xml:space="preserve">Komisijos nariai:                                                                                               Snieguolė Matulienė              </w:t>
      </w:r>
    </w:p>
    <w:p w14:paraId="3DC5B6F3" w14:textId="77777777" w:rsidR="00034F8E" w:rsidRDefault="004E1219">
      <w:pPr>
        <w:shd w:val="clear" w:color="auto" w:fill="FFFFFF"/>
        <w:tabs>
          <w:tab w:val="left" w:pos="7088"/>
        </w:tabs>
        <w:ind w:right="-1" w:firstLine="851"/>
        <w:jc w:val="center"/>
        <w:rPr>
          <w:sz w:val="24"/>
          <w:szCs w:val="24"/>
        </w:rPr>
      </w:pPr>
      <w:r>
        <w:rPr>
          <w:sz w:val="24"/>
          <w:szCs w:val="24"/>
        </w:rPr>
        <w:tab/>
      </w:r>
      <w:r>
        <w:rPr>
          <w:sz w:val="24"/>
          <w:szCs w:val="24"/>
        </w:rPr>
        <w:tab/>
      </w:r>
    </w:p>
    <w:p w14:paraId="6508603E" w14:textId="77777777" w:rsidR="00034F8E" w:rsidRDefault="004E1219">
      <w:pPr>
        <w:shd w:val="clear" w:color="auto" w:fill="FFFFFF"/>
        <w:tabs>
          <w:tab w:val="left" w:pos="7088"/>
        </w:tabs>
        <w:ind w:right="-1" w:firstLine="851"/>
        <w:jc w:val="center"/>
        <w:rPr>
          <w:sz w:val="24"/>
          <w:szCs w:val="24"/>
        </w:rPr>
      </w:pPr>
      <w:r>
        <w:rPr>
          <w:sz w:val="24"/>
          <w:szCs w:val="24"/>
        </w:rPr>
        <w:tab/>
        <w:t xml:space="preserve">            Veslava Ruskan </w:t>
      </w:r>
    </w:p>
    <w:p w14:paraId="0D610DCF" w14:textId="77777777" w:rsidR="00034F8E" w:rsidRDefault="00034F8E">
      <w:pPr>
        <w:shd w:val="clear" w:color="auto" w:fill="FFFFFF"/>
        <w:tabs>
          <w:tab w:val="left" w:pos="7088"/>
        </w:tabs>
        <w:ind w:right="-1" w:firstLine="851"/>
        <w:jc w:val="center"/>
        <w:rPr>
          <w:sz w:val="24"/>
          <w:szCs w:val="24"/>
        </w:rPr>
      </w:pPr>
    </w:p>
    <w:p w14:paraId="5F5B6529" w14:textId="77777777" w:rsidR="00034F8E" w:rsidRDefault="004E1219">
      <w:pPr>
        <w:shd w:val="clear" w:color="auto" w:fill="FFFFFF"/>
        <w:tabs>
          <w:tab w:val="left" w:pos="7088"/>
        </w:tabs>
        <w:ind w:right="-1" w:firstLine="851"/>
        <w:jc w:val="center"/>
        <w:rPr>
          <w:sz w:val="24"/>
          <w:szCs w:val="24"/>
        </w:rPr>
      </w:pPr>
      <w:r>
        <w:rPr>
          <w:sz w:val="24"/>
          <w:szCs w:val="24"/>
        </w:rPr>
        <w:tab/>
        <w:t xml:space="preserve">       </w:t>
      </w:r>
      <w:proofErr w:type="spellStart"/>
      <w:r>
        <w:rPr>
          <w:sz w:val="24"/>
          <w:szCs w:val="24"/>
        </w:rPr>
        <w:t>Urmila</w:t>
      </w:r>
      <w:proofErr w:type="spellEnd"/>
      <w:r>
        <w:rPr>
          <w:sz w:val="24"/>
          <w:szCs w:val="24"/>
        </w:rPr>
        <w:t xml:space="preserve"> </w:t>
      </w:r>
      <w:proofErr w:type="spellStart"/>
      <w:r>
        <w:rPr>
          <w:sz w:val="24"/>
          <w:szCs w:val="24"/>
        </w:rPr>
        <w:t>Valiukienė</w:t>
      </w:r>
      <w:proofErr w:type="spellEnd"/>
      <w:r>
        <w:rPr>
          <w:sz w:val="24"/>
          <w:szCs w:val="24"/>
        </w:rPr>
        <w:t xml:space="preserve">         </w:t>
      </w:r>
    </w:p>
    <w:p w14:paraId="5044C11E" w14:textId="77777777" w:rsidR="00034F8E" w:rsidRDefault="00034F8E">
      <w:pPr>
        <w:shd w:val="clear" w:color="auto" w:fill="FFFFFF"/>
        <w:tabs>
          <w:tab w:val="left" w:pos="7088"/>
        </w:tabs>
        <w:ind w:right="-1" w:firstLine="851"/>
        <w:jc w:val="center"/>
        <w:rPr>
          <w:sz w:val="24"/>
          <w:szCs w:val="24"/>
        </w:rPr>
      </w:pPr>
    </w:p>
    <w:p w14:paraId="78B172F6" w14:textId="77777777" w:rsidR="00034F8E" w:rsidRDefault="004E1219">
      <w:pPr>
        <w:shd w:val="clear" w:color="auto" w:fill="FFFFFF"/>
        <w:tabs>
          <w:tab w:val="left" w:pos="7088"/>
        </w:tabs>
        <w:ind w:right="-1"/>
        <w:rPr>
          <w:sz w:val="24"/>
          <w:szCs w:val="24"/>
        </w:rPr>
      </w:pPr>
      <w:r>
        <w:rPr>
          <w:sz w:val="24"/>
          <w:szCs w:val="24"/>
        </w:rPr>
        <w:tab/>
        <w:t xml:space="preserve">        Tomas Berkmanas </w:t>
      </w:r>
    </w:p>
    <w:p w14:paraId="4A944A1E" w14:textId="77777777" w:rsidR="00034F8E" w:rsidRDefault="00034F8E">
      <w:pPr>
        <w:shd w:val="clear" w:color="auto" w:fill="FFFFFF"/>
        <w:tabs>
          <w:tab w:val="left" w:pos="7088"/>
        </w:tabs>
        <w:ind w:right="-1" w:firstLine="851"/>
        <w:jc w:val="center"/>
        <w:rPr>
          <w:sz w:val="24"/>
          <w:szCs w:val="24"/>
        </w:rPr>
      </w:pPr>
    </w:p>
    <w:p w14:paraId="35EC3964" w14:textId="77777777" w:rsidR="00034F8E" w:rsidRDefault="004E1219">
      <w:pPr>
        <w:shd w:val="clear" w:color="auto" w:fill="FFFFFF"/>
        <w:tabs>
          <w:tab w:val="left" w:pos="7088"/>
        </w:tabs>
        <w:ind w:right="-1" w:firstLine="851"/>
        <w:jc w:val="center"/>
        <w:rPr>
          <w:sz w:val="24"/>
          <w:szCs w:val="24"/>
        </w:rPr>
      </w:pPr>
      <w:r>
        <w:rPr>
          <w:sz w:val="24"/>
          <w:szCs w:val="24"/>
        </w:rPr>
        <w:tab/>
        <w:t xml:space="preserve">    Liudas Ramanauskas</w:t>
      </w:r>
    </w:p>
    <w:p w14:paraId="426278A9" w14:textId="77777777" w:rsidR="00034F8E" w:rsidRDefault="00034F8E">
      <w:pPr>
        <w:shd w:val="clear" w:color="auto" w:fill="FFFFFF"/>
        <w:tabs>
          <w:tab w:val="left" w:pos="7088"/>
        </w:tabs>
        <w:ind w:firstLine="851"/>
        <w:rPr>
          <w:sz w:val="24"/>
          <w:szCs w:val="24"/>
        </w:rPr>
      </w:pPr>
    </w:p>
    <w:sectPr w:rsidR="00034F8E">
      <w:headerReference w:type="default" r:id="rId8"/>
      <w:footerReference w:type="default" r:id="rId9"/>
      <w:headerReference w:type="first" r:id="rId10"/>
      <w:pgSz w:w="11906" w:h="16838"/>
      <w:pgMar w:top="851" w:right="680" w:bottom="567" w:left="1814" w:header="68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3511" w14:textId="77777777" w:rsidR="009C3F6C" w:rsidRDefault="009C3F6C">
      <w:r>
        <w:separator/>
      </w:r>
    </w:p>
  </w:endnote>
  <w:endnote w:type="continuationSeparator" w:id="0">
    <w:p w14:paraId="5311C12C" w14:textId="77777777" w:rsidR="009C3F6C" w:rsidRDefault="009C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E231" w14:textId="77777777" w:rsidR="00276032" w:rsidRDefault="009C3F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9585" w14:textId="77777777" w:rsidR="009C3F6C" w:rsidRDefault="009C3F6C">
      <w:r>
        <w:rPr>
          <w:color w:val="000000"/>
        </w:rPr>
        <w:separator/>
      </w:r>
    </w:p>
  </w:footnote>
  <w:footnote w:type="continuationSeparator" w:id="0">
    <w:p w14:paraId="075BD693" w14:textId="77777777" w:rsidR="009C3F6C" w:rsidRDefault="009C3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4945" w14:textId="77777777" w:rsidR="00276032" w:rsidRDefault="004E1219">
    <w:pPr>
      <w:pStyle w:val="Header"/>
      <w:jc w:val="center"/>
    </w:pPr>
    <w:r>
      <w:fldChar w:fldCharType="begin"/>
    </w:r>
    <w:r>
      <w:instrText xml:space="preserve"> PAGE </w:instrText>
    </w:r>
    <w:r>
      <w:fldChar w:fldCharType="separate"/>
    </w:r>
    <w:r>
      <w:t>2</w:t>
    </w:r>
    <w:r>
      <w:fldChar w:fldCharType="end"/>
    </w:r>
  </w:p>
  <w:p w14:paraId="4732BCA6" w14:textId="77777777" w:rsidR="00276032" w:rsidRDefault="009C3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EBD0" w14:textId="77777777" w:rsidR="00276032" w:rsidRDefault="009C3F6C">
    <w:pPr>
      <w:pStyle w:val="Header"/>
      <w:jc w:val="center"/>
    </w:pPr>
  </w:p>
  <w:p w14:paraId="06417E8E" w14:textId="77777777" w:rsidR="00276032" w:rsidRDefault="009C3F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8E"/>
    <w:rsid w:val="00034F8E"/>
    <w:rsid w:val="004E1219"/>
    <w:rsid w:val="00763A0F"/>
    <w:rsid w:val="009C3F6C"/>
    <w:rsid w:val="00D65CDF"/>
    <w:rsid w:val="00E5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5390"/>
  <w15:docId w15:val="{B10660D0-5C67-43A4-A358-CB01D5C8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0"/>
      <w:szCs w:val="20"/>
      <w:lang w:eastAsia="lt-LT"/>
    </w:rPr>
  </w:style>
  <w:style w:type="paragraph" w:styleId="Heading2">
    <w:name w:val="heading 2"/>
    <w:basedOn w:val="Normal"/>
    <w:uiPriority w:val="9"/>
    <w:semiHidden/>
    <w:unhideWhenUsed/>
    <w:qFormat/>
    <w:pPr>
      <w:spacing w:before="100" w:after="100"/>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pPr>
      <w:spacing w:before="40" w:after="40"/>
      <w:ind w:firstLine="1247"/>
      <w:jc w:val="both"/>
    </w:pPr>
    <w:rPr>
      <w:sz w:val="24"/>
    </w:rPr>
  </w:style>
  <w:style w:type="paragraph" w:styleId="Title">
    <w:name w:val="Title"/>
    <w:basedOn w:val="Normal"/>
    <w:uiPriority w:val="10"/>
    <w:qFormat/>
    <w:pPr>
      <w:overflowPunct w:val="0"/>
      <w:autoSpaceDE w:val="0"/>
      <w:spacing w:line="360" w:lineRule="atLeast"/>
      <w:jc w:val="center"/>
    </w:pPr>
    <w:rPr>
      <w:rFonts w:ascii="Tahoma" w:hAnsi="Tahoma"/>
      <w:b/>
      <w:sz w:val="28"/>
    </w:rPr>
  </w:style>
  <w:style w:type="character" w:customStyle="1" w:styleId="TitleChar">
    <w:name w:val="Title Char"/>
    <w:basedOn w:val="DefaultParagraphFont"/>
    <w:rPr>
      <w:rFonts w:ascii="Tahoma" w:eastAsia="Times New Roman" w:hAnsi="Tahoma" w:cs="Times New Roman"/>
      <w:b/>
      <w:sz w:val="28"/>
      <w:szCs w:val="20"/>
      <w:lang w:eastAsia="lt-LT"/>
    </w:rPr>
  </w:style>
  <w:style w:type="paragraph" w:styleId="Header">
    <w:name w:val="header"/>
    <w:basedOn w:val="Normal"/>
    <w:pPr>
      <w:tabs>
        <w:tab w:val="center" w:pos="4819"/>
        <w:tab w:val="right" w:pos="9638"/>
      </w:tabs>
    </w:pPr>
  </w:style>
  <w:style w:type="character" w:customStyle="1" w:styleId="HeaderChar">
    <w:name w:val="Header Char"/>
    <w:basedOn w:val="DefaultParagraphFont"/>
    <w:rPr>
      <w:rFonts w:ascii="Times New Roman" w:eastAsia="Times New Roman" w:hAnsi="Times New Roman" w:cs="Times New Roman"/>
      <w:sz w:val="20"/>
      <w:szCs w:val="20"/>
      <w:lang w:eastAsia="lt-LT"/>
    </w:rPr>
  </w:style>
  <w:style w:type="paragraph" w:styleId="Footer">
    <w:name w:val="footer"/>
    <w:basedOn w:val="Normal"/>
    <w:pPr>
      <w:tabs>
        <w:tab w:val="center" w:pos="4819"/>
        <w:tab w:val="right" w:pos="9638"/>
      </w:tabs>
    </w:pPr>
  </w:style>
  <w:style w:type="character" w:customStyle="1" w:styleId="FooterChar">
    <w:name w:val="Footer Char"/>
    <w:basedOn w:val="DefaultParagraphFont"/>
    <w:rPr>
      <w:rFonts w:ascii="Times New Roman" w:eastAsia="Times New Roman" w:hAnsi="Times New Roman" w:cs="Times New Roman"/>
      <w:sz w:val="20"/>
      <w:szCs w:val="20"/>
      <w:lang w:eastAsia="lt-LT"/>
    </w:rPr>
  </w:style>
  <w:style w:type="character" w:styleId="PageNumber">
    <w:name w:val="page number"/>
    <w:basedOn w:val="DefaultParagraphFont"/>
    <w:rPr>
      <w:rFonts w:cs="Times New Roman"/>
    </w:rPr>
  </w:style>
  <w:style w:type="character" w:customStyle="1" w:styleId="TekstasDiagrama">
    <w:name w:val="Tekstas Diagrama"/>
    <w:rPr>
      <w:rFonts w:ascii="Times New Roman" w:eastAsia="Times New Roman" w:hAnsi="Times New Roman" w:cs="Times New Roman"/>
      <w:sz w:val="24"/>
      <w:szCs w:val="20"/>
      <w:lang w:eastAsia="lt-LT"/>
    </w:rPr>
  </w:style>
  <w:style w:type="character" w:customStyle="1" w:styleId="DateChar">
    <w:name w:val="Date Char"/>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pPr>
      <w:tabs>
        <w:tab w:val="clear" w:pos="4819"/>
        <w:tab w:val="clear" w:pos="9638"/>
      </w:tabs>
      <w:jc w:val="center"/>
    </w:pPr>
    <w:rPr>
      <w:sz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lt-LT"/>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eastAsia="lt-LT"/>
    </w:rPr>
  </w:style>
  <w:style w:type="paragraph" w:customStyle="1" w:styleId="Statja">
    <w:name w:val="Statja"/>
    <w:basedOn w:val="Normal"/>
    <w:pPr>
      <w:tabs>
        <w:tab w:val="left" w:pos="1304"/>
        <w:tab w:val="left" w:pos="1457"/>
        <w:tab w:val="left" w:pos="1604"/>
        <w:tab w:val="left" w:pos="1757"/>
      </w:tabs>
      <w:autoSpaceDE w:val="0"/>
      <w:spacing w:before="113"/>
      <w:ind w:left="312"/>
    </w:pPr>
    <w:rPr>
      <w:rFonts w:ascii="TimesLT" w:hAnsi="TimesLT"/>
      <w:b/>
      <w:lang w:val="en-US"/>
    </w:rPr>
  </w:style>
  <w:style w:type="paragraph" w:customStyle="1" w:styleId="Adresas">
    <w:name w:val="Adresas"/>
    <w:basedOn w:val="Normal"/>
    <w:pPr>
      <w:spacing w:before="40" w:after="40"/>
      <w:ind w:right="316"/>
    </w:pPr>
    <w:rPr>
      <w:sz w:val="24"/>
      <w:szCs w:val="24"/>
      <w:lang w:eastAsia="en-US"/>
    </w:rPr>
  </w:style>
  <w:style w:type="paragraph" w:customStyle="1" w:styleId="tajtip">
    <w:name w:val="tajtip"/>
    <w:basedOn w:val="Normal"/>
    <w:pPr>
      <w:spacing w:before="100" w:after="100"/>
    </w:pPr>
    <w:rPr>
      <w:sz w:val="24"/>
      <w:szCs w:val="24"/>
    </w:rPr>
  </w:style>
  <w:style w:type="paragraph" w:styleId="ListParagraph">
    <w:name w:val="List Paragraph"/>
    <w:basedOn w:val="Normal"/>
    <w:pPr>
      <w:ind w:left="720"/>
    </w:pPr>
  </w:style>
  <w:style w:type="paragraph" w:customStyle="1" w:styleId="Date858D7CFB-ED40-4347-BF05-701D383B685F858D7CFB-ED40-4347-BF05-701D383B685F0">
    <w:name w:val="Date[858D7CFB-ED40-4347-BF05-701D383B685F][858D7CFB-ED40-4347-BF05-701D383B685F]"/>
    <w:basedOn w:val="Header"/>
    <w:pPr>
      <w:tabs>
        <w:tab w:val="clear" w:pos="4819"/>
        <w:tab w:val="clear" w:pos="9638"/>
      </w:tabs>
      <w:jc w:val="center"/>
    </w:pPr>
    <w:rPr>
      <w:sz w:val="24"/>
    </w:rPr>
  </w:style>
  <w:style w:type="character" w:customStyle="1" w:styleId="apple-converted-space">
    <w:name w:val="apple-converted-space"/>
    <w:basedOn w:val="DefaultParagraphFont"/>
  </w:style>
  <w:style w:type="character" w:styleId="Hyperlink">
    <w:name w:val="Hyperlink"/>
    <w:basedOn w:val="DefaultParagraphFont"/>
    <w:rPr>
      <w:color w:val="0000FF"/>
      <w:u w:val="single"/>
    </w:rPr>
  </w:style>
  <w:style w:type="character" w:customStyle="1" w:styleId="bkg-highlight-blue">
    <w:name w:val="bkg-highlight-blue"/>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lt-LT"/>
    </w:rPr>
  </w:style>
  <w:style w:type="paragraph" w:styleId="Revision">
    <w:name w:val="Revision"/>
    <w:pPr>
      <w:suppressAutoHyphens/>
      <w:spacing w:after="0" w:line="240" w:lineRule="auto"/>
    </w:pPr>
    <w:rPr>
      <w:rFonts w:ascii="Times New Roman" w:eastAsia="Times New Roman" w:hAnsi="Times New Roman"/>
      <w:sz w:val="20"/>
      <w:szCs w:val="20"/>
      <w:lang w:eastAsia="lt-LT"/>
    </w:rPr>
  </w:style>
  <w:style w:type="character" w:styleId="Emphasis">
    <w:name w:val="Emphasis"/>
    <w:basedOn w:val="DefaultParagraphFont"/>
    <w:rPr>
      <w:i/>
      <w:iCs/>
    </w:rPr>
  </w:style>
  <w:style w:type="paragraph" w:styleId="FootnoteText">
    <w:name w:val="footnote text"/>
    <w:basedOn w:val="Normal"/>
    <w:pPr>
      <w:jc w:val="both"/>
    </w:pPr>
    <w:rPr>
      <w:sz w:val="18"/>
      <w:lang w:val="en-US"/>
    </w:rPr>
  </w:style>
  <w:style w:type="character" w:customStyle="1" w:styleId="FootnoteTextChar">
    <w:name w:val="Footnote Text Char"/>
    <w:basedOn w:val="DefaultParagraphFont"/>
    <w:rPr>
      <w:rFonts w:ascii="Times New Roman" w:eastAsia="Times New Roman" w:hAnsi="Times New Roman" w:cs="Times New Roman"/>
      <w:sz w:val="18"/>
      <w:szCs w:val="20"/>
      <w:lang w:val="en-US" w:eastAsia="lt-LT"/>
    </w:rPr>
  </w:style>
  <w:style w:type="character" w:styleId="FootnoteReference">
    <w:name w:val="footnote reference"/>
    <w:rPr>
      <w:position w:val="0"/>
      <w:vertAlign w:val="superscript"/>
    </w:rPr>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eastAsia="lt-LT"/>
    </w:rPr>
  </w:style>
  <w:style w:type="character" w:customStyle="1" w:styleId="Heading2Char">
    <w:name w:val="Heading 2 Char"/>
    <w:basedOn w:val="DefaultParagraphFont"/>
    <w:rPr>
      <w:rFonts w:ascii="Times New Roman" w:eastAsia="Times New Roman" w:hAnsi="Times New Roman" w:cs="Times New Roman"/>
      <w:b/>
      <w:bCs/>
      <w:sz w:val="36"/>
      <w:szCs w:val="36"/>
      <w:lang w:val="en-US"/>
    </w:rPr>
  </w:style>
  <w:style w:type="paragraph" w:styleId="BodyText2">
    <w:name w:val="Body Text 2"/>
    <w:basedOn w:val="Normal"/>
    <w:rPr>
      <w:sz w:val="24"/>
      <w:lang w:val="en-US"/>
    </w:rPr>
  </w:style>
  <w:style w:type="character" w:customStyle="1" w:styleId="BodyText2Char">
    <w:name w:val="Body Text 2 Char"/>
    <w:basedOn w:val="DefaultParagraphFont"/>
    <w:rPr>
      <w:rFonts w:ascii="Times New Roman" w:eastAsia="Times New Roman" w:hAnsi="Times New Roman" w:cs="Times New Roman"/>
      <w:sz w:val="24"/>
      <w:szCs w:val="20"/>
      <w:lang w:val="en-US" w:eastAsia="lt-LT"/>
    </w:rPr>
  </w:style>
  <w:style w:type="paragraph" w:customStyle="1" w:styleId="western">
    <w:name w:val="western"/>
    <w:basedOn w:val="Normal"/>
    <w:pPr>
      <w:spacing w:before="100" w:after="10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okymuklubas.lt/lektoria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7257</Words>
  <Characters>41370</Characters>
  <Application>Microsoft Office Word</Application>
  <DocSecurity>0</DocSecurity>
  <Lines>344</Lines>
  <Paragraphs>97</Paragraphs>
  <ScaleCrop>false</ScaleCrop>
  <Company/>
  <LinksUpToDate>false</LinksUpToDate>
  <CharactersWithSpaces>48530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Olga Baltrėnė</cp:lastModifiedBy>
  <cp:revision>5</cp:revision>
  <cp:lastPrinted>2018-11-15T12:35:00Z</cp:lastPrinted>
  <dcterms:created xsi:type="dcterms:W3CDTF">2021-04-12T08:53:00Z</dcterms:created>
  <dcterms:modified xsi:type="dcterms:W3CDTF">2021-04-12T12:53:00Z</dcterms:modified>
</cp:coreProperties>
</file>