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CA33" w14:textId="28D91996" w:rsidR="007D3C1F" w:rsidRDefault="00463615">
      <w:pPr>
        <w:widowControl w:val="0"/>
        <w:suppressAutoHyphens/>
        <w:jc w:val="center"/>
        <w:rPr>
          <w:b/>
          <w:color w:val="000000"/>
          <w:kern w:val="2"/>
          <w:szCs w:val="24"/>
          <w:lang w:val="fi-FI" w:eastAsia="zh-CN" w:bidi="hi-IN"/>
        </w:rPr>
      </w:pPr>
      <w:r>
        <w:rPr>
          <w:noProof/>
          <w:lang w:eastAsia="lt-LT"/>
        </w:rPr>
        <w:drawing>
          <wp:inline distT="0" distB="0" distL="0" distR="0" wp14:anchorId="0957C812" wp14:editId="07A30B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74C09" w14:textId="77777777" w:rsidR="00463615" w:rsidRPr="008B349B" w:rsidRDefault="00463615">
      <w:pPr>
        <w:widowControl w:val="0"/>
        <w:suppressAutoHyphens/>
        <w:jc w:val="center"/>
        <w:rPr>
          <w:b/>
          <w:color w:val="000000"/>
          <w:kern w:val="2"/>
          <w:szCs w:val="24"/>
          <w:lang w:val="fi-FI" w:eastAsia="zh-CN" w:bidi="hi-IN"/>
        </w:rPr>
      </w:pPr>
    </w:p>
    <w:p w14:paraId="3793E106" w14:textId="3F2C7D8B" w:rsidR="00463615" w:rsidRPr="008B349B" w:rsidRDefault="00D71C8A" w:rsidP="00463615">
      <w:pPr>
        <w:widowControl w:val="0"/>
        <w:suppressAutoHyphens/>
        <w:jc w:val="center"/>
        <w:rPr>
          <w:b/>
          <w:color w:val="000000"/>
          <w:kern w:val="2"/>
          <w:szCs w:val="24"/>
          <w:lang w:val="fi-FI" w:eastAsia="zh-CN" w:bidi="hi-IN"/>
        </w:rPr>
      </w:pPr>
      <w:r w:rsidRPr="008B349B">
        <w:rPr>
          <w:b/>
          <w:color w:val="000000"/>
          <w:kern w:val="2"/>
          <w:szCs w:val="24"/>
          <w:lang w:val="fi-FI" w:eastAsia="zh-CN" w:bidi="hi-IN"/>
        </w:rPr>
        <w:t>TEISĖJŲ TARYBA</w:t>
      </w:r>
    </w:p>
    <w:p w14:paraId="2269CA35" w14:textId="77777777" w:rsidR="007D3C1F" w:rsidRPr="008B349B" w:rsidRDefault="007D3C1F">
      <w:pPr>
        <w:widowControl w:val="0"/>
        <w:suppressAutoHyphens/>
        <w:jc w:val="center"/>
        <w:rPr>
          <w:b/>
          <w:bCs/>
          <w:color w:val="000000"/>
          <w:kern w:val="2"/>
          <w:szCs w:val="24"/>
          <w:lang w:val="fi-FI" w:eastAsia="zh-CN" w:bidi="hi-IN"/>
        </w:rPr>
      </w:pPr>
    </w:p>
    <w:p w14:paraId="2269CA36" w14:textId="77777777" w:rsidR="007D3C1F" w:rsidRDefault="00D71C8A">
      <w:pPr>
        <w:widowControl w:val="0"/>
        <w:suppressAutoHyphens/>
        <w:jc w:val="center"/>
        <w:rPr>
          <w:rFonts w:eastAsia="WenQuanYi Micro Hei"/>
          <w:b/>
          <w:bCs/>
          <w:color w:val="000000"/>
          <w:kern w:val="2"/>
          <w:szCs w:val="24"/>
          <w:lang w:val="x-none" w:eastAsia="zh-CN" w:bidi="hi-IN"/>
        </w:rPr>
      </w:pPr>
      <w:r>
        <w:rPr>
          <w:rFonts w:eastAsia="WenQuanYi Micro Hei"/>
          <w:b/>
          <w:bCs/>
          <w:color w:val="000000"/>
          <w:kern w:val="2"/>
          <w:szCs w:val="24"/>
          <w:lang w:val="x-none" w:eastAsia="zh-CN" w:bidi="hi-IN"/>
        </w:rPr>
        <w:t>NUTARIMAS</w:t>
      </w:r>
    </w:p>
    <w:p w14:paraId="2269CA37" w14:textId="77777777" w:rsidR="007D3C1F" w:rsidRDefault="00D71C8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TEISĖJŲ TARYBOS 2015 M. GEGUŽĖS 29 D. NUTARIMO NR. 13P-79-(7.1.2) „DĖL DARBO KRŪVIO SKAIČIAVIMO TEISMUOSE TVARKOS APRAŠO PATVIRTINIMO“ PAKEITIMO</w:t>
      </w:r>
    </w:p>
    <w:p w14:paraId="2269CA38" w14:textId="77777777" w:rsidR="007D3C1F" w:rsidRDefault="007D3C1F">
      <w:pPr>
        <w:jc w:val="center"/>
        <w:rPr>
          <w:b/>
          <w:szCs w:val="24"/>
          <w:lang w:eastAsia="lt-LT"/>
        </w:rPr>
      </w:pPr>
    </w:p>
    <w:p w14:paraId="51BF9966" w14:textId="79117942" w:rsidR="00463615" w:rsidRDefault="00D71C8A" w:rsidP="00463615">
      <w:pPr>
        <w:tabs>
          <w:tab w:val="left" w:pos="1134"/>
        </w:tabs>
        <w:jc w:val="center"/>
        <w:rPr>
          <w:szCs w:val="24"/>
        </w:rPr>
      </w:pPr>
      <w:r>
        <w:rPr>
          <w:szCs w:val="24"/>
        </w:rPr>
        <w:t>20</w:t>
      </w:r>
      <w:r w:rsidR="004E6779">
        <w:rPr>
          <w:szCs w:val="24"/>
        </w:rPr>
        <w:t>21</w:t>
      </w:r>
      <w:r>
        <w:rPr>
          <w:szCs w:val="24"/>
        </w:rPr>
        <w:t xml:space="preserve"> m.</w:t>
      </w:r>
      <w:r w:rsidR="004E6779">
        <w:rPr>
          <w:szCs w:val="24"/>
        </w:rPr>
        <w:t xml:space="preserve"> </w:t>
      </w:r>
      <w:r w:rsidR="00463615">
        <w:rPr>
          <w:szCs w:val="24"/>
        </w:rPr>
        <w:t xml:space="preserve">gegužės 28 </w:t>
      </w:r>
      <w:r>
        <w:rPr>
          <w:szCs w:val="24"/>
        </w:rPr>
        <w:t xml:space="preserve">d. Nr. </w:t>
      </w:r>
      <w:r w:rsidR="00463615" w:rsidRPr="006F7C6B">
        <w:rPr>
          <w:szCs w:val="24"/>
        </w:rPr>
        <w:t>13P-</w:t>
      </w:r>
      <w:r w:rsidR="00463615">
        <w:rPr>
          <w:szCs w:val="24"/>
        </w:rPr>
        <w:t>7</w:t>
      </w:r>
      <w:r w:rsidR="00633A0A">
        <w:rPr>
          <w:szCs w:val="24"/>
        </w:rPr>
        <w:t>2</w:t>
      </w:r>
      <w:r w:rsidR="00463615" w:rsidRPr="006F7C6B">
        <w:rPr>
          <w:szCs w:val="24"/>
        </w:rPr>
        <w:t xml:space="preserve">-(7.1.2)  </w:t>
      </w:r>
    </w:p>
    <w:p w14:paraId="2269CA3A" w14:textId="5530F1F8" w:rsidR="007D3C1F" w:rsidRDefault="00D71C8A" w:rsidP="00463615">
      <w:pPr>
        <w:tabs>
          <w:tab w:val="left" w:pos="1134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269CA3B" w14:textId="77777777" w:rsidR="007D3C1F" w:rsidRDefault="007D3C1F">
      <w:pPr>
        <w:jc w:val="center"/>
        <w:rPr>
          <w:szCs w:val="24"/>
          <w:lang w:eastAsia="lt-LT"/>
        </w:rPr>
      </w:pPr>
    </w:p>
    <w:p w14:paraId="2269CA3C" w14:textId="77777777" w:rsidR="007D3C1F" w:rsidRDefault="00D71C8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teismų įstatymo 120 straipsnio 17 punktu, Teisėjų taryba  </w:t>
      </w:r>
      <w:r>
        <w:rPr>
          <w:spacing w:val="60"/>
          <w:szCs w:val="24"/>
          <w:lang w:eastAsia="lt-LT"/>
        </w:rPr>
        <w:t>nutari</w:t>
      </w:r>
      <w:r>
        <w:rPr>
          <w:spacing w:val="20"/>
          <w:szCs w:val="24"/>
          <w:lang w:eastAsia="lt-LT"/>
        </w:rPr>
        <w:t>a:</w:t>
      </w:r>
    </w:p>
    <w:p w14:paraId="2269CA3E" w14:textId="22F0758E" w:rsidR="007D3C1F" w:rsidRDefault="00D71C8A" w:rsidP="004E6779">
      <w:pPr>
        <w:tabs>
          <w:tab w:val="left" w:pos="851"/>
          <w:tab w:val="left" w:pos="993"/>
        </w:tabs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Pakeisti Darbo krūvio skaičiavimo teismuose tvarkos aprašą, patvirtintą Teisėjų tarybos 2015 m. gegužės 29 d. nutarimu Nr. 13P-79-(7.1.2) „Dėl Darbo krūvio skaičiavimo teismuose tvarkos </w:t>
      </w:r>
      <w:r>
        <w:rPr>
          <w:bCs/>
          <w:szCs w:val="24"/>
        </w:rPr>
        <w:t>aprašo</w:t>
      </w:r>
      <w:r>
        <w:rPr>
          <w:b/>
          <w:bCs/>
          <w:szCs w:val="24"/>
        </w:rPr>
        <w:t xml:space="preserve"> </w:t>
      </w:r>
      <w:r>
        <w:rPr>
          <w:szCs w:val="24"/>
        </w:rPr>
        <w:t>patvirtinimo“</w:t>
      </w:r>
      <w:r w:rsidR="00023859">
        <w:rPr>
          <w:szCs w:val="24"/>
        </w:rPr>
        <w:t>,</w:t>
      </w:r>
      <w:r w:rsidR="004E6779">
        <w:rPr>
          <w:szCs w:val="24"/>
        </w:rPr>
        <w:t xml:space="preserve"> ir jo </w:t>
      </w:r>
      <w:r>
        <w:rPr>
          <w:szCs w:val="24"/>
          <w:lang w:eastAsia="lt-LT"/>
        </w:rPr>
        <w:t>priedo 2</w:t>
      </w:r>
      <w:r w:rsidR="004E6779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punktą išdėstyti taip:</w:t>
      </w:r>
    </w:p>
    <w:p w14:paraId="64D19120" w14:textId="77777777" w:rsidR="004E6779" w:rsidRDefault="004E6779" w:rsidP="004E6779">
      <w:pPr>
        <w:tabs>
          <w:tab w:val="left" w:pos="851"/>
          <w:tab w:val="left" w:pos="993"/>
        </w:tabs>
        <w:ind w:firstLine="720"/>
        <w:jc w:val="both"/>
        <w:rPr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9"/>
        <w:gridCol w:w="6863"/>
        <w:gridCol w:w="1964"/>
      </w:tblGrid>
      <w:tr w:rsidR="007D3C1F" w14:paraId="2269CA42" w14:textId="77777777" w:rsidTr="00C27305">
        <w:trPr>
          <w:trHeight w:val="240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CA3F" w14:textId="61128C4D" w:rsidR="007D3C1F" w:rsidRDefault="007114AF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D71C8A">
              <w:rPr>
                <w:color w:val="000000"/>
                <w:szCs w:val="24"/>
                <w:lang w:eastAsia="lt-LT"/>
              </w:rPr>
              <w:t>2</w:t>
            </w:r>
            <w:r w:rsidR="004E6779">
              <w:rPr>
                <w:color w:val="000000"/>
                <w:szCs w:val="24"/>
                <w:lang w:eastAsia="lt-LT"/>
              </w:rPr>
              <w:t>5</w:t>
            </w:r>
            <w:r w:rsidR="00D71C8A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CA40" w14:textId="28B07CCD" w:rsidR="007D3C1F" w:rsidRPr="00873B7C" w:rsidRDefault="004E6779">
            <w:pPr>
              <w:ind w:firstLine="103"/>
              <w:rPr>
                <w:color w:val="000000"/>
                <w:szCs w:val="24"/>
                <w:lang w:eastAsia="lt-LT"/>
              </w:rPr>
            </w:pPr>
            <w:r w:rsidRPr="00873B7C">
              <w:rPr>
                <w:color w:val="000000"/>
              </w:rPr>
              <w:t>Byla dėl prašymo sankcionuoti nutarimą (R) ir byla vykdymo procese (A2.13., A20)</w:t>
            </w:r>
            <w:r w:rsidR="00672B26" w:rsidRPr="00873B7C">
              <w:rPr>
                <w:rStyle w:val="Puslapioinaosnuoroda"/>
                <w:color w:val="000000"/>
              </w:rPr>
              <w:footnoteReference w:customMarkFollows="1" w:id="1"/>
              <w:t>*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CA41" w14:textId="7A0790BD" w:rsidR="00634DB9" w:rsidRPr="00873B7C" w:rsidRDefault="00634DB9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873B7C">
              <w:rPr>
                <w:color w:val="000000"/>
                <w:szCs w:val="24"/>
                <w:lang w:eastAsia="lt-LT"/>
              </w:rPr>
              <w:t>0,5</w:t>
            </w:r>
            <w:r w:rsidR="007114AF"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2269CA43" w14:textId="77777777" w:rsidR="007D3C1F" w:rsidRDefault="007D3C1F"/>
    <w:p w14:paraId="02913751" w14:textId="77777777" w:rsidR="00D71C8A" w:rsidRDefault="00D71C8A"/>
    <w:p w14:paraId="53B19592" w14:textId="77777777" w:rsidR="00463615" w:rsidRPr="006F7C6B" w:rsidRDefault="00463615" w:rsidP="00463615">
      <w:pPr>
        <w:tabs>
          <w:tab w:val="left" w:pos="7196"/>
        </w:tabs>
        <w:rPr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63615" w14:paraId="55EDBF2C" w14:textId="77777777" w:rsidTr="00B51F63">
        <w:tc>
          <w:tcPr>
            <w:tcW w:w="6912" w:type="dxa"/>
          </w:tcPr>
          <w:p w14:paraId="5EC3F49A" w14:textId="77777777" w:rsidR="00463615" w:rsidRDefault="00463615" w:rsidP="00B51F63">
            <w:pPr>
              <w:spacing w:line="276" w:lineRule="auto"/>
            </w:pPr>
            <w:r>
              <w:t>Pirmininkė</w:t>
            </w:r>
          </w:p>
          <w:p w14:paraId="1E8BADBC" w14:textId="77777777" w:rsidR="00463615" w:rsidRDefault="00463615" w:rsidP="00B51F63">
            <w:pPr>
              <w:spacing w:line="276" w:lineRule="auto"/>
            </w:pPr>
          </w:p>
          <w:p w14:paraId="6F94CD73" w14:textId="77777777" w:rsidR="00463615" w:rsidRDefault="00463615" w:rsidP="00B51F63">
            <w:pPr>
              <w:spacing w:line="276" w:lineRule="auto"/>
            </w:pPr>
          </w:p>
        </w:tc>
        <w:tc>
          <w:tcPr>
            <w:tcW w:w="2886" w:type="dxa"/>
          </w:tcPr>
          <w:p w14:paraId="3A9AB1E9" w14:textId="77777777" w:rsidR="00463615" w:rsidRDefault="00463615" w:rsidP="00B51F63">
            <w:pPr>
              <w:spacing w:line="276" w:lineRule="auto"/>
            </w:pPr>
            <w:r>
              <w:t>Sigita Rudėnaitė</w:t>
            </w:r>
          </w:p>
          <w:p w14:paraId="5BA7F84E" w14:textId="77777777" w:rsidR="00463615" w:rsidRDefault="00463615" w:rsidP="00B51F63">
            <w:pPr>
              <w:spacing w:line="276" w:lineRule="auto"/>
            </w:pPr>
          </w:p>
        </w:tc>
      </w:tr>
      <w:tr w:rsidR="00463615" w14:paraId="6DF8CCF2" w14:textId="77777777" w:rsidTr="00B51F63">
        <w:tc>
          <w:tcPr>
            <w:tcW w:w="6912" w:type="dxa"/>
          </w:tcPr>
          <w:p w14:paraId="1CCBD7F9" w14:textId="77777777" w:rsidR="00463615" w:rsidRDefault="00463615" w:rsidP="00B51F63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</w:tcPr>
          <w:p w14:paraId="53292EE4" w14:textId="77777777" w:rsidR="00463615" w:rsidRDefault="00463615" w:rsidP="00B51F63">
            <w:pPr>
              <w:spacing w:line="276" w:lineRule="auto"/>
            </w:pPr>
            <w:r>
              <w:t>Ramūnas Gadliauskas</w:t>
            </w:r>
          </w:p>
        </w:tc>
      </w:tr>
    </w:tbl>
    <w:p w14:paraId="2269CA67" w14:textId="58FF42C6" w:rsidR="007D3C1F" w:rsidRDefault="007D3C1F" w:rsidP="00463615">
      <w:pPr>
        <w:rPr>
          <w:caps/>
          <w:szCs w:val="24"/>
        </w:rPr>
      </w:pPr>
    </w:p>
    <w:sectPr w:rsidR="007D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2CD3" w14:textId="77777777" w:rsidR="007578B4" w:rsidRDefault="007578B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A1035C3" w14:textId="77777777" w:rsidR="007578B4" w:rsidRDefault="007578B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72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73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75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CBA3" w14:textId="77777777" w:rsidR="007578B4" w:rsidRDefault="007578B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8108283" w14:textId="77777777" w:rsidR="007578B4" w:rsidRDefault="007578B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id="1">
    <w:p w14:paraId="05BDB097" w14:textId="3D1DA239" w:rsidR="00672B26" w:rsidRPr="00873B7C" w:rsidRDefault="00672B26" w:rsidP="001F66BD">
      <w:pPr>
        <w:pStyle w:val="Puslapioinaostekstas"/>
        <w:jc w:val="both"/>
      </w:pPr>
      <w:r w:rsidRPr="00873B7C">
        <w:rPr>
          <w:rStyle w:val="Puslapioinaosnuoroda"/>
        </w:rPr>
        <w:t>*</w:t>
      </w:r>
      <w:r w:rsidRPr="00873B7C">
        <w:t xml:space="preserve"> </w:t>
      </w:r>
      <w:r w:rsidR="001F66BD" w:rsidRPr="00873B7C">
        <w:t xml:space="preserve">Į bylos tipą „byla vykdymo procese (A20)“ patenka bylos, </w:t>
      </w:r>
      <w:r w:rsidR="002E4B6E" w:rsidRPr="00873B7C">
        <w:t>teismingos apylinkių teismams</w:t>
      </w:r>
      <w:r w:rsidR="001F66BD" w:rsidRPr="00873B7C">
        <w:t xml:space="preserve"> pagal Lietuvos Respublikos užsieniečių teisinės padėties įstatymą </w:t>
      </w:r>
      <w:r w:rsidR="002E4B6E" w:rsidRPr="00873B7C">
        <w:t>(institucijų teikimai dėl užsieniečio sulaikymo, sulaikymo pratęsimo, pakeitimo, alternatyvios sulaikymo priemonės skyrimo, pratęsimo ar pakeitimo)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6E" w14:textId="77777777" w:rsidR="007D3C1F" w:rsidRDefault="00D71C8A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/>
        <w:sz w:val="20"/>
        <w:szCs w:val="24"/>
        <w:lang w:val="x-none" w:eastAsia="x-none"/>
      </w:rPr>
    </w:pPr>
    <w:r>
      <w:rPr>
        <w:rFonts w:ascii="Arial" w:hAnsi="Arial"/>
        <w:sz w:val="20"/>
        <w:szCs w:val="24"/>
        <w:lang w:val="x-none" w:eastAsia="x-none"/>
      </w:rPr>
      <w:fldChar w:fldCharType="begin"/>
    </w:r>
    <w:r>
      <w:rPr>
        <w:rFonts w:ascii="Arial" w:hAnsi="Arial"/>
        <w:sz w:val="20"/>
        <w:szCs w:val="24"/>
        <w:lang w:val="x-none" w:eastAsia="x-none"/>
      </w:rPr>
      <w:instrText xml:space="preserve">PAGE  </w:instrText>
    </w:r>
    <w:r>
      <w:rPr>
        <w:rFonts w:ascii="Arial" w:hAnsi="Arial"/>
        <w:sz w:val="20"/>
        <w:szCs w:val="24"/>
        <w:lang w:val="x-none" w:eastAsia="x-none"/>
      </w:rPr>
      <w:fldChar w:fldCharType="separate"/>
    </w:r>
    <w:r>
      <w:rPr>
        <w:rFonts w:ascii="Arial" w:hAnsi="Arial"/>
        <w:sz w:val="20"/>
        <w:szCs w:val="24"/>
        <w:lang w:val="x-none" w:eastAsia="x-none"/>
      </w:rPr>
      <w:t>2</w:t>
    </w:r>
    <w:r>
      <w:rPr>
        <w:rFonts w:ascii="Arial" w:hAnsi="Arial"/>
        <w:sz w:val="20"/>
        <w:szCs w:val="24"/>
        <w:lang w:val="x-none" w:eastAsia="x-none"/>
      </w:rPr>
      <w:fldChar w:fldCharType="end"/>
    </w:r>
  </w:p>
  <w:p w14:paraId="2269CA6F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/>
        <w:sz w:val="20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70" w14:textId="77777777" w:rsidR="007D3C1F" w:rsidRDefault="00D71C8A">
    <w:pPr>
      <w:tabs>
        <w:tab w:val="center" w:pos="4819"/>
        <w:tab w:val="right" w:pos="9638"/>
      </w:tabs>
      <w:ind w:firstLine="720"/>
      <w:jc w:val="center"/>
      <w:rPr>
        <w:rFonts w:ascii="Arial" w:hAnsi="Arial"/>
        <w:sz w:val="20"/>
        <w:szCs w:val="24"/>
        <w:lang w:val="x-none" w:eastAsia="x-none"/>
      </w:rPr>
    </w:pPr>
    <w:r>
      <w:rPr>
        <w:rFonts w:ascii="Arial" w:hAnsi="Arial"/>
        <w:sz w:val="20"/>
        <w:szCs w:val="24"/>
        <w:lang w:val="x-none" w:eastAsia="x-none"/>
      </w:rPr>
      <w:fldChar w:fldCharType="begin"/>
    </w:r>
    <w:r>
      <w:rPr>
        <w:rFonts w:ascii="Arial" w:hAnsi="Arial"/>
        <w:sz w:val="20"/>
        <w:szCs w:val="24"/>
        <w:lang w:val="x-none" w:eastAsia="x-none"/>
      </w:rPr>
      <w:instrText>PAGE   \* MERGEFORMAT</w:instrText>
    </w:r>
    <w:r>
      <w:rPr>
        <w:rFonts w:ascii="Arial" w:hAnsi="Arial"/>
        <w:sz w:val="20"/>
        <w:szCs w:val="24"/>
        <w:lang w:val="x-none" w:eastAsia="x-none"/>
      </w:rPr>
      <w:fldChar w:fldCharType="separate"/>
    </w:r>
    <w:r>
      <w:rPr>
        <w:rFonts w:ascii="Arial" w:hAnsi="Arial"/>
        <w:sz w:val="20"/>
        <w:szCs w:val="24"/>
        <w:lang w:val="x-none" w:eastAsia="x-none"/>
      </w:rPr>
      <w:t>2</w:t>
    </w:r>
    <w:r>
      <w:rPr>
        <w:rFonts w:ascii="Arial" w:hAnsi="Arial"/>
        <w:sz w:val="20"/>
        <w:szCs w:val="24"/>
        <w:lang w:val="x-none" w:eastAsia="x-none"/>
      </w:rPr>
      <w:fldChar w:fldCharType="end"/>
    </w:r>
  </w:p>
  <w:p w14:paraId="2269CA71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/>
        <w:sz w:val="20"/>
        <w:szCs w:val="24"/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A74" w14:textId="77777777" w:rsidR="007D3C1F" w:rsidRDefault="007D3C1F">
    <w:pPr>
      <w:tabs>
        <w:tab w:val="center" w:pos="4819"/>
        <w:tab w:val="right" w:pos="9638"/>
      </w:tabs>
      <w:ind w:firstLine="720"/>
      <w:rPr>
        <w:rFonts w:ascii="Arial" w:hAnsi="Arial"/>
        <w:sz w:val="20"/>
        <w:szCs w:val="24"/>
        <w:lang w:val="x-none"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9"/>
    <w:rsid w:val="00023859"/>
    <w:rsid w:val="00186EC8"/>
    <w:rsid w:val="001F1BC5"/>
    <w:rsid w:val="001F66BD"/>
    <w:rsid w:val="002359B3"/>
    <w:rsid w:val="00275F94"/>
    <w:rsid w:val="002D7C0D"/>
    <w:rsid w:val="002E4B6E"/>
    <w:rsid w:val="00397719"/>
    <w:rsid w:val="00454527"/>
    <w:rsid w:val="00463615"/>
    <w:rsid w:val="004C0C20"/>
    <w:rsid w:val="004E6779"/>
    <w:rsid w:val="0050461E"/>
    <w:rsid w:val="00633A0A"/>
    <w:rsid w:val="00634DB9"/>
    <w:rsid w:val="00672B26"/>
    <w:rsid w:val="007114AF"/>
    <w:rsid w:val="007578B4"/>
    <w:rsid w:val="007D3C1F"/>
    <w:rsid w:val="00873B7C"/>
    <w:rsid w:val="008B349B"/>
    <w:rsid w:val="00945FC9"/>
    <w:rsid w:val="009C499E"/>
    <w:rsid w:val="00A1616D"/>
    <w:rsid w:val="00A57525"/>
    <w:rsid w:val="00AA0E36"/>
    <w:rsid w:val="00B41902"/>
    <w:rsid w:val="00BC622B"/>
    <w:rsid w:val="00C27305"/>
    <w:rsid w:val="00CC7B1B"/>
    <w:rsid w:val="00D7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9CA30"/>
  <w15:docId w15:val="{0973A6A1-AE6D-42E7-B7FC-6D079C8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4E67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E677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E677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E67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E6779"/>
    <w:rPr>
      <w:b/>
      <w:bCs/>
      <w:sz w:val="2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72B2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72B26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672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47BCB-F400-414A-AF24-33732BD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TEISĖJŲ TARYBOS 2015 M. GEGUŽĖS 29 D. NUTARIMO NR. 13P-79-(7.1.2) „DĖL DARBO KRŪVIO SKAIČIAVIMO TEISMUOSE TVARKOS APRAŠO PATVIRTINIMO“ PAKEITIMO</vt:lpstr>
      <vt:lpstr>DĖL TEISĖJŲ TARYBOS 2015 M. GEGUŽĖS 29 D. NUTARIMO NR. 13P-79-(7.1.2) „DĖL DARBO KRŪVIO SKAIČIAVIMO TEISMUOSE TVARKOS APRAŠO PATVIRTINIMO“ PAKEITIMO</vt:lpstr>
    </vt:vector>
  </TitlesOfParts>
  <Company>Infolex</Company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TEISĖJŲ TARYBOS 2015 M. GEGUŽĖS 29 D. NUTARIMO NR. 13P-79-(7.1.2) „DĖL DARBO KRŪVIO SKAIČIAVIMO TEISMUOSE TVARKOS APRAŠO PATVIRTINIMO“ PAKEITIMO</dc:title>
  <dc:creator>Infolex</dc:creator>
  <cp:lastModifiedBy>Company NTA</cp:lastModifiedBy>
  <cp:revision>4</cp:revision>
  <cp:lastPrinted>2019-12-04T11:50:00Z</cp:lastPrinted>
  <dcterms:created xsi:type="dcterms:W3CDTF">2021-05-25T11:28:00Z</dcterms:created>
  <dcterms:modified xsi:type="dcterms:W3CDTF">2021-05-27T05:32:00Z</dcterms:modified>
</cp:coreProperties>
</file>