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F425" w14:textId="7F5D46D7" w:rsidR="00F15167" w:rsidRDefault="00C94AC8" w:rsidP="00C94AC8">
      <w:pPr>
        <w:pStyle w:val="Pavadinimas"/>
        <w:spacing w:after="120"/>
        <w:rPr>
          <w:sz w:val="24"/>
        </w:rPr>
      </w:pPr>
      <w:r>
        <w:rPr>
          <w:noProof/>
        </w:rPr>
        <w:drawing>
          <wp:inline distT="0" distB="0" distL="0" distR="0" wp14:anchorId="3873B572" wp14:editId="4A049C52">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6E0D715" w14:textId="77777777" w:rsidR="00C94AC8" w:rsidRDefault="00C94AC8" w:rsidP="00F15167">
      <w:pPr>
        <w:pStyle w:val="Pavadinimas"/>
        <w:spacing w:after="120"/>
        <w:jc w:val="right"/>
        <w:rPr>
          <w:sz w:val="24"/>
        </w:rPr>
      </w:pPr>
    </w:p>
    <w:p w14:paraId="34DF2E72" w14:textId="77777777" w:rsidR="00F15167" w:rsidRPr="0075407E" w:rsidRDefault="00F15167" w:rsidP="00F15167">
      <w:pPr>
        <w:pStyle w:val="Pavadinimas"/>
        <w:spacing w:after="120"/>
        <w:rPr>
          <w:sz w:val="24"/>
        </w:rPr>
      </w:pPr>
      <w:r w:rsidRPr="0075407E">
        <w:rPr>
          <w:sz w:val="24"/>
        </w:rPr>
        <w:t>TEISĖJŲ TARYBA</w:t>
      </w:r>
    </w:p>
    <w:p w14:paraId="7FF5080B" w14:textId="77777777" w:rsidR="00F15167" w:rsidRPr="0075407E" w:rsidRDefault="00F15167" w:rsidP="00F15167">
      <w:pPr>
        <w:pStyle w:val="Pavadinimas"/>
        <w:spacing w:after="120"/>
        <w:rPr>
          <w:sz w:val="24"/>
        </w:rPr>
      </w:pPr>
      <w:r w:rsidRPr="0075407E">
        <w:rPr>
          <w:sz w:val="24"/>
        </w:rPr>
        <w:t>NUTARIMAS</w:t>
      </w:r>
    </w:p>
    <w:p w14:paraId="7642789E" w14:textId="77777777" w:rsidR="00F15167" w:rsidRPr="002E632B" w:rsidRDefault="00F15167" w:rsidP="00F15167">
      <w:pPr>
        <w:spacing w:after="120"/>
        <w:ind w:right="-1"/>
        <w:jc w:val="center"/>
        <w:rPr>
          <w:b/>
          <w:caps/>
        </w:rPr>
      </w:pPr>
      <w:r w:rsidRPr="002E632B">
        <w:rPr>
          <w:b/>
          <w:caps/>
        </w:rPr>
        <w:t xml:space="preserve">DĖL </w:t>
      </w:r>
      <w:r w:rsidRPr="00DE533D">
        <w:rPr>
          <w:b/>
          <w:caps/>
        </w:rPr>
        <w:t>Priemokų už padidėjusį darbo krūvį skyrimo ir mokėjimo bendrosios kompetencijos ir specializuotų teismų teisėjams tvarkos</w:t>
      </w:r>
      <w:r>
        <w:rPr>
          <w:b/>
          <w:caps/>
        </w:rPr>
        <w:t xml:space="preserve"> APRAŠO</w:t>
      </w:r>
      <w:r w:rsidRPr="00DE533D">
        <w:rPr>
          <w:b/>
          <w:caps/>
        </w:rPr>
        <w:t xml:space="preserve"> </w:t>
      </w:r>
      <w:r w:rsidRPr="002E632B">
        <w:rPr>
          <w:b/>
          <w:caps/>
        </w:rPr>
        <w:t>PATVIRTINIMO</w:t>
      </w:r>
    </w:p>
    <w:p w14:paraId="6F1A3184" w14:textId="77777777" w:rsidR="00F15167" w:rsidRPr="002E632B" w:rsidRDefault="00F15167" w:rsidP="00F15167">
      <w:pPr>
        <w:pStyle w:val="Pavadinimas"/>
        <w:spacing w:after="120"/>
        <w:rPr>
          <w:bCs w:val="0"/>
          <w:sz w:val="24"/>
        </w:rPr>
      </w:pPr>
    </w:p>
    <w:p w14:paraId="5AEA995A" w14:textId="570AEBE7" w:rsidR="00F15167" w:rsidRPr="0075407E" w:rsidRDefault="00F15167" w:rsidP="00F15167">
      <w:pPr>
        <w:pStyle w:val="Data"/>
        <w:spacing w:after="120"/>
      </w:pPr>
      <w:r w:rsidRPr="0075407E">
        <w:t>20</w:t>
      </w:r>
      <w:r>
        <w:t xml:space="preserve">21 </w:t>
      </w:r>
      <w:r w:rsidRPr="0075407E">
        <w:t>m.</w:t>
      </w:r>
      <w:r>
        <w:t xml:space="preserve"> </w:t>
      </w:r>
      <w:r w:rsidR="00C94AC8">
        <w:t>liepos 23</w:t>
      </w:r>
      <w:r>
        <w:t xml:space="preserve"> </w:t>
      </w:r>
      <w:r w:rsidRPr="0075407E">
        <w:t>d. Nr. 13P-</w:t>
      </w:r>
      <w:r w:rsidR="00C94AC8">
        <w:t>98</w:t>
      </w:r>
      <w:r w:rsidRPr="0075407E">
        <w:t>-(7.1.2)</w:t>
      </w:r>
    </w:p>
    <w:p w14:paraId="58395AC7" w14:textId="3AA822C9" w:rsidR="00F15167" w:rsidRPr="00C94AC8" w:rsidRDefault="00F15167" w:rsidP="00C94AC8">
      <w:pPr>
        <w:pStyle w:val="Data"/>
        <w:spacing w:after="120"/>
      </w:pPr>
      <w:r w:rsidRPr="0075407E">
        <w:t>Vilnius</w:t>
      </w: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p>
    <w:p w14:paraId="2B5C58F7" w14:textId="77777777" w:rsidR="00F15167" w:rsidRPr="00474154" w:rsidRDefault="00F15167" w:rsidP="00F15167">
      <w:pPr>
        <w:ind w:firstLine="720"/>
        <w:jc w:val="both"/>
      </w:pPr>
      <w:r w:rsidRPr="00474154">
        <w:t xml:space="preserve">Teisėjų taryba, </w:t>
      </w:r>
      <w:r w:rsidRPr="00474154">
        <w:rPr>
          <w:shd w:val="clear" w:color="auto" w:fill="FFFFFF"/>
        </w:rPr>
        <w:t>va</w:t>
      </w:r>
      <w:r w:rsidRPr="00474154">
        <w:t>dovaudamasi 2021 m. liepos 13 d. Lietuvos Respublikos teisėjų atlyginimų įstatymo Nr.</w:t>
      </w:r>
      <w:r w:rsidRPr="00474154">
        <w:rPr>
          <w:caps/>
        </w:rPr>
        <w:t> X</w:t>
      </w:r>
      <w:r w:rsidRPr="00474154">
        <w:rPr>
          <w:caps/>
        </w:rPr>
        <w:noBreakHyphen/>
        <w:t>1771 4</w:t>
      </w:r>
      <w:r w:rsidRPr="00474154">
        <w:t xml:space="preserve"> straipsnio pakeitimo ir įstatymo papildymo 5</w:t>
      </w:r>
      <w:r w:rsidRPr="00474154">
        <w:rPr>
          <w:vertAlign w:val="superscript"/>
        </w:rPr>
        <w:t>1</w:t>
      </w:r>
      <w:r w:rsidRPr="00474154">
        <w:t xml:space="preserve"> straipsniu įstatymu Nr. XIV-509,</w:t>
      </w:r>
      <w:r w:rsidRPr="00474154">
        <w:rPr>
          <w:b/>
          <w:bCs/>
        </w:rPr>
        <w:t xml:space="preserve"> </w:t>
      </w:r>
      <w:r w:rsidRPr="00474154">
        <w:t>Lietuvos Respublikos teismų įstatymo 120 straipsnio 17 punktu,  n u t a r i a:</w:t>
      </w:r>
    </w:p>
    <w:p w14:paraId="10CDB8F3" w14:textId="77777777" w:rsidR="00F15167" w:rsidRPr="00474154" w:rsidRDefault="00F15167" w:rsidP="00F15167">
      <w:pPr>
        <w:ind w:firstLine="720"/>
        <w:jc w:val="both"/>
        <w:rPr>
          <w:bCs/>
        </w:rPr>
      </w:pPr>
      <w:r w:rsidRPr="00474154">
        <w:t>1. Patvirtinti Priemokų už padidėjusį darbo krūvį skyrimo ir mokėjimo bendrosios kompetencijos ir specializuotų teismų teisėjams tvarkos aprašą</w:t>
      </w:r>
      <w:r w:rsidRPr="00474154" w:rsidDel="00931ED7">
        <w:t xml:space="preserve"> </w:t>
      </w:r>
      <w:r w:rsidRPr="00474154">
        <w:rPr>
          <w:bCs/>
        </w:rPr>
        <w:t>(pridedama).</w:t>
      </w:r>
    </w:p>
    <w:p w14:paraId="3F3D051D" w14:textId="77777777" w:rsidR="00F15167" w:rsidRPr="00F0227C" w:rsidRDefault="00F15167" w:rsidP="00F15167">
      <w:pPr>
        <w:tabs>
          <w:tab w:val="left" w:pos="993"/>
        </w:tabs>
        <w:ind w:firstLine="720"/>
        <w:jc w:val="both"/>
        <w:rPr>
          <w:rFonts w:eastAsia="Calibri"/>
          <w:color w:val="000000"/>
        </w:rPr>
      </w:pPr>
      <w:r w:rsidRPr="00474154">
        <w:rPr>
          <w:rFonts w:eastAsia="Calibri"/>
          <w:color w:val="000000"/>
        </w:rPr>
        <w:t xml:space="preserve">2. Nustatyti, kad šiuo nutarimu patvirtinto Priemokų už padidėjusį darbo krūvį skyrimo ir mokėjimo bendrosios kompetencijos ir specializuotų teismų teisėjams tvarkos aprašo </w:t>
      </w:r>
      <w:r w:rsidRPr="00474154">
        <w:rPr>
          <w:bCs/>
        </w:rPr>
        <w:t xml:space="preserve">nuostatos taikytinos </w:t>
      </w:r>
      <w:r w:rsidRPr="00474154">
        <w:rPr>
          <w:rFonts w:eastAsia="Calibri"/>
          <w:color w:val="000000"/>
        </w:rPr>
        <w:t xml:space="preserve">apmokant </w:t>
      </w:r>
      <w:r w:rsidRPr="00F0227C">
        <w:rPr>
          <w:bCs/>
        </w:rPr>
        <w:t>bendrosios kompetencijos ir specializuotų teismų teisėjams už padidėjusį darbo krūvį, susidariusį nuo 2021 m. rugpjūčio 1 d.</w:t>
      </w:r>
    </w:p>
    <w:p w14:paraId="22FA0447" w14:textId="77777777" w:rsidR="00F15167" w:rsidRDefault="00F15167" w:rsidP="00F15167">
      <w:pPr>
        <w:ind w:firstLine="720"/>
        <w:jc w:val="both"/>
        <w:rPr>
          <w:rFonts w:eastAsia="Calibri"/>
          <w:color w:val="000000"/>
        </w:rPr>
      </w:pPr>
      <w:r w:rsidRPr="00F0227C">
        <w:rPr>
          <w:bCs/>
        </w:rPr>
        <w:t>3. Nustatyti, kad</w:t>
      </w:r>
      <w:r w:rsidRPr="00F0227C">
        <w:rPr>
          <w:rFonts w:eastAsia="Calibri"/>
          <w:bCs/>
          <w:color w:val="000000"/>
        </w:rPr>
        <w:t xml:space="preserve"> </w:t>
      </w:r>
      <w:r w:rsidRPr="00F0227C">
        <w:rPr>
          <w:rFonts w:eastAsia="Calibri"/>
          <w:color w:val="000000"/>
        </w:rPr>
        <w:t>šis nutarimas įsigalioja 2021 m. rugpjūčio 1 d.</w:t>
      </w:r>
      <w:r>
        <w:rPr>
          <w:rFonts w:eastAsia="Calibri"/>
          <w:color w:val="000000"/>
        </w:rPr>
        <w:t xml:space="preserve"> </w:t>
      </w:r>
    </w:p>
    <w:p w14:paraId="6C82C9FE" w14:textId="77777777" w:rsidR="00F15167" w:rsidRDefault="00F15167" w:rsidP="00F15167">
      <w:pPr>
        <w:ind w:firstLine="720"/>
        <w:jc w:val="both"/>
        <w:rPr>
          <w:b/>
        </w:rPr>
      </w:pPr>
    </w:p>
    <w:p w14:paraId="708C09EF" w14:textId="77777777" w:rsidR="00F15167" w:rsidRDefault="00F15167" w:rsidP="00F15167">
      <w:pPr>
        <w:pStyle w:val="Antrats"/>
        <w:tabs>
          <w:tab w:val="clear" w:pos="4153"/>
          <w:tab w:val="clear" w:pos="8306"/>
        </w:tabs>
      </w:pPr>
    </w:p>
    <w:p w14:paraId="47660EFC" w14:textId="77777777" w:rsidR="00F15167" w:rsidRPr="008C418B" w:rsidRDefault="00F15167" w:rsidP="00F15167">
      <w:pPr>
        <w:pStyle w:val="Antrats"/>
        <w:tabs>
          <w:tab w:val="clear" w:pos="4153"/>
          <w:tab w:val="clear" w:pos="8306"/>
        </w:tabs>
      </w:pPr>
    </w:p>
    <w:tbl>
      <w:tblPr>
        <w:tblW w:w="9606" w:type="dxa"/>
        <w:tblInd w:w="6" w:type="dxa"/>
        <w:tblLayout w:type="fixed"/>
        <w:tblLook w:val="04A0" w:firstRow="1" w:lastRow="0" w:firstColumn="1" w:lastColumn="0" w:noHBand="0" w:noVBand="1"/>
      </w:tblPr>
      <w:tblGrid>
        <w:gridCol w:w="7053"/>
        <w:gridCol w:w="2553"/>
      </w:tblGrid>
      <w:tr w:rsidR="00C94AC8" w14:paraId="7D373607" w14:textId="77777777" w:rsidTr="00C94AC8">
        <w:tc>
          <w:tcPr>
            <w:tcW w:w="7053" w:type="dxa"/>
            <w:hideMark/>
          </w:tcPr>
          <w:p w14:paraId="3A786B18" w14:textId="77777777" w:rsidR="00C94AC8" w:rsidRDefault="00C94AC8" w:rsidP="00FC735B">
            <w:r>
              <w:t xml:space="preserve">Teisėjų tarybos pirmininko pavaduotoja, </w:t>
            </w:r>
          </w:p>
          <w:p w14:paraId="38B139A8" w14:textId="77777777" w:rsidR="00C94AC8" w:rsidRDefault="00C94AC8" w:rsidP="00FC735B">
            <w:r>
              <w:t xml:space="preserve">atliekanti pirmininko funkcijas </w:t>
            </w:r>
          </w:p>
        </w:tc>
        <w:tc>
          <w:tcPr>
            <w:tcW w:w="2553" w:type="dxa"/>
            <w:hideMark/>
          </w:tcPr>
          <w:p w14:paraId="01FDB5E1" w14:textId="77777777" w:rsidR="00C94AC8" w:rsidRDefault="00C94AC8" w:rsidP="00FC735B">
            <w:pPr>
              <w:rPr>
                <w:lang w:eastAsia="lt-LT"/>
              </w:rPr>
            </w:pPr>
            <w:r>
              <w:rPr>
                <w:lang w:eastAsia="lt-LT"/>
              </w:rPr>
              <w:t>Egidija Tamošiūnienė</w:t>
            </w:r>
          </w:p>
        </w:tc>
      </w:tr>
      <w:tr w:rsidR="00C94AC8" w14:paraId="1BA09389" w14:textId="77777777" w:rsidTr="00C94AC8">
        <w:trPr>
          <w:trHeight w:val="591"/>
        </w:trPr>
        <w:tc>
          <w:tcPr>
            <w:tcW w:w="7053" w:type="dxa"/>
          </w:tcPr>
          <w:p w14:paraId="4A209AB6" w14:textId="77777777" w:rsidR="00C94AC8" w:rsidRDefault="00C94AC8" w:rsidP="00FC735B">
            <w:pPr>
              <w:spacing w:line="360" w:lineRule="auto"/>
            </w:pPr>
          </w:p>
        </w:tc>
        <w:tc>
          <w:tcPr>
            <w:tcW w:w="2553" w:type="dxa"/>
          </w:tcPr>
          <w:p w14:paraId="5FDC25BC" w14:textId="77777777" w:rsidR="00C94AC8" w:rsidRDefault="00C94AC8" w:rsidP="00FC735B">
            <w:pPr>
              <w:spacing w:line="360" w:lineRule="auto"/>
            </w:pPr>
          </w:p>
        </w:tc>
      </w:tr>
      <w:tr w:rsidR="00C94AC8" w14:paraId="7536A421" w14:textId="77777777" w:rsidTr="00C94AC8">
        <w:trPr>
          <w:trHeight w:val="591"/>
        </w:trPr>
        <w:tc>
          <w:tcPr>
            <w:tcW w:w="7053" w:type="dxa"/>
            <w:hideMark/>
          </w:tcPr>
          <w:p w14:paraId="7A48BA5E" w14:textId="77777777" w:rsidR="00C94AC8" w:rsidRDefault="00C94AC8" w:rsidP="00FC735B">
            <w:r>
              <w:t>Sekretorius</w:t>
            </w:r>
          </w:p>
        </w:tc>
        <w:tc>
          <w:tcPr>
            <w:tcW w:w="2553" w:type="dxa"/>
            <w:hideMark/>
          </w:tcPr>
          <w:p w14:paraId="5322B2EA" w14:textId="77777777" w:rsidR="00C94AC8" w:rsidRDefault="00C94AC8" w:rsidP="00FC735B">
            <w:r>
              <w:t xml:space="preserve">Ramūnas Gadliauskas       </w:t>
            </w:r>
          </w:p>
        </w:tc>
      </w:tr>
    </w:tbl>
    <w:p w14:paraId="565001C0" w14:textId="77777777" w:rsidR="00C94AC8" w:rsidRDefault="00C94AC8">
      <w: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15167" w:rsidRPr="00A86117" w14:paraId="569EFC33" w14:textId="77777777" w:rsidTr="00C94AC8">
        <w:trPr>
          <w:trHeight w:val="371"/>
        </w:trPr>
        <w:tc>
          <w:tcPr>
            <w:tcW w:w="9747" w:type="dxa"/>
            <w:tcBorders>
              <w:top w:val="nil"/>
              <w:left w:val="nil"/>
              <w:bottom w:val="nil"/>
              <w:right w:val="nil"/>
            </w:tcBorders>
            <w:vAlign w:val="center"/>
          </w:tcPr>
          <w:p w14:paraId="321F41E6" w14:textId="5EEF5F0F" w:rsidR="00F15167" w:rsidRDefault="00C94AC8" w:rsidP="00C94AC8">
            <w:r>
              <w:lastRenderedPageBreak/>
              <w:t xml:space="preserve">                                                                                                      </w:t>
            </w:r>
            <w:r w:rsidR="00F15167" w:rsidRPr="00A86117">
              <w:t xml:space="preserve">PATVIRTINTA </w:t>
            </w:r>
          </w:p>
          <w:p w14:paraId="179A77AC" w14:textId="77777777" w:rsidR="00C94AC8" w:rsidRDefault="00F15167" w:rsidP="00C94AC8">
            <w:pPr>
              <w:ind w:left="2592" w:firstLine="142"/>
              <w:jc w:val="right"/>
            </w:pPr>
            <w:r w:rsidRPr="00A86117">
              <w:t xml:space="preserve">Teisėjų </w:t>
            </w:r>
            <w:r w:rsidRPr="008F6B64">
              <w:t xml:space="preserve">tarybos </w:t>
            </w:r>
            <w:r>
              <w:t>2021 m</w:t>
            </w:r>
            <w:r w:rsidR="00C94AC8">
              <w:t xml:space="preserve"> </w:t>
            </w:r>
            <w:r w:rsidR="00C94AC8">
              <w:t xml:space="preserve">liepos 23 </w:t>
            </w:r>
            <w:r>
              <w:t>d.</w:t>
            </w:r>
          </w:p>
          <w:p w14:paraId="742FEDCB" w14:textId="3922B6A2" w:rsidR="00F15167" w:rsidRDefault="00C94AC8" w:rsidP="00C94AC8">
            <w:r>
              <w:t xml:space="preserve">                                                                                                      </w:t>
            </w:r>
            <w:r w:rsidR="00F15167" w:rsidRPr="008F6B64">
              <w:t>nutarimu Nr. 13P-</w:t>
            </w:r>
            <w:r w:rsidR="00F15167">
              <w:t xml:space="preserve"> </w:t>
            </w:r>
            <w:r>
              <w:t>98</w:t>
            </w:r>
            <w:r w:rsidR="00F15167" w:rsidRPr="00A86117">
              <w:t>-(7.1.2)</w:t>
            </w:r>
          </w:p>
          <w:p w14:paraId="6DC26B65" w14:textId="77777777" w:rsidR="00F15167" w:rsidRPr="00A86117" w:rsidRDefault="00F15167" w:rsidP="00FC735B">
            <w:pPr>
              <w:ind w:left="381"/>
            </w:pPr>
          </w:p>
        </w:tc>
      </w:tr>
    </w:tbl>
    <w:p w14:paraId="06D97199" w14:textId="77777777" w:rsidR="00C94AC8" w:rsidRDefault="00C94AC8" w:rsidP="00F15167">
      <w:pPr>
        <w:jc w:val="center"/>
        <w:rPr>
          <w:b/>
          <w:caps/>
        </w:rPr>
      </w:pPr>
    </w:p>
    <w:p w14:paraId="04945DD1" w14:textId="6B892190" w:rsidR="00F15167" w:rsidRPr="00E170B1" w:rsidRDefault="00F15167" w:rsidP="00F15167">
      <w:pPr>
        <w:jc w:val="center"/>
        <w:rPr>
          <w:b/>
          <w:caps/>
        </w:rPr>
      </w:pPr>
      <w:r w:rsidRPr="00931ED7">
        <w:rPr>
          <w:b/>
          <w:caps/>
        </w:rPr>
        <w:t xml:space="preserve">PRIEMOKŲ UŽ PADIDĖJUSĮ DARBO KRŪVĮ SKYRIMO IR MOKĖJIMO BENDROSIOS KOMPETENCIJOS IR SPECIALIZUOTŲ TEISMŲ TEISĖJAMS TVARKOS </w:t>
      </w:r>
      <w:r w:rsidRPr="00E170B1">
        <w:rPr>
          <w:b/>
          <w:caps/>
        </w:rPr>
        <w:t xml:space="preserve">aprašas </w:t>
      </w:r>
    </w:p>
    <w:p w14:paraId="4ADFDC7D" w14:textId="77777777" w:rsidR="00F15167" w:rsidRPr="00A86117" w:rsidRDefault="00F15167" w:rsidP="00F15167">
      <w:pPr>
        <w:jc w:val="center"/>
        <w:rPr>
          <w:b/>
          <w:caps/>
        </w:rPr>
      </w:pPr>
    </w:p>
    <w:p w14:paraId="091A8D27" w14:textId="77777777" w:rsidR="00F15167" w:rsidRPr="00A86117" w:rsidRDefault="00F15167" w:rsidP="00F15167">
      <w:pPr>
        <w:jc w:val="center"/>
        <w:rPr>
          <w:b/>
          <w:caps/>
        </w:rPr>
      </w:pPr>
      <w:r w:rsidRPr="00A86117">
        <w:rPr>
          <w:b/>
          <w:caps/>
        </w:rPr>
        <w:t>I. BENDROSIOS NUOSTATOS</w:t>
      </w:r>
    </w:p>
    <w:p w14:paraId="5AA5C76A" w14:textId="77777777" w:rsidR="00F15167" w:rsidRPr="00A86117" w:rsidRDefault="00F15167" w:rsidP="00F15167">
      <w:pPr>
        <w:ind w:firstLine="851"/>
        <w:jc w:val="both"/>
        <w:rPr>
          <w:caps/>
        </w:rPr>
      </w:pPr>
    </w:p>
    <w:p w14:paraId="24E01AD5" w14:textId="77777777" w:rsidR="00F15167" w:rsidRPr="007112DA" w:rsidRDefault="00F15167" w:rsidP="00F15167">
      <w:pPr>
        <w:pStyle w:val="Pagrindinistekstas"/>
        <w:numPr>
          <w:ilvl w:val="0"/>
          <w:numId w:val="1"/>
        </w:numPr>
        <w:tabs>
          <w:tab w:val="left" w:pos="709"/>
          <w:tab w:val="num" w:pos="1134"/>
        </w:tabs>
        <w:spacing w:after="0"/>
        <w:ind w:left="0" w:firstLine="851"/>
        <w:jc w:val="both"/>
      </w:pPr>
      <w:r w:rsidRPr="00931ED7">
        <w:rPr>
          <w:bCs/>
        </w:rPr>
        <w:t xml:space="preserve">Priemokų už padidėjusį darbo krūvį skyrimo ir mokėjimo bendrosios kompetencijos ir specializuotų teismų teisėjams </w:t>
      </w:r>
      <w:r w:rsidRPr="0094672A">
        <w:rPr>
          <w:bCs/>
        </w:rPr>
        <w:t>tvarkos aprašas</w:t>
      </w:r>
      <w:r w:rsidRPr="00A86117">
        <w:t xml:space="preserve"> (toliau – Aprašas) </w:t>
      </w:r>
      <w:r>
        <w:t xml:space="preserve">nustato apmokėjimo </w:t>
      </w:r>
      <w:r w:rsidRPr="00A86117">
        <w:t>bendrosios kompetencijos ir specializuotų teismų teisėj</w:t>
      </w:r>
      <w:r>
        <w:t xml:space="preserve">ams </w:t>
      </w:r>
      <w:r w:rsidRPr="007112DA">
        <w:rPr>
          <w:color w:val="000000"/>
        </w:rPr>
        <w:t xml:space="preserve">už </w:t>
      </w:r>
      <w:r w:rsidRPr="007112DA">
        <w:t>padidėjusį darb</w:t>
      </w:r>
      <w:r>
        <w:t>o</w:t>
      </w:r>
      <w:r w:rsidRPr="007112DA">
        <w:t xml:space="preserve"> </w:t>
      </w:r>
      <w:r w:rsidRPr="007112DA">
        <w:rPr>
          <w:bCs/>
        </w:rPr>
        <w:t xml:space="preserve">krūvį, </w:t>
      </w:r>
      <w:r w:rsidRPr="007112DA">
        <w:rPr>
          <w:bCs/>
          <w:iCs/>
          <w:color w:val="000000"/>
        </w:rPr>
        <w:t>kai yra padidėjęs darbų mastas</w:t>
      </w:r>
      <w:r w:rsidRPr="007112DA">
        <w:rPr>
          <w:bCs/>
          <w:color w:val="000000"/>
        </w:rPr>
        <w:t xml:space="preserve"> dėl iš anksto nenumatytų priežasčių </w:t>
      </w:r>
      <w:r>
        <w:rPr>
          <w:bCs/>
          <w:color w:val="000000"/>
        </w:rPr>
        <w:t xml:space="preserve">žymiai padaugėjus gaunamų nagrinėti tam tikros </w:t>
      </w:r>
      <w:r w:rsidRPr="007112DA">
        <w:rPr>
          <w:bCs/>
          <w:color w:val="000000"/>
        </w:rPr>
        <w:t xml:space="preserve"> kategorijos </w:t>
      </w:r>
      <w:r>
        <w:rPr>
          <w:bCs/>
          <w:color w:val="000000"/>
        </w:rPr>
        <w:t xml:space="preserve">bylų </w:t>
      </w:r>
      <w:r w:rsidRPr="007112DA">
        <w:rPr>
          <w:bCs/>
          <w:color w:val="000000"/>
        </w:rPr>
        <w:t>per mėnesį</w:t>
      </w:r>
      <w:r>
        <w:rPr>
          <w:bCs/>
          <w:color w:val="000000"/>
        </w:rPr>
        <w:t>, tvarką.</w:t>
      </w:r>
    </w:p>
    <w:p w14:paraId="44721161" w14:textId="77777777" w:rsidR="00F15167" w:rsidRPr="003665D1" w:rsidRDefault="00F15167" w:rsidP="00F15167">
      <w:pPr>
        <w:pStyle w:val="Pagrindinistekstas"/>
        <w:numPr>
          <w:ilvl w:val="0"/>
          <w:numId w:val="1"/>
        </w:numPr>
        <w:tabs>
          <w:tab w:val="left" w:pos="709"/>
          <w:tab w:val="num" w:pos="1134"/>
        </w:tabs>
        <w:spacing w:after="0"/>
        <w:ind w:left="0" w:firstLine="851"/>
        <w:jc w:val="both"/>
      </w:pPr>
      <w:r w:rsidRPr="003665D1">
        <w:t xml:space="preserve">Šis Aprašas nėra taikomas </w:t>
      </w:r>
      <w:r>
        <w:t xml:space="preserve">kitiems </w:t>
      </w:r>
      <w:r w:rsidRPr="003665D1">
        <w:t xml:space="preserve">apmokėjimo </w:t>
      </w:r>
      <w:r w:rsidRPr="003665D1">
        <w:rPr>
          <w:color w:val="000000"/>
        </w:rPr>
        <w:t xml:space="preserve">už </w:t>
      </w:r>
      <w:r w:rsidRPr="003665D1">
        <w:t xml:space="preserve">padidėjusį darbo </w:t>
      </w:r>
      <w:r w:rsidRPr="003665D1">
        <w:rPr>
          <w:bCs/>
        </w:rPr>
        <w:t>krūvį nei nurodyta Aprašo 1 punkte atvejams reguliuoti</w:t>
      </w:r>
      <w:r w:rsidRPr="003665D1">
        <w:t>.</w:t>
      </w:r>
    </w:p>
    <w:p w14:paraId="67119253" w14:textId="77777777" w:rsidR="00F15167" w:rsidRPr="00125DAF" w:rsidRDefault="00F15167" w:rsidP="00F15167">
      <w:pPr>
        <w:pStyle w:val="Pagrindinistekstas"/>
        <w:numPr>
          <w:ilvl w:val="0"/>
          <w:numId w:val="1"/>
        </w:numPr>
        <w:tabs>
          <w:tab w:val="left" w:pos="709"/>
          <w:tab w:val="left" w:pos="1134"/>
        </w:tabs>
        <w:spacing w:after="0"/>
        <w:ind w:left="0" w:firstLine="851"/>
        <w:jc w:val="both"/>
      </w:pPr>
      <w:r w:rsidRPr="00125DAF">
        <w:t>Šiame Apraše vartojamos sąvokos:</w:t>
      </w:r>
    </w:p>
    <w:p w14:paraId="28275D0F" w14:textId="77777777" w:rsidR="00F15167" w:rsidRPr="009F5254" w:rsidRDefault="00F15167" w:rsidP="00F15167">
      <w:pPr>
        <w:pStyle w:val="Pagrindinistekstas"/>
        <w:tabs>
          <w:tab w:val="left" w:pos="709"/>
          <w:tab w:val="left" w:pos="1134"/>
        </w:tabs>
        <w:spacing w:after="0"/>
        <w:ind w:firstLine="851"/>
        <w:jc w:val="both"/>
        <w:rPr>
          <w:bCs/>
          <w:color w:val="000000"/>
        </w:rPr>
      </w:pPr>
      <w:r w:rsidRPr="00125DAF">
        <w:rPr>
          <w:bCs/>
        </w:rPr>
        <w:t>3.1.</w:t>
      </w:r>
      <w:r w:rsidRPr="00125DAF">
        <w:rPr>
          <w:b/>
        </w:rPr>
        <w:t xml:space="preserve"> </w:t>
      </w:r>
      <w:r>
        <w:rPr>
          <w:b/>
          <w:color w:val="000000"/>
        </w:rPr>
        <w:t xml:space="preserve">Tam tikros </w:t>
      </w:r>
      <w:r w:rsidRPr="00542A34">
        <w:rPr>
          <w:b/>
          <w:color w:val="000000"/>
        </w:rPr>
        <w:t>kategorijos bylos</w:t>
      </w:r>
      <w:r w:rsidRPr="00542A34">
        <w:rPr>
          <w:bCs/>
          <w:color w:val="000000"/>
        </w:rPr>
        <w:t xml:space="preserve"> </w:t>
      </w:r>
      <w:r>
        <w:rPr>
          <w:bCs/>
          <w:color w:val="000000"/>
        </w:rPr>
        <w:t>– b</w:t>
      </w:r>
      <w:r w:rsidRPr="00542A34">
        <w:rPr>
          <w:bCs/>
          <w:color w:val="000000"/>
        </w:rPr>
        <w:t xml:space="preserve">ylų grupė, apibrėžiama pagal Teisėjų tarybos </w:t>
      </w:r>
      <w:r w:rsidRPr="00542A34">
        <w:t>patvirtintus baudžiamųjų, civilinių ir administracinių bylų kategorijų klasifikatorius</w:t>
      </w:r>
      <w:r>
        <w:t xml:space="preserve"> </w:t>
      </w:r>
      <w:r w:rsidRPr="00542A34">
        <w:t xml:space="preserve">arba kitais požymiais apibrėžiama bylų ar ikiteisminio tyrimo dokumentų, nagrinėjamų </w:t>
      </w:r>
      <w:r>
        <w:t xml:space="preserve">specialaus </w:t>
      </w:r>
      <w:r w:rsidRPr="00542A34">
        <w:t>įstatymo pagrindu, grupė</w:t>
      </w:r>
      <w:r>
        <w:t xml:space="preserve">, </w:t>
      </w:r>
      <w:r w:rsidRPr="00542A34">
        <w:t>jeigu klasifikatoriuose nėra išskirta atskira tokių bylų kategorija.</w:t>
      </w:r>
    </w:p>
    <w:p w14:paraId="0929D94D" w14:textId="77777777" w:rsidR="00F15167" w:rsidRDefault="00F15167" w:rsidP="00F15167">
      <w:pPr>
        <w:pStyle w:val="Pagrindinistekstas"/>
        <w:tabs>
          <w:tab w:val="left" w:pos="709"/>
          <w:tab w:val="left" w:pos="1134"/>
        </w:tabs>
        <w:spacing w:after="0"/>
        <w:ind w:firstLine="851"/>
        <w:jc w:val="both"/>
      </w:pPr>
      <w:r>
        <w:t xml:space="preserve">3.2. </w:t>
      </w:r>
      <w:r w:rsidRPr="00EB2A92">
        <w:rPr>
          <w:b/>
          <w:bCs/>
        </w:rPr>
        <w:t>Iš anksto nenumatytos priežastys</w:t>
      </w:r>
      <w:r>
        <w:t xml:space="preserve"> – socialinės, ekonominės, finansinės, politinės, teisinės ar kitos priežastys, lemiančios gaunamų nagrinėti bylų skaičiaus padidėjimą teismuose, kurių iš anksto nebuvo galima numatyti.</w:t>
      </w:r>
    </w:p>
    <w:p w14:paraId="25821213" w14:textId="77777777" w:rsidR="00F15167" w:rsidRPr="00125DAF" w:rsidRDefault="00F15167" w:rsidP="00F15167">
      <w:pPr>
        <w:pStyle w:val="Pagrindinistekstas"/>
        <w:tabs>
          <w:tab w:val="left" w:pos="709"/>
          <w:tab w:val="left" w:pos="1134"/>
        </w:tabs>
        <w:spacing w:after="0"/>
        <w:ind w:firstLine="851"/>
        <w:jc w:val="both"/>
        <w:rPr>
          <w:bCs/>
          <w:color w:val="000000"/>
        </w:rPr>
      </w:pPr>
      <w:r>
        <w:rPr>
          <w:bCs/>
          <w:color w:val="000000"/>
        </w:rPr>
        <w:t xml:space="preserve">3.3. </w:t>
      </w:r>
      <w:r w:rsidRPr="00D65E0B">
        <w:rPr>
          <w:b/>
        </w:rPr>
        <w:t>Padidėjęs darb</w:t>
      </w:r>
      <w:r>
        <w:rPr>
          <w:b/>
        </w:rPr>
        <w:t>o</w:t>
      </w:r>
      <w:r w:rsidRPr="00D65E0B">
        <w:rPr>
          <w:b/>
        </w:rPr>
        <w:t xml:space="preserve"> </w:t>
      </w:r>
      <w:r w:rsidRPr="00125DAF">
        <w:rPr>
          <w:b/>
        </w:rPr>
        <w:t>krūvis</w:t>
      </w:r>
      <w:r w:rsidRPr="00125DAF">
        <w:t xml:space="preserve"> – </w:t>
      </w:r>
      <w:r w:rsidRPr="00125DAF">
        <w:rPr>
          <w:bCs/>
          <w:iCs/>
          <w:color w:val="000000"/>
        </w:rPr>
        <w:t xml:space="preserve">darbų masto </w:t>
      </w:r>
      <w:r w:rsidRPr="00125DAF">
        <w:rPr>
          <w:bCs/>
        </w:rPr>
        <w:t xml:space="preserve">bendrosios kompetencijos ar specializuotame </w:t>
      </w:r>
      <w:r w:rsidRPr="00125DAF">
        <w:rPr>
          <w:bCs/>
          <w:iCs/>
          <w:color w:val="000000"/>
        </w:rPr>
        <w:t>teisme padidėjimas</w:t>
      </w:r>
      <w:r w:rsidRPr="00125DAF">
        <w:rPr>
          <w:bCs/>
          <w:color w:val="000000"/>
        </w:rPr>
        <w:t xml:space="preserve"> dėl iš anksto nenumatytų priežasčių </w:t>
      </w:r>
      <w:r>
        <w:rPr>
          <w:bCs/>
          <w:color w:val="000000"/>
        </w:rPr>
        <w:t xml:space="preserve">žymiai </w:t>
      </w:r>
      <w:r w:rsidRPr="00EF7717">
        <w:rPr>
          <w:bCs/>
          <w:color w:val="000000"/>
        </w:rPr>
        <w:t xml:space="preserve">padaugėjus gaunamų nagrinėti tam tikros kategorijos bylų per mėnesį. </w:t>
      </w:r>
    </w:p>
    <w:p w14:paraId="09FC3819" w14:textId="77777777" w:rsidR="00F15167" w:rsidRDefault="00F15167" w:rsidP="00F15167">
      <w:pPr>
        <w:ind w:firstLine="851"/>
        <w:jc w:val="both"/>
        <w:rPr>
          <w:bCs/>
          <w:color w:val="000000"/>
        </w:rPr>
      </w:pPr>
      <w:r w:rsidRPr="00125DAF">
        <w:rPr>
          <w:bCs/>
          <w:color w:val="000000"/>
        </w:rPr>
        <w:t xml:space="preserve">3.4. </w:t>
      </w:r>
      <w:r w:rsidRPr="00125DAF">
        <w:rPr>
          <w:b/>
          <w:color w:val="000000"/>
        </w:rPr>
        <w:t>Priemoka už padidėjusį darb</w:t>
      </w:r>
      <w:r>
        <w:rPr>
          <w:b/>
          <w:color w:val="000000"/>
        </w:rPr>
        <w:t>o</w:t>
      </w:r>
      <w:r w:rsidRPr="00125DAF">
        <w:rPr>
          <w:b/>
          <w:color w:val="000000"/>
        </w:rPr>
        <w:t xml:space="preserve"> krūvį</w:t>
      </w:r>
      <w:r w:rsidRPr="00125DAF">
        <w:rPr>
          <w:bCs/>
          <w:color w:val="000000"/>
        </w:rPr>
        <w:t xml:space="preserve"> – ne </w:t>
      </w:r>
      <w:r w:rsidRPr="00125DAF">
        <w:rPr>
          <w:color w:val="000000"/>
        </w:rPr>
        <w:t xml:space="preserve">didesnė kaip 30 procentų </w:t>
      </w:r>
      <w:r w:rsidRPr="00125DAF">
        <w:rPr>
          <w:bCs/>
        </w:rPr>
        <w:t xml:space="preserve">bendrosios kompetencijos ar specializuoto </w:t>
      </w:r>
      <w:r w:rsidRPr="00125DAF">
        <w:rPr>
          <w:bCs/>
          <w:color w:val="000000"/>
        </w:rPr>
        <w:t>teismo</w:t>
      </w:r>
      <w:r w:rsidRPr="00125DAF">
        <w:rPr>
          <w:color w:val="000000"/>
        </w:rPr>
        <w:t xml:space="preserve"> teisėjo </w:t>
      </w:r>
      <w:r w:rsidRPr="00125DAF">
        <w:t>pareiginės algos dydžio</w:t>
      </w:r>
      <w:r w:rsidRPr="00125DAF">
        <w:rPr>
          <w:color w:val="000000"/>
        </w:rPr>
        <w:t xml:space="preserve"> priemoka už </w:t>
      </w:r>
      <w:r w:rsidRPr="00125DAF">
        <w:t>padidėjusį darb</w:t>
      </w:r>
      <w:r>
        <w:t>o</w:t>
      </w:r>
      <w:r w:rsidRPr="00125DAF">
        <w:t xml:space="preserve"> </w:t>
      </w:r>
      <w:r w:rsidRPr="00125DAF">
        <w:rPr>
          <w:bCs/>
        </w:rPr>
        <w:t>krūvį</w:t>
      </w:r>
      <w:r w:rsidRPr="00EF7717">
        <w:rPr>
          <w:bCs/>
          <w:color w:val="000000"/>
        </w:rPr>
        <w:t>.</w:t>
      </w:r>
    </w:p>
    <w:p w14:paraId="2C00DEB7" w14:textId="77777777" w:rsidR="00F15167" w:rsidRPr="00125DAF" w:rsidRDefault="00F15167" w:rsidP="00F15167">
      <w:pPr>
        <w:pStyle w:val="Pagrindinistekstas"/>
        <w:tabs>
          <w:tab w:val="left" w:pos="709"/>
          <w:tab w:val="left" w:pos="1134"/>
        </w:tabs>
        <w:spacing w:after="0"/>
        <w:jc w:val="both"/>
        <w:rPr>
          <w:lang w:eastAsia="lt-LT"/>
        </w:rPr>
      </w:pPr>
      <w:r w:rsidRPr="00125DAF">
        <w:rPr>
          <w:bCs/>
        </w:rPr>
        <w:tab/>
      </w:r>
    </w:p>
    <w:p w14:paraId="386CDED5" w14:textId="77777777" w:rsidR="00F15167" w:rsidRPr="00091288" w:rsidRDefault="00F15167" w:rsidP="00F15167">
      <w:pPr>
        <w:pStyle w:val="Pagrindinistekstas"/>
        <w:tabs>
          <w:tab w:val="left" w:pos="709"/>
        </w:tabs>
        <w:spacing w:after="0"/>
        <w:ind w:firstLine="851"/>
        <w:jc w:val="center"/>
        <w:rPr>
          <w:b/>
          <w:caps/>
        </w:rPr>
      </w:pPr>
      <w:r w:rsidRPr="00091288">
        <w:rPr>
          <w:b/>
          <w:caps/>
        </w:rPr>
        <w:t>II. Padidėjusio darbo krūvio nustatymas</w:t>
      </w:r>
    </w:p>
    <w:p w14:paraId="43AD6EBD" w14:textId="77777777" w:rsidR="00F15167" w:rsidRPr="00091288" w:rsidRDefault="00F15167" w:rsidP="00F15167">
      <w:pPr>
        <w:pStyle w:val="Pagrindinistekstas"/>
        <w:tabs>
          <w:tab w:val="left" w:pos="709"/>
          <w:tab w:val="left" w:pos="1134"/>
        </w:tabs>
        <w:spacing w:after="0"/>
        <w:jc w:val="both"/>
      </w:pPr>
    </w:p>
    <w:p w14:paraId="6F7E2EEF" w14:textId="77777777" w:rsidR="00F15167" w:rsidRPr="003665D1" w:rsidRDefault="00F15167" w:rsidP="00F15167">
      <w:pPr>
        <w:pStyle w:val="Pagrindinistekstas"/>
        <w:numPr>
          <w:ilvl w:val="0"/>
          <w:numId w:val="1"/>
        </w:numPr>
        <w:tabs>
          <w:tab w:val="left" w:pos="709"/>
          <w:tab w:val="left" w:pos="1134"/>
        </w:tabs>
        <w:spacing w:after="0"/>
        <w:ind w:left="0" w:firstLine="851"/>
        <w:jc w:val="both"/>
      </w:pPr>
      <w:r w:rsidRPr="003665D1">
        <w:t xml:space="preserve">Padidėjęs darbo krūvis nustatomas už praėjusį mėnesį, vertinant viso praėjusio mėnesio duomenis apie gautas tam tikros kategorijos bylas. Darbo krūvio duomenys lyginami su praėjusių dvylikos mėnesių, buvusių iki darbo krūvio padidėjimo pradžios, tos pačios kategorijos vidutiniu gautų bylų skaičiumi per mėnesį teisme. </w:t>
      </w:r>
    </w:p>
    <w:p w14:paraId="56DB84B4" w14:textId="77777777" w:rsidR="00F15167" w:rsidRPr="003665D1" w:rsidRDefault="00F15167" w:rsidP="00F15167">
      <w:pPr>
        <w:pStyle w:val="Pagrindinistekstas"/>
        <w:numPr>
          <w:ilvl w:val="0"/>
          <w:numId w:val="1"/>
        </w:numPr>
        <w:tabs>
          <w:tab w:val="left" w:pos="709"/>
          <w:tab w:val="left" w:pos="1134"/>
        </w:tabs>
        <w:spacing w:after="0"/>
        <w:ind w:left="0" w:firstLine="851"/>
        <w:jc w:val="both"/>
      </w:pPr>
      <w:r w:rsidRPr="003665D1">
        <w:t xml:space="preserve">Darbo krūvio padidėjimo pradžia laikomas pirmasis mėnuo, per kurį teisme gaunamų bylų skaičius padidėjo daugiau nei 20 procentų lyginant su praėjusiu mėnesiu.  </w:t>
      </w:r>
    </w:p>
    <w:p w14:paraId="3E7ECD39" w14:textId="77777777" w:rsidR="00F15167" w:rsidRPr="003665D1" w:rsidRDefault="00F15167" w:rsidP="00F15167">
      <w:pPr>
        <w:pStyle w:val="Pagrindinistekstas"/>
        <w:numPr>
          <w:ilvl w:val="0"/>
          <w:numId w:val="1"/>
        </w:numPr>
        <w:tabs>
          <w:tab w:val="left" w:pos="709"/>
          <w:tab w:val="left" w:pos="1134"/>
        </w:tabs>
        <w:spacing w:after="0"/>
        <w:ind w:left="0" w:firstLine="851"/>
        <w:jc w:val="both"/>
      </w:pPr>
      <w:r w:rsidRPr="003665D1">
        <w:t xml:space="preserve">Teismo pirmininko sprendimas konstatuoti padidėjusį darbo krūvį turi būti įforminamas ne vėliau kaip iki kito mėnesio 15 dienos. </w:t>
      </w:r>
    </w:p>
    <w:p w14:paraId="2193E9C3" w14:textId="77777777" w:rsidR="00F15167" w:rsidRPr="003665D1" w:rsidRDefault="00F15167" w:rsidP="00F15167">
      <w:pPr>
        <w:pStyle w:val="Pagrindinistekstas"/>
        <w:numPr>
          <w:ilvl w:val="0"/>
          <w:numId w:val="1"/>
        </w:numPr>
        <w:tabs>
          <w:tab w:val="left" w:pos="709"/>
          <w:tab w:val="left" w:pos="1134"/>
        </w:tabs>
        <w:spacing w:after="0"/>
        <w:ind w:left="0" w:firstLine="851"/>
        <w:jc w:val="both"/>
      </w:pPr>
      <w:r w:rsidRPr="003665D1">
        <w:t xml:space="preserve">Konstatavęs </w:t>
      </w:r>
      <w:r w:rsidRPr="003665D1">
        <w:rPr>
          <w:bCs/>
        </w:rPr>
        <w:t xml:space="preserve">bendrosios kompetencijos ar specializuotame </w:t>
      </w:r>
      <w:r w:rsidRPr="003665D1">
        <w:rPr>
          <w:bCs/>
          <w:iCs/>
        </w:rPr>
        <w:t>teisme</w:t>
      </w:r>
      <w:r w:rsidRPr="003665D1">
        <w:t xml:space="preserve"> padidėjusį darbo krūvį, teismo pirmininkas priima sprendimą dėl </w:t>
      </w:r>
      <w:r w:rsidRPr="003665D1">
        <w:rPr>
          <w:color w:val="000000"/>
        </w:rPr>
        <w:t xml:space="preserve">priemokos skyrimo ir išmokėjimo </w:t>
      </w:r>
      <w:r>
        <w:rPr>
          <w:color w:val="000000"/>
        </w:rPr>
        <w:t xml:space="preserve">konkretiems teisėjams </w:t>
      </w:r>
      <w:r w:rsidRPr="003665D1">
        <w:rPr>
          <w:color w:val="000000"/>
        </w:rPr>
        <w:t>vadovaudamasis šio Aprašo III skyriuje nustatytais kriterijais ir tvarka.</w:t>
      </w:r>
    </w:p>
    <w:p w14:paraId="427BA074" w14:textId="77777777" w:rsidR="00F15167" w:rsidRPr="003665D1" w:rsidRDefault="00F15167" w:rsidP="00F15167">
      <w:pPr>
        <w:pStyle w:val="Pagrindinistekstas"/>
        <w:numPr>
          <w:ilvl w:val="0"/>
          <w:numId w:val="1"/>
        </w:numPr>
        <w:tabs>
          <w:tab w:val="clear" w:pos="2345"/>
          <w:tab w:val="left" w:pos="709"/>
          <w:tab w:val="left" w:pos="1134"/>
        </w:tabs>
        <w:spacing w:after="0"/>
        <w:ind w:left="0" w:firstLine="851"/>
        <w:jc w:val="both"/>
      </w:pPr>
      <w:r w:rsidRPr="003665D1">
        <w:t>Teismo pirmininko įsakyme dėl teisėjo (teisėjų) darbo krūvio padidėjimo konstatavimo ir priemokos (priemokų) skyrimo ir išmokėjimo turi būti nurodyti duomenys, patvirtinantys žymų gaunamų nagrinėti bylų skaičiaus padidėjimą teisme, nurodytas krūvio padidėjimo procentas ir šio Aprašo 9 punkto nustatyta tvarka parinktas priemokos dydis</w:t>
      </w:r>
      <w:r>
        <w:t xml:space="preserve"> </w:t>
      </w:r>
      <w:r w:rsidRPr="00E51CD4">
        <w:t>konkretiems teisėjams</w:t>
      </w:r>
      <w:r w:rsidRPr="00773267">
        <w:t>.</w:t>
      </w:r>
      <w:r w:rsidRPr="003665D1">
        <w:t xml:space="preserve">   </w:t>
      </w:r>
    </w:p>
    <w:p w14:paraId="1BC747FA" w14:textId="77777777" w:rsidR="00F15167" w:rsidRPr="003665D1" w:rsidRDefault="00F15167" w:rsidP="00F15167">
      <w:pPr>
        <w:pStyle w:val="Pagrindinistekstas"/>
        <w:tabs>
          <w:tab w:val="left" w:pos="709"/>
          <w:tab w:val="left" w:pos="1080"/>
        </w:tabs>
        <w:spacing w:after="0"/>
        <w:ind w:firstLine="851"/>
        <w:jc w:val="center"/>
      </w:pPr>
    </w:p>
    <w:p w14:paraId="7B68EBF6" w14:textId="77777777" w:rsidR="00C94AC8" w:rsidRDefault="00C94AC8" w:rsidP="00F15167">
      <w:pPr>
        <w:pStyle w:val="Pagrindinistekstas"/>
        <w:tabs>
          <w:tab w:val="left" w:pos="709"/>
          <w:tab w:val="left" w:pos="1080"/>
        </w:tabs>
        <w:spacing w:after="0"/>
        <w:ind w:firstLine="851"/>
        <w:jc w:val="center"/>
        <w:rPr>
          <w:b/>
          <w:caps/>
        </w:rPr>
      </w:pPr>
    </w:p>
    <w:p w14:paraId="47210063" w14:textId="5EE7BDCB" w:rsidR="00F15167" w:rsidRPr="003665D1" w:rsidRDefault="00F15167" w:rsidP="00F15167">
      <w:pPr>
        <w:pStyle w:val="Pagrindinistekstas"/>
        <w:tabs>
          <w:tab w:val="left" w:pos="709"/>
          <w:tab w:val="left" w:pos="1080"/>
        </w:tabs>
        <w:spacing w:after="0"/>
        <w:ind w:firstLine="851"/>
        <w:jc w:val="center"/>
        <w:rPr>
          <w:b/>
          <w:caps/>
        </w:rPr>
      </w:pPr>
      <w:r w:rsidRPr="003665D1">
        <w:rPr>
          <w:b/>
          <w:caps/>
        </w:rPr>
        <w:lastRenderedPageBreak/>
        <w:t xml:space="preserve">III. Priemokos dydžio nustatymo kriterijai ir skyrimo tvarka </w:t>
      </w:r>
    </w:p>
    <w:p w14:paraId="5818A324" w14:textId="77777777" w:rsidR="00F15167" w:rsidRPr="003665D1" w:rsidRDefault="00F15167" w:rsidP="00F15167">
      <w:pPr>
        <w:pStyle w:val="Pagrindinistekstas"/>
        <w:tabs>
          <w:tab w:val="left" w:pos="709"/>
          <w:tab w:val="left" w:pos="1080"/>
        </w:tabs>
        <w:spacing w:after="0"/>
        <w:ind w:firstLine="851"/>
        <w:jc w:val="center"/>
        <w:rPr>
          <w:b/>
        </w:rPr>
      </w:pPr>
    </w:p>
    <w:p w14:paraId="4437795D" w14:textId="77777777" w:rsidR="00F15167" w:rsidRDefault="00F15167" w:rsidP="00F15167">
      <w:pPr>
        <w:pStyle w:val="Pagrindinistekstas"/>
        <w:tabs>
          <w:tab w:val="left" w:pos="851"/>
        </w:tabs>
        <w:spacing w:after="0"/>
        <w:jc w:val="both"/>
      </w:pPr>
      <w:r w:rsidRPr="003665D1">
        <w:tab/>
        <w:t>9. Priemokos už</w:t>
      </w:r>
      <w:r w:rsidRPr="003665D1">
        <w:rPr>
          <w:b/>
          <w:color w:val="000000"/>
        </w:rPr>
        <w:t xml:space="preserve"> </w:t>
      </w:r>
      <w:r w:rsidRPr="003665D1">
        <w:rPr>
          <w:bCs/>
          <w:color w:val="000000"/>
        </w:rPr>
        <w:t xml:space="preserve">padidėjusį </w:t>
      </w:r>
      <w:r>
        <w:rPr>
          <w:bCs/>
          <w:color w:val="000000"/>
        </w:rPr>
        <w:t xml:space="preserve">teisėjo </w:t>
      </w:r>
      <w:r w:rsidRPr="003665D1">
        <w:rPr>
          <w:bCs/>
          <w:color w:val="000000"/>
        </w:rPr>
        <w:t>darbo krūvį</w:t>
      </w:r>
      <w:r w:rsidRPr="003665D1">
        <w:t xml:space="preserve"> dydis nustatomas remiantis šiais kriterijais: </w:t>
      </w:r>
    </w:p>
    <w:p w14:paraId="1F37C419" w14:textId="77777777" w:rsidR="00F15167" w:rsidRDefault="00F15167" w:rsidP="00F15167">
      <w:pPr>
        <w:pStyle w:val="Pagrindinistekstas"/>
        <w:tabs>
          <w:tab w:val="left" w:pos="851"/>
        </w:tabs>
        <w:spacing w:after="0"/>
        <w:jc w:val="both"/>
      </w:pPr>
      <w:r>
        <w:tab/>
      </w:r>
      <w:r w:rsidRPr="003665D1">
        <w:t xml:space="preserve">9.1. kai darbo krūvis padidėja nuo 20 iki 30 procentų skiriama 10 </w:t>
      </w:r>
      <w:r w:rsidRPr="003665D1">
        <w:rPr>
          <w:color w:val="000000"/>
        </w:rPr>
        <w:t xml:space="preserve">procentų teisėjo </w:t>
      </w:r>
      <w:r w:rsidRPr="003665D1">
        <w:t>pareiginės algos dydžio</w:t>
      </w:r>
      <w:r w:rsidRPr="003665D1">
        <w:rPr>
          <w:color w:val="000000"/>
        </w:rPr>
        <w:t xml:space="preserve"> priemoka;</w:t>
      </w:r>
    </w:p>
    <w:p w14:paraId="396AA85B" w14:textId="77777777" w:rsidR="00F15167" w:rsidRDefault="00F15167" w:rsidP="00F15167">
      <w:pPr>
        <w:pStyle w:val="Pagrindinistekstas"/>
        <w:tabs>
          <w:tab w:val="left" w:pos="851"/>
        </w:tabs>
        <w:spacing w:after="0"/>
        <w:jc w:val="both"/>
      </w:pPr>
      <w:r>
        <w:tab/>
      </w:r>
      <w:r w:rsidRPr="003665D1">
        <w:rPr>
          <w:color w:val="000000"/>
        </w:rPr>
        <w:t xml:space="preserve">9.2. </w:t>
      </w:r>
      <w:r w:rsidRPr="003665D1">
        <w:t xml:space="preserve">kai darbo krūvis padidėja nuo 30 iki 40 procentų skiriama 15 </w:t>
      </w:r>
      <w:r w:rsidRPr="003665D1">
        <w:rPr>
          <w:color w:val="000000"/>
        </w:rPr>
        <w:t xml:space="preserve">procentų teisėjo </w:t>
      </w:r>
      <w:r w:rsidRPr="003665D1">
        <w:t>pareiginės algos dydžio</w:t>
      </w:r>
      <w:r w:rsidRPr="003665D1">
        <w:rPr>
          <w:color w:val="000000"/>
        </w:rPr>
        <w:t xml:space="preserve"> priemoka;</w:t>
      </w:r>
    </w:p>
    <w:p w14:paraId="4BC98A84" w14:textId="77777777" w:rsidR="00F15167" w:rsidRDefault="00F15167" w:rsidP="00F15167">
      <w:pPr>
        <w:pStyle w:val="Pagrindinistekstas"/>
        <w:tabs>
          <w:tab w:val="left" w:pos="851"/>
        </w:tabs>
        <w:spacing w:after="0"/>
        <w:jc w:val="both"/>
      </w:pPr>
      <w:r>
        <w:tab/>
      </w:r>
      <w:r w:rsidRPr="003665D1">
        <w:rPr>
          <w:color w:val="000000"/>
        </w:rPr>
        <w:t xml:space="preserve">9.3. </w:t>
      </w:r>
      <w:r w:rsidRPr="003665D1">
        <w:t xml:space="preserve">kai darbo krūvis padidėja nuo 40 iki 50 procentų skiriama 20 </w:t>
      </w:r>
      <w:r w:rsidRPr="003665D1">
        <w:rPr>
          <w:color w:val="000000"/>
        </w:rPr>
        <w:t xml:space="preserve">procentų teisėjo </w:t>
      </w:r>
      <w:r w:rsidRPr="003665D1">
        <w:t>pareiginės algos dydžio</w:t>
      </w:r>
      <w:r w:rsidRPr="003665D1">
        <w:rPr>
          <w:color w:val="000000"/>
        </w:rPr>
        <w:t xml:space="preserve"> priemoka;</w:t>
      </w:r>
    </w:p>
    <w:p w14:paraId="0DD3D388" w14:textId="77777777" w:rsidR="00F15167" w:rsidRDefault="00F15167" w:rsidP="00F15167">
      <w:pPr>
        <w:pStyle w:val="Pagrindinistekstas"/>
        <w:tabs>
          <w:tab w:val="left" w:pos="851"/>
        </w:tabs>
        <w:spacing w:after="0"/>
        <w:jc w:val="both"/>
      </w:pPr>
      <w:r>
        <w:tab/>
      </w:r>
      <w:r w:rsidRPr="003665D1">
        <w:rPr>
          <w:color w:val="000000"/>
        </w:rPr>
        <w:t xml:space="preserve">9.4. </w:t>
      </w:r>
      <w:r w:rsidRPr="003665D1">
        <w:t xml:space="preserve">kai darbo krūvis padidėja nuo 50 iki 60 procentų skiriama 25 </w:t>
      </w:r>
      <w:r w:rsidRPr="003665D1">
        <w:rPr>
          <w:color w:val="000000"/>
        </w:rPr>
        <w:t xml:space="preserve">procentų teisėjo </w:t>
      </w:r>
      <w:r w:rsidRPr="003665D1">
        <w:t>pareiginės algos dydžio</w:t>
      </w:r>
      <w:r w:rsidRPr="003665D1">
        <w:rPr>
          <w:color w:val="000000"/>
        </w:rPr>
        <w:t xml:space="preserve"> priemoka;</w:t>
      </w:r>
    </w:p>
    <w:p w14:paraId="1266B943" w14:textId="77777777" w:rsidR="00F15167" w:rsidRPr="000840B5" w:rsidRDefault="00F15167" w:rsidP="00F15167">
      <w:pPr>
        <w:pStyle w:val="Pagrindinistekstas"/>
        <w:tabs>
          <w:tab w:val="left" w:pos="851"/>
        </w:tabs>
        <w:spacing w:after="0"/>
        <w:jc w:val="both"/>
      </w:pPr>
      <w:r>
        <w:tab/>
      </w:r>
      <w:r w:rsidRPr="003665D1">
        <w:rPr>
          <w:color w:val="000000"/>
        </w:rPr>
        <w:t xml:space="preserve">9.5. </w:t>
      </w:r>
      <w:r w:rsidRPr="003665D1">
        <w:t xml:space="preserve">kai darbo krūvis padidėja 60 ir daugiau procentų skiriama 30 </w:t>
      </w:r>
      <w:r w:rsidRPr="003665D1">
        <w:rPr>
          <w:color w:val="000000"/>
        </w:rPr>
        <w:t xml:space="preserve">procentų teisėjo </w:t>
      </w:r>
      <w:r w:rsidRPr="003665D1">
        <w:t>pareiginės algos dydžio</w:t>
      </w:r>
      <w:r w:rsidRPr="003665D1">
        <w:rPr>
          <w:color w:val="000000"/>
        </w:rPr>
        <w:t xml:space="preserve"> priemoka.</w:t>
      </w:r>
    </w:p>
    <w:p w14:paraId="09DE034E" w14:textId="77777777" w:rsidR="00F15167" w:rsidRPr="003665D1" w:rsidRDefault="00F15167" w:rsidP="00F15167">
      <w:pPr>
        <w:pStyle w:val="Pagrindinistekstas"/>
        <w:tabs>
          <w:tab w:val="left" w:pos="709"/>
          <w:tab w:val="left" w:pos="1134"/>
        </w:tabs>
        <w:spacing w:after="0"/>
        <w:jc w:val="both"/>
      </w:pPr>
    </w:p>
    <w:p w14:paraId="25317126" w14:textId="77777777" w:rsidR="00F15167" w:rsidRPr="003665D1" w:rsidRDefault="00F15167" w:rsidP="00F15167">
      <w:pPr>
        <w:pStyle w:val="Pagrindinistekstas"/>
        <w:tabs>
          <w:tab w:val="left" w:pos="709"/>
          <w:tab w:val="left" w:pos="1080"/>
        </w:tabs>
        <w:spacing w:after="0"/>
        <w:ind w:firstLine="851"/>
        <w:jc w:val="center"/>
        <w:rPr>
          <w:b/>
          <w:caps/>
        </w:rPr>
      </w:pPr>
      <w:r w:rsidRPr="003665D1">
        <w:rPr>
          <w:b/>
        </w:rPr>
        <w:t xml:space="preserve">IV. </w:t>
      </w:r>
      <w:r w:rsidRPr="003665D1">
        <w:rPr>
          <w:b/>
          <w:caps/>
        </w:rPr>
        <w:t>Priemokos išmokėjimo tvarka</w:t>
      </w:r>
    </w:p>
    <w:p w14:paraId="74CE7FEA" w14:textId="77777777" w:rsidR="00F15167" w:rsidRPr="003665D1" w:rsidRDefault="00F15167" w:rsidP="00F15167">
      <w:pPr>
        <w:pStyle w:val="Pagrindinistekstas"/>
        <w:tabs>
          <w:tab w:val="left" w:pos="0"/>
          <w:tab w:val="left" w:pos="1080"/>
        </w:tabs>
        <w:spacing w:after="0"/>
        <w:jc w:val="center"/>
        <w:rPr>
          <w:b/>
        </w:rPr>
      </w:pPr>
    </w:p>
    <w:p w14:paraId="310E2E4B" w14:textId="77777777" w:rsidR="00F15167" w:rsidRPr="003665D1" w:rsidRDefault="00F15167" w:rsidP="00F15167">
      <w:pPr>
        <w:pStyle w:val="Pagrindinistekstas"/>
        <w:tabs>
          <w:tab w:val="left" w:pos="0"/>
          <w:tab w:val="left" w:pos="709"/>
        </w:tabs>
        <w:spacing w:after="0"/>
        <w:jc w:val="both"/>
        <w:rPr>
          <w:bCs/>
        </w:rPr>
      </w:pPr>
      <w:r w:rsidRPr="003665D1">
        <w:rPr>
          <w:bCs/>
        </w:rPr>
        <w:tab/>
        <w:t>10. Priemoka bendrosios kompetencijos ar specializuoto teismo teisėjui išmokama ne vėliau nei su to mėnesio, per kurį buvo vertintas ir konstatuotas padidėjęs darbo krūvis, darbo užmokesčiu.</w:t>
      </w:r>
    </w:p>
    <w:p w14:paraId="0812B782" w14:textId="77777777" w:rsidR="00F15167" w:rsidRPr="003665D1" w:rsidRDefault="00F15167" w:rsidP="00F15167">
      <w:pPr>
        <w:pStyle w:val="Pagrindinistekstas"/>
        <w:tabs>
          <w:tab w:val="left" w:pos="0"/>
          <w:tab w:val="left" w:pos="1080"/>
        </w:tabs>
        <w:spacing w:after="0"/>
        <w:jc w:val="center"/>
        <w:rPr>
          <w:b/>
        </w:rPr>
      </w:pPr>
    </w:p>
    <w:p w14:paraId="5116BBE9" w14:textId="77777777" w:rsidR="00F15167" w:rsidRPr="003665D1" w:rsidRDefault="00F15167" w:rsidP="00F15167">
      <w:pPr>
        <w:pStyle w:val="Pagrindinistekstas"/>
        <w:tabs>
          <w:tab w:val="left" w:pos="0"/>
          <w:tab w:val="left" w:pos="1080"/>
        </w:tabs>
        <w:spacing w:after="0"/>
        <w:jc w:val="center"/>
        <w:rPr>
          <w:b/>
        </w:rPr>
      </w:pPr>
      <w:r w:rsidRPr="003665D1">
        <w:rPr>
          <w:b/>
        </w:rPr>
        <w:t>V. BAIGIAMOSIOS NUOSTATOS</w:t>
      </w:r>
    </w:p>
    <w:p w14:paraId="7033B0A2" w14:textId="77777777" w:rsidR="00F15167" w:rsidRPr="003665D1" w:rsidRDefault="00F15167" w:rsidP="00F15167">
      <w:pPr>
        <w:pStyle w:val="Pagrindinistekstas"/>
        <w:tabs>
          <w:tab w:val="left" w:pos="709"/>
          <w:tab w:val="left" w:pos="1276"/>
        </w:tabs>
        <w:spacing w:after="0"/>
        <w:jc w:val="both"/>
      </w:pPr>
    </w:p>
    <w:p w14:paraId="0A0C32A3" w14:textId="77777777" w:rsidR="00F15167" w:rsidRPr="003665D1" w:rsidRDefault="00F15167" w:rsidP="00F15167">
      <w:pPr>
        <w:ind w:firstLine="851"/>
        <w:jc w:val="both"/>
      </w:pPr>
      <w:r w:rsidRPr="003665D1">
        <w:t>11. Už šio Aprašo nuostatų tinkamą taikymą atsako teismo pirmininkas.</w:t>
      </w:r>
    </w:p>
    <w:p w14:paraId="10FF4D64" w14:textId="77777777" w:rsidR="00F15167" w:rsidRPr="003665D1" w:rsidRDefault="00F15167" w:rsidP="00F15167">
      <w:pPr>
        <w:ind w:firstLine="851"/>
        <w:jc w:val="both"/>
      </w:pPr>
      <w:r w:rsidRPr="003665D1">
        <w:t xml:space="preserve">12. Esant poreikiui, Nacionalinė teismų administracija teikia teismo pirmininkui informaciją ir duomenis, reikalingus vertinant </w:t>
      </w:r>
      <w:r>
        <w:t xml:space="preserve">teisėjo </w:t>
      </w:r>
      <w:r w:rsidRPr="003665D1">
        <w:t>darbo krūvio padidėjimą.</w:t>
      </w:r>
    </w:p>
    <w:p w14:paraId="2D48B551" w14:textId="77777777" w:rsidR="00F15167" w:rsidRPr="003665D1" w:rsidRDefault="00F15167" w:rsidP="00F15167">
      <w:pPr>
        <w:ind w:firstLine="709"/>
        <w:jc w:val="both"/>
        <w:rPr>
          <w:b/>
        </w:rPr>
      </w:pPr>
    </w:p>
    <w:p w14:paraId="5960C2E9" w14:textId="77777777" w:rsidR="00F15167" w:rsidRPr="00A86117" w:rsidRDefault="00F15167" w:rsidP="00F15167">
      <w:pPr>
        <w:pStyle w:val="Pagrindinistekstas"/>
        <w:tabs>
          <w:tab w:val="left" w:pos="0"/>
          <w:tab w:val="left" w:pos="1080"/>
        </w:tabs>
        <w:spacing w:after="0"/>
        <w:jc w:val="center"/>
      </w:pPr>
      <w:r w:rsidRPr="003665D1">
        <w:t>___________________</w:t>
      </w:r>
    </w:p>
    <w:p w14:paraId="7022405B" w14:textId="77777777" w:rsidR="00F15167" w:rsidRDefault="00F15167" w:rsidP="00F15167">
      <w:pPr>
        <w:pStyle w:val="Pagrindinistekstas"/>
        <w:tabs>
          <w:tab w:val="left" w:pos="0"/>
          <w:tab w:val="left" w:pos="1080"/>
        </w:tabs>
        <w:spacing w:after="0"/>
        <w:jc w:val="center"/>
      </w:pPr>
    </w:p>
    <w:p w14:paraId="3964781A" w14:textId="77777777" w:rsidR="00060C94" w:rsidRDefault="00060C94"/>
    <w:sectPr w:rsidR="00060C94" w:rsidSect="007112DA">
      <w:pgSz w:w="11906" w:h="16838"/>
      <w:pgMar w:top="1134" w:right="567" w:bottom="1134" w:left="1701" w:header="567" w:footer="567" w:gutter="0"/>
      <w:pgNumType w:start="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7510E"/>
    <w:multiLevelType w:val="hybridMultilevel"/>
    <w:tmpl w:val="29DC407A"/>
    <w:lvl w:ilvl="0" w:tplc="50505DB8">
      <w:start w:val="1"/>
      <w:numFmt w:val="decimal"/>
      <w:lvlText w:val="%1."/>
      <w:lvlJc w:val="left"/>
      <w:pPr>
        <w:tabs>
          <w:tab w:val="num" w:pos="2345"/>
        </w:tabs>
        <w:ind w:left="2345" w:hanging="360"/>
      </w:pPr>
      <w:rPr>
        <w:strike w:val="0"/>
      </w:rPr>
    </w:lvl>
    <w:lvl w:ilvl="1" w:tplc="6030AA3C">
      <w:numFmt w:val="none"/>
      <w:lvlText w:val=""/>
      <w:lvlJc w:val="left"/>
      <w:pPr>
        <w:tabs>
          <w:tab w:val="num" w:pos="1495"/>
        </w:tabs>
      </w:pPr>
    </w:lvl>
    <w:lvl w:ilvl="2" w:tplc="2CBEEEA6">
      <w:numFmt w:val="none"/>
      <w:lvlText w:val=""/>
      <w:lvlJc w:val="left"/>
      <w:pPr>
        <w:tabs>
          <w:tab w:val="num" w:pos="1495"/>
        </w:tabs>
      </w:pPr>
    </w:lvl>
    <w:lvl w:ilvl="3" w:tplc="EAE4D2EA">
      <w:numFmt w:val="none"/>
      <w:lvlText w:val=""/>
      <w:lvlJc w:val="left"/>
      <w:pPr>
        <w:tabs>
          <w:tab w:val="num" w:pos="1495"/>
        </w:tabs>
      </w:pPr>
    </w:lvl>
    <w:lvl w:ilvl="4" w:tplc="F3663818">
      <w:numFmt w:val="none"/>
      <w:lvlText w:val=""/>
      <w:lvlJc w:val="left"/>
      <w:pPr>
        <w:tabs>
          <w:tab w:val="num" w:pos="1495"/>
        </w:tabs>
      </w:pPr>
    </w:lvl>
    <w:lvl w:ilvl="5" w:tplc="3E0A7922">
      <w:numFmt w:val="none"/>
      <w:lvlText w:val=""/>
      <w:lvlJc w:val="left"/>
      <w:pPr>
        <w:tabs>
          <w:tab w:val="num" w:pos="1495"/>
        </w:tabs>
      </w:pPr>
    </w:lvl>
    <w:lvl w:ilvl="6" w:tplc="95CE98C0">
      <w:numFmt w:val="none"/>
      <w:lvlText w:val=""/>
      <w:lvlJc w:val="left"/>
      <w:pPr>
        <w:tabs>
          <w:tab w:val="num" w:pos="1495"/>
        </w:tabs>
      </w:pPr>
    </w:lvl>
    <w:lvl w:ilvl="7" w:tplc="7AB00ED4">
      <w:numFmt w:val="none"/>
      <w:lvlText w:val=""/>
      <w:lvlJc w:val="left"/>
      <w:pPr>
        <w:tabs>
          <w:tab w:val="num" w:pos="1495"/>
        </w:tabs>
      </w:pPr>
    </w:lvl>
    <w:lvl w:ilvl="8" w:tplc="1BEA36F6">
      <w:numFmt w:val="none"/>
      <w:lvlText w:val=""/>
      <w:lvlJc w:val="left"/>
      <w:pPr>
        <w:tabs>
          <w:tab w:val="num" w:pos="1495"/>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67"/>
    <w:rsid w:val="00060C94"/>
    <w:rsid w:val="001E5940"/>
    <w:rsid w:val="006A5E3D"/>
    <w:rsid w:val="00772DF5"/>
    <w:rsid w:val="00BD7883"/>
    <w:rsid w:val="00C94AC8"/>
    <w:rsid w:val="00F151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CB16"/>
  <w15:chartTrackingRefBased/>
  <w15:docId w15:val="{1615F8E1-C115-4D7C-B5B5-834E12BD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16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1516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15167"/>
    <w:pPr>
      <w:tabs>
        <w:tab w:val="center" w:pos="4153"/>
        <w:tab w:val="right" w:pos="8306"/>
      </w:tabs>
    </w:pPr>
  </w:style>
  <w:style w:type="character" w:customStyle="1" w:styleId="AntratsDiagrama">
    <w:name w:val="Antraštės Diagrama"/>
    <w:basedOn w:val="Numatytasispastraiposriftas"/>
    <w:link w:val="Antrats"/>
    <w:uiPriority w:val="99"/>
    <w:rsid w:val="00F15167"/>
    <w:rPr>
      <w:rFonts w:ascii="Times New Roman" w:eastAsia="Times New Roman" w:hAnsi="Times New Roman" w:cs="Times New Roman"/>
      <w:sz w:val="24"/>
      <w:szCs w:val="24"/>
    </w:rPr>
  </w:style>
  <w:style w:type="paragraph" w:styleId="Pavadinimas">
    <w:name w:val="Title"/>
    <w:basedOn w:val="Antrat1"/>
    <w:link w:val="PavadinimasDiagrama"/>
    <w:qFormat/>
    <w:rsid w:val="00F15167"/>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PavadinimasDiagrama">
    <w:name w:val="Pavadinimas Diagrama"/>
    <w:basedOn w:val="Numatytasispastraiposriftas"/>
    <w:link w:val="Pavadinimas"/>
    <w:rsid w:val="00F15167"/>
    <w:rPr>
      <w:rFonts w:ascii="Times New Roman" w:eastAsia="Times New Roman" w:hAnsi="Times New Roman" w:cs="Times New Roman"/>
      <w:b/>
      <w:bCs/>
      <w:caps/>
      <w:sz w:val="26"/>
      <w:szCs w:val="24"/>
    </w:rPr>
  </w:style>
  <w:style w:type="paragraph" w:styleId="Data">
    <w:name w:val="Date"/>
    <w:basedOn w:val="Antrats"/>
    <w:link w:val="DataDiagrama"/>
    <w:rsid w:val="00F15167"/>
    <w:pPr>
      <w:tabs>
        <w:tab w:val="clear" w:pos="4153"/>
        <w:tab w:val="clear" w:pos="8306"/>
      </w:tabs>
      <w:jc w:val="center"/>
    </w:pPr>
  </w:style>
  <w:style w:type="character" w:customStyle="1" w:styleId="DataDiagrama">
    <w:name w:val="Data Diagrama"/>
    <w:basedOn w:val="Numatytasispastraiposriftas"/>
    <w:link w:val="Data"/>
    <w:rsid w:val="00F1516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F15167"/>
    <w:pPr>
      <w:spacing w:after="120"/>
    </w:pPr>
  </w:style>
  <w:style w:type="character" w:customStyle="1" w:styleId="PagrindinistekstasDiagrama">
    <w:name w:val="Pagrindinis tekstas Diagrama"/>
    <w:basedOn w:val="Numatytasispastraiposriftas"/>
    <w:link w:val="Pagrindinistekstas"/>
    <w:rsid w:val="00F1516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F151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E8C6-078E-4DA8-8505-D214AC30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3636</Words>
  <Characters>2073</Characters>
  <Application>Microsoft Office Word</Application>
  <DocSecurity>0</DocSecurity>
  <Lines>17</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 NTA</dc:creator>
  <cp:keywords/>
  <dc:description/>
  <cp:lastModifiedBy>Company NTA</cp:lastModifiedBy>
  <cp:revision>2</cp:revision>
  <dcterms:created xsi:type="dcterms:W3CDTF">2021-07-27T07:38:00Z</dcterms:created>
  <dcterms:modified xsi:type="dcterms:W3CDTF">2021-07-27T07:46:00Z</dcterms:modified>
</cp:coreProperties>
</file>