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A549" w14:textId="77777777" w:rsidR="00460CB6" w:rsidRDefault="00460CB6" w:rsidP="00315E34">
      <w:pPr>
        <w:pStyle w:val="tactin"/>
        <w:spacing w:before="0" w:after="0"/>
        <w:jc w:val="right"/>
        <w:rPr>
          <w:rFonts w:ascii="Times New Roman" w:hAnsi="Times New Roman" w:cs="Times New Roman"/>
          <w:b/>
          <w:color w:val="000000"/>
        </w:rPr>
      </w:pPr>
    </w:p>
    <w:p w14:paraId="595E3F17" w14:textId="140E1D20" w:rsidR="00315E34" w:rsidRDefault="00974895" w:rsidP="00142767">
      <w:pPr>
        <w:pStyle w:val="tactin"/>
        <w:spacing w:before="0" w:after="0"/>
        <w:jc w:val="center"/>
        <w:rPr>
          <w:rFonts w:ascii="Times New Roman" w:hAnsi="Times New Roman" w:cs="Times New Roman"/>
          <w:b/>
          <w:color w:val="000000"/>
        </w:rPr>
      </w:pPr>
      <w:r>
        <w:rPr>
          <w:noProof/>
        </w:rPr>
        <w:drawing>
          <wp:inline distT="0" distB="0" distL="0" distR="0" wp14:anchorId="03AF9393" wp14:editId="01BD2F72">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19EE10B9" w14:textId="6037D7CA" w:rsidR="00142767" w:rsidRDefault="00142767" w:rsidP="00142767">
      <w:pPr>
        <w:pStyle w:val="tactin"/>
        <w:spacing w:before="0" w:after="0"/>
        <w:jc w:val="center"/>
        <w:rPr>
          <w:rFonts w:ascii="Times New Roman" w:hAnsi="Times New Roman" w:cs="Times New Roman"/>
          <w:b/>
          <w:color w:val="000000"/>
        </w:rPr>
      </w:pPr>
      <w:r>
        <w:rPr>
          <w:rFonts w:ascii="Times New Roman" w:hAnsi="Times New Roman" w:cs="Times New Roman"/>
          <w:b/>
          <w:color w:val="000000"/>
        </w:rPr>
        <w:t>TEISĖJŲ TARYBA</w:t>
      </w:r>
    </w:p>
    <w:p w14:paraId="5D0457CE" w14:textId="77777777" w:rsidR="00142767" w:rsidRDefault="00142767" w:rsidP="00142767">
      <w:pPr>
        <w:pStyle w:val="tactin"/>
        <w:spacing w:before="0" w:after="0"/>
        <w:jc w:val="center"/>
        <w:rPr>
          <w:rFonts w:ascii="Times New Roman" w:hAnsi="Times New Roman" w:cs="Times New Roman"/>
          <w:b/>
          <w:bCs/>
          <w:color w:val="000000"/>
        </w:rPr>
      </w:pPr>
    </w:p>
    <w:p w14:paraId="0AA9686F" w14:textId="77777777" w:rsidR="00142767" w:rsidRPr="00963EBD" w:rsidRDefault="00142767" w:rsidP="00142767">
      <w:pPr>
        <w:pStyle w:val="Pagrindinistekstas"/>
        <w:spacing w:after="0"/>
        <w:jc w:val="center"/>
        <w:rPr>
          <w:b/>
          <w:bCs/>
          <w:caps/>
          <w:color w:val="000000"/>
        </w:rPr>
      </w:pPr>
      <w:r w:rsidRPr="00963EBD">
        <w:rPr>
          <w:b/>
          <w:bCs/>
          <w:caps/>
          <w:color w:val="000000"/>
        </w:rPr>
        <w:t>NUTARIMAS</w:t>
      </w:r>
    </w:p>
    <w:p w14:paraId="201821B3" w14:textId="352A1CF4" w:rsidR="00142767" w:rsidRPr="00963EBD" w:rsidRDefault="00142767" w:rsidP="00142767">
      <w:pPr>
        <w:jc w:val="center"/>
        <w:rPr>
          <w:b/>
          <w:bCs/>
          <w:caps/>
        </w:rPr>
      </w:pPr>
      <w:r w:rsidRPr="00963EBD">
        <w:rPr>
          <w:b/>
          <w:bCs/>
          <w:caps/>
        </w:rPr>
        <w:t>DĖL</w:t>
      </w:r>
      <w:r w:rsidR="000319FB" w:rsidRPr="000319FB">
        <w:rPr>
          <w:b/>
          <w:bCs/>
          <w:caps/>
        </w:rPr>
        <w:t xml:space="preserve"> </w:t>
      </w:r>
      <w:r w:rsidR="000319FB">
        <w:rPr>
          <w:b/>
          <w:bCs/>
          <w:caps/>
        </w:rPr>
        <w:t xml:space="preserve">mokėjimO </w:t>
      </w:r>
      <w:r w:rsidR="000319FB" w:rsidRPr="00963EBD">
        <w:rPr>
          <w:b/>
          <w:bCs/>
          <w:caps/>
        </w:rPr>
        <w:t>už</w:t>
      </w:r>
      <w:r w:rsidR="000319FB">
        <w:rPr>
          <w:b/>
          <w:bCs/>
          <w:caps/>
        </w:rPr>
        <w:t xml:space="preserve"> darbą ir</w:t>
      </w:r>
      <w:r w:rsidR="000319FB" w:rsidRPr="00963EBD">
        <w:rPr>
          <w:b/>
          <w:bCs/>
          <w:caps/>
        </w:rPr>
        <w:t xml:space="preserve"> budėjimą poilsio ir švenčių dienomis bei pavadavimą</w:t>
      </w:r>
      <w:r w:rsidR="000319FB">
        <w:rPr>
          <w:b/>
          <w:bCs/>
          <w:caps/>
        </w:rPr>
        <w:t xml:space="preserve">, </w:t>
      </w:r>
      <w:r w:rsidRPr="00963EBD">
        <w:rPr>
          <w:b/>
          <w:bCs/>
          <w:caps/>
        </w:rPr>
        <w:t xml:space="preserve"> PRIEMOKŲ UŽ PADIDĖJUSĮ DARBO KRŪVĮ SKYRIMO IR MOKĖJIMO</w:t>
      </w:r>
      <w:r w:rsidR="00963EBD" w:rsidRPr="00963EBD">
        <w:rPr>
          <w:b/>
          <w:bCs/>
          <w:caps/>
        </w:rPr>
        <w:t xml:space="preserve"> BENDROSIOS KOMPETENCIJOS IR SPECIALIZUOTŲ TEISMŲ TEISĖJAMS </w:t>
      </w:r>
      <w:r w:rsidRPr="00963EBD">
        <w:rPr>
          <w:b/>
          <w:bCs/>
          <w:caps/>
        </w:rPr>
        <w:t xml:space="preserve">TVARKOS APRAŠO PATVIRTINIMO </w:t>
      </w:r>
    </w:p>
    <w:p w14:paraId="58D18C6B" w14:textId="77777777" w:rsidR="00142767" w:rsidRPr="00D47B92" w:rsidRDefault="00142767" w:rsidP="00142767">
      <w:pPr>
        <w:jc w:val="center"/>
        <w:rPr>
          <w:b/>
        </w:rPr>
      </w:pPr>
    </w:p>
    <w:p w14:paraId="7A04CE24" w14:textId="45333B7D" w:rsidR="00142767" w:rsidRDefault="00142767" w:rsidP="00142767">
      <w:pPr>
        <w:jc w:val="center"/>
      </w:pPr>
      <w:r w:rsidRPr="00D47B92">
        <w:t>20</w:t>
      </w:r>
      <w:r>
        <w:t>21</w:t>
      </w:r>
      <w:r w:rsidRPr="00D47B92">
        <w:t xml:space="preserve"> m.</w:t>
      </w:r>
      <w:r w:rsidR="00974895">
        <w:t xml:space="preserve"> gruodžio 20</w:t>
      </w:r>
      <w:r w:rsidRPr="00D47B92">
        <w:t xml:space="preserve"> d. Nr. </w:t>
      </w:r>
      <w:r w:rsidRPr="00054C9C">
        <w:t>13P-</w:t>
      </w:r>
      <w:r w:rsidR="00DB6530">
        <w:t>155</w:t>
      </w:r>
      <w:r w:rsidRPr="00054C9C">
        <w:t>-(7.1.2</w:t>
      </w:r>
      <w:r>
        <w:t>.</w:t>
      </w:r>
      <w:r w:rsidRPr="00054C9C">
        <w:t>)</w:t>
      </w:r>
    </w:p>
    <w:p w14:paraId="25654326" w14:textId="77777777" w:rsidR="00142767" w:rsidRPr="00D47B92" w:rsidRDefault="00142767" w:rsidP="00142767">
      <w:pPr>
        <w:jc w:val="center"/>
      </w:pPr>
      <w:r w:rsidRPr="00D47B92">
        <w:t>Vilnius</w:t>
      </w:r>
    </w:p>
    <w:p w14:paraId="490E66DE" w14:textId="77777777" w:rsidR="00315E34" w:rsidRPr="00D47B92" w:rsidRDefault="00315E34" w:rsidP="00142767">
      <w:pPr>
        <w:jc w:val="center"/>
      </w:pPr>
    </w:p>
    <w:p w14:paraId="342CCF0C" w14:textId="61D6C352" w:rsidR="00142767" w:rsidRPr="006672E5" w:rsidRDefault="00142767" w:rsidP="00142767">
      <w:pPr>
        <w:ind w:firstLine="720"/>
        <w:jc w:val="both"/>
      </w:pPr>
      <w:r w:rsidRPr="006672E5">
        <w:t xml:space="preserve">Teisėjų taryba, </w:t>
      </w:r>
      <w:r w:rsidRPr="006672E5">
        <w:rPr>
          <w:shd w:val="clear" w:color="auto" w:fill="FFFFFF"/>
        </w:rPr>
        <w:t>va</w:t>
      </w:r>
      <w:r w:rsidRPr="006672E5">
        <w:t xml:space="preserve">dovaudamasi Lietuvos Respublikos teisėjų </w:t>
      </w:r>
      <w:r w:rsidR="00AB0002" w:rsidRPr="006672E5">
        <w:t>darbo apmokėjimo</w:t>
      </w:r>
      <w:r w:rsidRPr="006672E5">
        <w:t xml:space="preserve"> įstatymo </w:t>
      </w:r>
      <w:r w:rsidR="00AB0002" w:rsidRPr="006672E5">
        <w:t xml:space="preserve">6 straipsnio 7 dalimi </w:t>
      </w:r>
      <w:r w:rsidRPr="006672E5">
        <w:t xml:space="preserve">ir </w:t>
      </w:r>
      <w:r w:rsidR="00AB0002" w:rsidRPr="006672E5">
        <w:t>7</w:t>
      </w:r>
      <w:r w:rsidRPr="006672E5">
        <w:t xml:space="preserve"> straip</w:t>
      </w:r>
      <w:r w:rsidR="00AB0002" w:rsidRPr="006672E5">
        <w:t>snio 2 dalimi</w:t>
      </w:r>
      <w:r w:rsidRPr="006672E5">
        <w:t>, Lietuvos Respublikos teismų įstatymo 120 straipsnio 17 punktu,  n u t a r i a:</w:t>
      </w:r>
    </w:p>
    <w:p w14:paraId="360FCC50" w14:textId="07B99049" w:rsidR="00142767" w:rsidRPr="002E632B" w:rsidRDefault="00142767" w:rsidP="00142767">
      <w:pPr>
        <w:ind w:firstLine="720"/>
        <w:jc w:val="both"/>
        <w:rPr>
          <w:bCs/>
        </w:rPr>
      </w:pPr>
      <w:r w:rsidRPr="0075407E">
        <w:rPr>
          <w:color w:val="000000"/>
        </w:rPr>
        <w:t>1. Pa</w:t>
      </w:r>
      <w:r>
        <w:rPr>
          <w:color w:val="000000"/>
        </w:rPr>
        <w:t>tvirtinti</w:t>
      </w:r>
      <w:r w:rsidR="00AB0002">
        <w:rPr>
          <w:color w:val="000000"/>
        </w:rPr>
        <w:t xml:space="preserve"> </w:t>
      </w:r>
      <w:bookmarkStart w:id="0" w:name="_Hlk90449529"/>
      <w:bookmarkStart w:id="1" w:name="_Hlk90449828"/>
      <w:r w:rsidR="000319FB" w:rsidRPr="000319FB">
        <w:rPr>
          <w:color w:val="000000"/>
        </w:rPr>
        <w:t xml:space="preserve">Mokėjimo </w:t>
      </w:r>
      <w:r w:rsidR="00AB0002" w:rsidRPr="000319FB">
        <w:t xml:space="preserve">už </w:t>
      </w:r>
      <w:r w:rsidR="00F13F94" w:rsidRPr="000319FB">
        <w:t xml:space="preserve">darbą ir </w:t>
      </w:r>
      <w:r w:rsidR="00AB0002" w:rsidRPr="000319FB">
        <w:t>budėjimą poilsio ir švenčių dienomis bei pavadavimą</w:t>
      </w:r>
      <w:r w:rsidR="000319FB" w:rsidRPr="000319FB">
        <w:t>, p</w:t>
      </w:r>
      <w:r w:rsidR="000319FB" w:rsidRPr="000319FB">
        <w:rPr>
          <w:color w:val="000000"/>
        </w:rPr>
        <w:t xml:space="preserve">riemokų už padidėjusį darbo krūvį skyrimo ir mokėjimo </w:t>
      </w:r>
      <w:r w:rsidR="00AB0002" w:rsidRPr="000319FB">
        <w:t>bendrosios kompetencijos ir specializuotų teismų teisėjams</w:t>
      </w:r>
      <w:r w:rsidR="00AB0002" w:rsidRPr="00B02BD9">
        <w:t xml:space="preserve"> tvarkos apraš</w:t>
      </w:r>
      <w:bookmarkEnd w:id="0"/>
      <w:r w:rsidR="00AB0002" w:rsidRPr="00B02BD9">
        <w:t>ą</w:t>
      </w:r>
      <w:r w:rsidR="00AB0002">
        <w:rPr>
          <w:b/>
          <w:bCs/>
        </w:rPr>
        <w:t xml:space="preserve"> </w:t>
      </w:r>
      <w:bookmarkEnd w:id="1"/>
      <w:r w:rsidRPr="002E632B">
        <w:rPr>
          <w:bCs/>
        </w:rPr>
        <w:t>(pridedama).</w:t>
      </w:r>
    </w:p>
    <w:p w14:paraId="4DB6C0C0" w14:textId="77777777" w:rsidR="00A84E2D" w:rsidRDefault="00142767" w:rsidP="00A84E2D">
      <w:pPr>
        <w:ind w:firstLine="720"/>
        <w:jc w:val="both"/>
        <w:rPr>
          <w:bCs/>
        </w:rPr>
      </w:pPr>
      <w:r w:rsidRPr="00A84E2D">
        <w:rPr>
          <w:bCs/>
        </w:rPr>
        <w:t xml:space="preserve">2. </w:t>
      </w:r>
      <w:r w:rsidR="00315E34" w:rsidRPr="00A84E2D">
        <w:rPr>
          <w:bCs/>
        </w:rPr>
        <w:t>Pripažinti netekusiais galios:</w:t>
      </w:r>
    </w:p>
    <w:p w14:paraId="153CC50D" w14:textId="0C3E5104" w:rsidR="00C75B33" w:rsidRPr="00A84E2D" w:rsidRDefault="00A84E2D" w:rsidP="00A84E2D">
      <w:pPr>
        <w:ind w:firstLine="720"/>
        <w:jc w:val="both"/>
        <w:rPr>
          <w:bCs/>
        </w:rPr>
      </w:pPr>
      <w:r>
        <w:rPr>
          <w:bCs/>
        </w:rPr>
        <w:t>2</w:t>
      </w:r>
      <w:r w:rsidR="00315E34" w:rsidRPr="00A84E2D">
        <w:rPr>
          <w:bCs/>
        </w:rPr>
        <w:t>.1.</w:t>
      </w:r>
      <w:r>
        <w:rPr>
          <w:bCs/>
        </w:rPr>
        <w:t xml:space="preserve"> </w:t>
      </w:r>
      <w:r w:rsidR="00C75B33" w:rsidRPr="00A84E2D">
        <w:rPr>
          <w:bCs/>
        </w:rPr>
        <w:t>Teisėjų tarybos 2014 m. gruodžio 19 d. nutarim</w:t>
      </w:r>
      <w:r w:rsidR="00B02BD9" w:rsidRPr="00A84E2D">
        <w:rPr>
          <w:bCs/>
        </w:rPr>
        <w:t>ą</w:t>
      </w:r>
      <w:r w:rsidR="00C75B33" w:rsidRPr="00A84E2D">
        <w:rPr>
          <w:bCs/>
        </w:rPr>
        <w:t xml:space="preserve"> Nr. 13P-167-(7.1.2)</w:t>
      </w:r>
      <w:r w:rsidR="00B02BD9" w:rsidRPr="00A84E2D">
        <w:rPr>
          <w:bCs/>
        </w:rPr>
        <w:t xml:space="preserve"> „Dėl Pavyzdinio kompensavimo teisėjams už viršvalandinį darbą, darbą poilsio ir švenčių dienomis bei budėjimą tvarkos aprašo patvirtinimo“ </w:t>
      </w:r>
      <w:r w:rsidR="00C75B33" w:rsidRPr="00A84E2D">
        <w:rPr>
          <w:bCs/>
        </w:rPr>
        <w:t xml:space="preserve">(su visais pakeitimais ir papildymais); </w:t>
      </w:r>
    </w:p>
    <w:p w14:paraId="187E27D7" w14:textId="10036776" w:rsidR="00142767" w:rsidRPr="00A84E2D" w:rsidRDefault="00A84E2D" w:rsidP="00A84E2D">
      <w:pPr>
        <w:ind w:firstLine="720"/>
        <w:jc w:val="both"/>
        <w:rPr>
          <w:bCs/>
        </w:rPr>
      </w:pPr>
      <w:r>
        <w:rPr>
          <w:bCs/>
        </w:rPr>
        <w:t>2</w:t>
      </w:r>
      <w:r w:rsidR="00315E34" w:rsidRPr="00A84E2D">
        <w:rPr>
          <w:bCs/>
        </w:rPr>
        <w:t xml:space="preserve">.2. </w:t>
      </w:r>
      <w:r w:rsidR="00B02BD9" w:rsidRPr="00A84E2D">
        <w:rPr>
          <w:bCs/>
        </w:rPr>
        <w:t xml:space="preserve">Teisėjų tarybos </w:t>
      </w:r>
      <w:r w:rsidR="00315E34" w:rsidRPr="00A84E2D">
        <w:rPr>
          <w:bCs/>
        </w:rPr>
        <w:t xml:space="preserve">2021 </w:t>
      </w:r>
      <w:r w:rsidR="00B02BD9" w:rsidRPr="00A84E2D">
        <w:rPr>
          <w:bCs/>
        </w:rPr>
        <w:t>m. liepos 23 d. nutarimą</w:t>
      </w:r>
      <w:r w:rsidR="00315E34" w:rsidRPr="00A84E2D">
        <w:rPr>
          <w:bCs/>
        </w:rPr>
        <w:t xml:space="preserve">  N</w:t>
      </w:r>
      <w:r w:rsidR="00B02BD9" w:rsidRPr="00A84E2D">
        <w:rPr>
          <w:bCs/>
        </w:rPr>
        <w:t>r</w:t>
      </w:r>
      <w:r w:rsidR="00315E34" w:rsidRPr="00A84E2D">
        <w:rPr>
          <w:bCs/>
        </w:rPr>
        <w:t>. 13P-98-(7.1.2) „D</w:t>
      </w:r>
      <w:r>
        <w:rPr>
          <w:bCs/>
        </w:rPr>
        <w:t xml:space="preserve">ėl </w:t>
      </w:r>
      <w:r w:rsidRPr="00A84E2D">
        <w:rPr>
          <w:bCs/>
        </w:rPr>
        <w:t>p</w:t>
      </w:r>
      <w:r w:rsidR="00B02BD9" w:rsidRPr="00A84E2D">
        <w:rPr>
          <w:bCs/>
        </w:rPr>
        <w:t xml:space="preserve">riemokų </w:t>
      </w:r>
      <w:r w:rsidR="00B02BD9" w:rsidRPr="00A84E2D">
        <w:rPr>
          <w:bCs/>
          <w:color w:val="000000"/>
        </w:rPr>
        <w:t>už padidėjusį darbo krūvį skyrimo ir mokėjimo</w:t>
      </w:r>
      <w:r w:rsidR="00B02BD9" w:rsidRPr="00A84E2D">
        <w:rPr>
          <w:bCs/>
        </w:rPr>
        <w:t xml:space="preserve"> bendrosios kompetencijos ir specializuotų teismų teisėjams tvarkos apraš</w:t>
      </w:r>
      <w:r w:rsidRPr="00A84E2D">
        <w:rPr>
          <w:bCs/>
        </w:rPr>
        <w:t>o patvirtinimo“  (su visais pakeitimais ir papildymais)</w:t>
      </w:r>
      <w:r w:rsidR="0054737F">
        <w:rPr>
          <w:bCs/>
        </w:rPr>
        <w:t>.</w:t>
      </w:r>
    </w:p>
    <w:p w14:paraId="2405C4A6" w14:textId="37F0299E" w:rsidR="00315E34" w:rsidRDefault="00A84E2D" w:rsidP="00315E34">
      <w:pPr>
        <w:ind w:firstLine="720"/>
        <w:jc w:val="both"/>
        <w:rPr>
          <w:rFonts w:eastAsia="Calibri"/>
        </w:rPr>
      </w:pPr>
      <w:r>
        <w:rPr>
          <w:bCs/>
        </w:rPr>
        <w:t>3</w:t>
      </w:r>
      <w:r w:rsidR="00FC43DC">
        <w:rPr>
          <w:bCs/>
        </w:rPr>
        <w:t xml:space="preserve">. </w:t>
      </w:r>
      <w:r w:rsidR="00AB0002" w:rsidRPr="002E632B">
        <w:rPr>
          <w:bCs/>
        </w:rPr>
        <w:t>Nustatyti, kad</w:t>
      </w:r>
      <w:r w:rsidR="00AB0002" w:rsidRPr="002E632B">
        <w:rPr>
          <w:rFonts w:eastAsia="Calibri"/>
          <w:bCs/>
          <w:color w:val="000000"/>
        </w:rPr>
        <w:t xml:space="preserve"> </w:t>
      </w:r>
      <w:r w:rsidR="00AB0002" w:rsidRPr="00E37AC9">
        <w:rPr>
          <w:rFonts w:eastAsia="Calibri"/>
        </w:rPr>
        <w:t>šis nutarimas įsigalioja 202</w:t>
      </w:r>
      <w:r w:rsidRPr="00E37AC9">
        <w:rPr>
          <w:rFonts w:eastAsia="Calibri"/>
        </w:rPr>
        <w:t>2</w:t>
      </w:r>
      <w:r w:rsidR="00AB0002" w:rsidRPr="00E37AC9">
        <w:rPr>
          <w:rFonts w:eastAsia="Calibri"/>
        </w:rPr>
        <w:t xml:space="preserve"> m. </w:t>
      </w:r>
      <w:r w:rsidR="00FC43DC" w:rsidRPr="00E37AC9">
        <w:rPr>
          <w:rFonts w:eastAsia="Calibri"/>
        </w:rPr>
        <w:t>sausio</w:t>
      </w:r>
      <w:r w:rsidR="00AB0002" w:rsidRPr="00E37AC9">
        <w:rPr>
          <w:rFonts w:eastAsia="Calibri"/>
        </w:rPr>
        <w:t xml:space="preserve"> 1 d.</w:t>
      </w:r>
    </w:p>
    <w:p w14:paraId="13797335" w14:textId="40EA720F" w:rsidR="00974895" w:rsidRDefault="00974895" w:rsidP="00315E34">
      <w:pPr>
        <w:ind w:firstLine="720"/>
        <w:jc w:val="both"/>
        <w:rPr>
          <w:rFonts w:eastAsia="Calibri"/>
        </w:rPr>
      </w:pPr>
    </w:p>
    <w:p w14:paraId="7D269199" w14:textId="77777777" w:rsidR="00974895" w:rsidRDefault="00974895" w:rsidP="00315E34">
      <w:pPr>
        <w:ind w:firstLine="720"/>
        <w:jc w:val="both"/>
        <w:rPr>
          <w:rFonts w:eastAsia="Calibri"/>
        </w:rPr>
      </w:pPr>
    </w:p>
    <w:p w14:paraId="50946D91" w14:textId="77777777" w:rsidR="00974895" w:rsidRDefault="00974895" w:rsidP="00974895">
      <w:pPr>
        <w:jc w:val="both"/>
        <w:rPr>
          <w:rFonts w:eastAsia="Calibri"/>
        </w:rPr>
      </w:pPr>
      <w:r>
        <w:rPr>
          <w:rFonts w:eastAsia="Calibri"/>
        </w:rPr>
        <w:t xml:space="preserve">Pirmininkė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Sigita </w:t>
      </w:r>
      <w:proofErr w:type="spellStart"/>
      <w:r>
        <w:rPr>
          <w:rFonts w:eastAsia="Calibri"/>
        </w:rPr>
        <w:t>Rudėnaitė</w:t>
      </w:r>
      <w:proofErr w:type="spellEnd"/>
    </w:p>
    <w:p w14:paraId="693C2173" w14:textId="77777777" w:rsidR="00974895" w:rsidRDefault="00974895" w:rsidP="00974895">
      <w:pPr>
        <w:ind w:firstLine="720"/>
        <w:jc w:val="both"/>
        <w:rPr>
          <w:rFonts w:eastAsia="Calibri"/>
        </w:rPr>
      </w:pPr>
    </w:p>
    <w:p w14:paraId="42DC2772" w14:textId="77777777" w:rsidR="00974895" w:rsidRDefault="00974895" w:rsidP="00974895">
      <w:pPr>
        <w:ind w:firstLine="720"/>
        <w:jc w:val="both"/>
        <w:rPr>
          <w:rFonts w:eastAsia="Calibri"/>
        </w:rPr>
      </w:pPr>
    </w:p>
    <w:p w14:paraId="12E2251F" w14:textId="77777777" w:rsidR="00974895" w:rsidRPr="00FC43DC" w:rsidRDefault="00974895" w:rsidP="00974895">
      <w:pPr>
        <w:jc w:val="both"/>
        <w:rPr>
          <w:b/>
          <w:color w:val="FF0000"/>
        </w:rPr>
      </w:pPr>
      <w:r>
        <w:rPr>
          <w:rFonts w:eastAsia="Calibri"/>
        </w:rPr>
        <w:t>Sekretorius</w:t>
      </w:r>
      <w:r>
        <w:rPr>
          <w:rFonts w:eastAsia="Calibri"/>
        </w:rPr>
        <w:tab/>
      </w:r>
      <w:r>
        <w:rPr>
          <w:rFonts w:eastAsia="Calibri"/>
        </w:rPr>
        <w:tab/>
      </w:r>
      <w:r>
        <w:rPr>
          <w:rFonts w:eastAsia="Calibri"/>
        </w:rPr>
        <w:tab/>
      </w:r>
      <w:r>
        <w:rPr>
          <w:rFonts w:eastAsia="Calibri"/>
        </w:rPr>
        <w:tab/>
        <w:t xml:space="preserve">           </w:t>
      </w:r>
      <w:r>
        <w:rPr>
          <w:rFonts w:eastAsia="Calibri"/>
        </w:rPr>
        <w:tab/>
        <w:t xml:space="preserve">            Ramūnas Gadliauskas</w:t>
      </w:r>
    </w:p>
    <w:p w14:paraId="137EB369" w14:textId="77777777" w:rsidR="00974895" w:rsidRPr="007477B9" w:rsidRDefault="00974895" w:rsidP="00315E34">
      <w:pPr>
        <w:ind w:firstLine="720"/>
        <w:jc w:val="both"/>
        <w:rPr>
          <w:b/>
        </w:rPr>
      </w:pPr>
    </w:p>
    <w:p w14:paraId="52DB09F2" w14:textId="06A6E4FC" w:rsidR="00315E34" w:rsidRDefault="00315E34" w:rsidP="00315E34">
      <w:pPr>
        <w:ind w:firstLine="720"/>
        <w:jc w:val="both"/>
      </w:pPr>
    </w:p>
    <w:p w14:paraId="4BAB5D28" w14:textId="19E7E686" w:rsidR="00974895" w:rsidRDefault="00974895" w:rsidP="00315E34">
      <w:pPr>
        <w:ind w:firstLine="720"/>
        <w:jc w:val="both"/>
      </w:pPr>
    </w:p>
    <w:p w14:paraId="708350D5" w14:textId="53D4A3D1" w:rsidR="00974895" w:rsidRDefault="00974895" w:rsidP="00315E34">
      <w:pPr>
        <w:ind w:firstLine="720"/>
        <w:jc w:val="both"/>
      </w:pPr>
    </w:p>
    <w:p w14:paraId="534E8E2D" w14:textId="77777777" w:rsidR="00974895" w:rsidRDefault="00974895" w:rsidP="00974895">
      <w:pPr>
        <w:ind w:firstLine="720"/>
        <w:jc w:val="both"/>
      </w:pPr>
    </w:p>
    <w:p w14:paraId="203A23B9" w14:textId="77777777" w:rsidR="00974895" w:rsidRDefault="00974895" w:rsidP="00974895">
      <w:pPr>
        <w:tabs>
          <w:tab w:val="left" w:pos="1418"/>
          <w:tab w:val="left" w:pos="1560"/>
        </w:tabs>
        <w:ind w:firstLine="1134"/>
        <w:jc w:val="both"/>
      </w:pPr>
    </w:p>
    <w:p w14:paraId="1F9D622B" w14:textId="77777777" w:rsidR="00974895" w:rsidRDefault="00974895" w:rsidP="00315E34">
      <w:pPr>
        <w:ind w:firstLine="720"/>
        <w:jc w:val="both"/>
      </w:pPr>
    </w:p>
    <w:p w14:paraId="06191468" w14:textId="77777777" w:rsidR="006A727E" w:rsidRDefault="006A727E" w:rsidP="00315E34">
      <w:pPr>
        <w:ind w:firstLine="720"/>
        <w:jc w:val="both"/>
      </w:pPr>
    </w:p>
    <w:p w14:paraId="5E9BEC8C" w14:textId="77777777" w:rsidR="00142767" w:rsidRDefault="00142767" w:rsidP="00142767">
      <w:pPr>
        <w:tabs>
          <w:tab w:val="left" w:pos="1418"/>
          <w:tab w:val="left" w:pos="1560"/>
        </w:tabs>
        <w:ind w:firstLine="1134"/>
        <w:jc w:val="both"/>
      </w:pPr>
    </w:p>
    <w:p w14:paraId="1ECE9A71" w14:textId="77777777" w:rsidR="00142767" w:rsidRDefault="00142767" w:rsidP="00142767">
      <w:pPr>
        <w:ind w:left="5954"/>
      </w:pPr>
    </w:p>
    <w:p w14:paraId="7707A3E2" w14:textId="77777777" w:rsidR="00142767" w:rsidRDefault="00142767" w:rsidP="00142767">
      <w:pPr>
        <w:ind w:left="5954"/>
      </w:pPr>
    </w:p>
    <w:p w14:paraId="7B271633" w14:textId="77777777" w:rsidR="00142767" w:rsidRDefault="00142767" w:rsidP="00142767">
      <w:pPr>
        <w:ind w:left="5954"/>
      </w:pPr>
    </w:p>
    <w:p w14:paraId="258BA188" w14:textId="77777777" w:rsidR="00142767" w:rsidRDefault="00142767" w:rsidP="00142767">
      <w:pPr>
        <w:ind w:left="5954"/>
      </w:pPr>
    </w:p>
    <w:p w14:paraId="78C0B3BF" w14:textId="77777777" w:rsidR="00142767" w:rsidRDefault="00142767" w:rsidP="00142767">
      <w:pPr>
        <w:tabs>
          <w:tab w:val="right" w:pos="9638"/>
        </w:tabs>
        <w:ind w:left="5954"/>
        <w:rPr>
          <w:caps/>
        </w:rPr>
      </w:pPr>
      <w:r>
        <w:rPr>
          <w:caps/>
        </w:rPr>
        <w:br w:type="page"/>
      </w:r>
      <w:r>
        <w:rPr>
          <w:caps/>
        </w:rPr>
        <w:lastRenderedPageBreak/>
        <w:t>PATVIRTINTA</w:t>
      </w:r>
    </w:p>
    <w:p w14:paraId="13BCA252" w14:textId="77777777" w:rsidR="00142767" w:rsidRDefault="00142767" w:rsidP="00142767">
      <w:pPr>
        <w:tabs>
          <w:tab w:val="right" w:pos="9638"/>
        </w:tabs>
        <w:ind w:left="5954"/>
      </w:pPr>
      <w:r>
        <w:t xml:space="preserve">Teisėjų tarybos </w:t>
      </w:r>
    </w:p>
    <w:p w14:paraId="5FB93F9F" w14:textId="77777777" w:rsidR="00DB6530" w:rsidRDefault="00142767" w:rsidP="00142767">
      <w:pPr>
        <w:tabs>
          <w:tab w:val="right" w:pos="9638"/>
        </w:tabs>
        <w:ind w:left="5954"/>
        <w:jc w:val="both"/>
      </w:pPr>
      <w:r>
        <w:t>202</w:t>
      </w:r>
      <w:r w:rsidR="00DB6530">
        <w:t>1</w:t>
      </w:r>
      <w:r>
        <w:t xml:space="preserve"> m</w:t>
      </w:r>
      <w:r w:rsidR="00DB6530">
        <w:t xml:space="preserve">. </w:t>
      </w:r>
      <w:r w:rsidR="00DB6530">
        <w:t>gruodžio 20</w:t>
      </w:r>
      <w:r w:rsidR="00DB6530">
        <w:t xml:space="preserve"> </w:t>
      </w:r>
      <w:r>
        <w:t xml:space="preserve">d. </w:t>
      </w:r>
    </w:p>
    <w:p w14:paraId="4BF20068" w14:textId="34A9BC41" w:rsidR="00142767" w:rsidRDefault="00142767" w:rsidP="00142767">
      <w:pPr>
        <w:tabs>
          <w:tab w:val="right" w:pos="9638"/>
        </w:tabs>
        <w:ind w:left="5954"/>
        <w:jc w:val="both"/>
      </w:pPr>
      <w:r>
        <w:t>nutarimu</w:t>
      </w:r>
      <w:r w:rsidR="00DB6530">
        <w:t xml:space="preserve"> </w:t>
      </w:r>
      <w:r>
        <w:t xml:space="preserve">Nr. </w:t>
      </w:r>
      <w:r w:rsidRPr="00054C9C">
        <w:t xml:space="preserve">13P- </w:t>
      </w:r>
      <w:r w:rsidR="00DB6530">
        <w:t>155</w:t>
      </w:r>
      <w:r w:rsidRPr="00054C9C">
        <w:t>-(7.1.2</w:t>
      </w:r>
      <w:r>
        <w:t>.</w:t>
      </w:r>
      <w:r w:rsidRPr="00054C9C">
        <w:t>)</w:t>
      </w:r>
    </w:p>
    <w:p w14:paraId="2D77DBDF" w14:textId="77777777" w:rsidR="00142767" w:rsidRDefault="00142767" w:rsidP="00142767">
      <w:pPr>
        <w:tabs>
          <w:tab w:val="right" w:pos="9638"/>
        </w:tabs>
        <w:jc w:val="right"/>
      </w:pPr>
    </w:p>
    <w:p w14:paraId="6A3ABA13" w14:textId="178FE433" w:rsidR="00142767" w:rsidRPr="00054C9C" w:rsidRDefault="000319FB" w:rsidP="00142767">
      <w:pPr>
        <w:suppressAutoHyphens/>
        <w:autoSpaceDN w:val="0"/>
        <w:jc w:val="center"/>
        <w:textAlignment w:val="baseline"/>
        <w:rPr>
          <w:b/>
          <w:bCs/>
        </w:rPr>
      </w:pPr>
      <w:r w:rsidRPr="000319FB">
        <w:rPr>
          <w:b/>
          <w:bCs/>
          <w:caps/>
        </w:rPr>
        <w:t xml:space="preserve">Mokėjimo </w:t>
      </w:r>
      <w:r w:rsidR="00F14C9C" w:rsidRPr="00963EBD">
        <w:rPr>
          <w:b/>
          <w:bCs/>
          <w:caps/>
        </w:rPr>
        <w:t xml:space="preserve">už </w:t>
      </w:r>
      <w:r w:rsidR="00F13F94">
        <w:rPr>
          <w:b/>
          <w:bCs/>
          <w:caps/>
        </w:rPr>
        <w:t xml:space="preserve">darbą ir </w:t>
      </w:r>
      <w:r w:rsidR="00F14C9C" w:rsidRPr="00963EBD">
        <w:rPr>
          <w:b/>
          <w:bCs/>
          <w:caps/>
        </w:rPr>
        <w:t>budėjimą poilsio ir švenčių dienomis bei pavadavimą</w:t>
      </w:r>
      <w:r>
        <w:rPr>
          <w:b/>
          <w:bCs/>
          <w:caps/>
        </w:rPr>
        <w:t xml:space="preserve">, </w:t>
      </w:r>
      <w:r w:rsidRPr="00963EBD">
        <w:rPr>
          <w:b/>
          <w:bCs/>
          <w:caps/>
        </w:rPr>
        <w:t>PRIEMOKŲ UŽ PADIDĖJUSĮ DARBO KRŪVĮ SKYRIMO IR MOKĖJIMO</w:t>
      </w:r>
      <w:r w:rsidR="00F14C9C">
        <w:rPr>
          <w:b/>
          <w:bCs/>
          <w:caps/>
        </w:rPr>
        <w:t xml:space="preserve"> </w:t>
      </w:r>
      <w:r w:rsidR="00F14C9C" w:rsidRPr="00963EBD">
        <w:rPr>
          <w:b/>
          <w:bCs/>
          <w:caps/>
        </w:rPr>
        <w:t xml:space="preserve">BENDROSIOS KOMPETENCIJOS IR SPECIALIZUOTŲ TEISMŲ TEISĖJAMS </w:t>
      </w:r>
      <w:r w:rsidR="00142767" w:rsidRPr="00054C9C">
        <w:rPr>
          <w:b/>
          <w:bCs/>
        </w:rPr>
        <w:t>TVARKOS APRAŠAS</w:t>
      </w:r>
    </w:p>
    <w:p w14:paraId="6A01505A" w14:textId="77777777" w:rsidR="00142767" w:rsidRPr="00054C9C" w:rsidRDefault="00142767" w:rsidP="00142767">
      <w:pPr>
        <w:suppressAutoHyphens/>
        <w:autoSpaceDN w:val="0"/>
        <w:jc w:val="center"/>
        <w:textAlignment w:val="baseline"/>
        <w:rPr>
          <w:b/>
          <w:bCs/>
        </w:rPr>
      </w:pPr>
    </w:p>
    <w:p w14:paraId="4F748AA6" w14:textId="77777777" w:rsidR="00142767" w:rsidRPr="00054C9C" w:rsidRDefault="00142767" w:rsidP="00142767">
      <w:pPr>
        <w:suppressAutoHyphens/>
        <w:autoSpaceDN w:val="0"/>
        <w:jc w:val="center"/>
        <w:textAlignment w:val="baseline"/>
        <w:rPr>
          <w:b/>
          <w:bCs/>
        </w:rPr>
      </w:pPr>
      <w:r w:rsidRPr="00054C9C">
        <w:rPr>
          <w:b/>
          <w:bCs/>
        </w:rPr>
        <w:t>I. BENDROSIOS NUOSTATOS</w:t>
      </w:r>
    </w:p>
    <w:p w14:paraId="44F7E91B" w14:textId="77777777" w:rsidR="00142767" w:rsidRPr="00054C9C" w:rsidRDefault="00142767" w:rsidP="00142767">
      <w:pPr>
        <w:suppressAutoHyphens/>
        <w:autoSpaceDN w:val="0"/>
        <w:jc w:val="both"/>
        <w:textAlignment w:val="baseline"/>
        <w:rPr>
          <w:caps/>
        </w:rPr>
      </w:pPr>
    </w:p>
    <w:p w14:paraId="7AEF6CA1" w14:textId="701C6E69" w:rsidR="00444A12" w:rsidRPr="00444A12" w:rsidRDefault="00142767" w:rsidP="00990278">
      <w:pPr>
        <w:tabs>
          <w:tab w:val="left" w:pos="709"/>
          <w:tab w:val="left" w:pos="1134"/>
        </w:tabs>
        <w:suppressAutoHyphens/>
        <w:autoSpaceDN w:val="0"/>
        <w:ind w:firstLine="709"/>
        <w:jc w:val="both"/>
        <w:textAlignment w:val="baseline"/>
        <w:rPr>
          <w:bCs/>
          <w:color w:val="000000"/>
        </w:rPr>
      </w:pPr>
      <w:r w:rsidRPr="00054C9C">
        <w:t>1</w:t>
      </w:r>
      <w:r w:rsidRPr="00CC6B51">
        <w:t xml:space="preserve">. </w:t>
      </w:r>
      <w:r w:rsidR="000319FB" w:rsidRPr="00CC6B51">
        <w:rPr>
          <w:bCs/>
        </w:rPr>
        <w:t xml:space="preserve">Mokėjimo </w:t>
      </w:r>
      <w:r w:rsidR="00F13F94" w:rsidRPr="00CC6B51">
        <w:t>už darbą ir budėjimą poilsio ir švenčių dienomis bei pavadavimą</w:t>
      </w:r>
      <w:r w:rsidR="000319FB" w:rsidRPr="00CC6B51">
        <w:t>, p</w:t>
      </w:r>
      <w:r w:rsidR="000319FB" w:rsidRPr="00CC6B51">
        <w:rPr>
          <w:bCs/>
        </w:rPr>
        <w:t>riemokų už padidėjusį darbo krūvį skyrimo ir mokėjimo</w:t>
      </w:r>
      <w:r w:rsidR="00F13F94" w:rsidRPr="00CC6B51">
        <w:t xml:space="preserve"> </w:t>
      </w:r>
      <w:r w:rsidRPr="00CC6B51">
        <w:rPr>
          <w:bCs/>
        </w:rPr>
        <w:t>bendrosios kompetencijos ir specializuotų teismų teisėjams tvarkos</w:t>
      </w:r>
      <w:r w:rsidRPr="00054C9C">
        <w:rPr>
          <w:bCs/>
        </w:rPr>
        <w:t xml:space="preserve"> aprašas</w:t>
      </w:r>
      <w:r w:rsidRPr="00054C9C">
        <w:t xml:space="preserve"> (toliau – Aprašas) nustato </w:t>
      </w:r>
      <w:r w:rsidR="006F322C">
        <w:t xml:space="preserve">mokėjimo </w:t>
      </w:r>
      <w:r w:rsidR="006F322C" w:rsidRPr="00A86117">
        <w:t>bendrosios kompetencijos ir specializuotų teismų teisėj</w:t>
      </w:r>
      <w:r w:rsidR="006F322C">
        <w:t>ams už</w:t>
      </w:r>
      <w:r w:rsidR="006F322C" w:rsidRPr="00A86117">
        <w:t xml:space="preserve"> darb</w:t>
      </w:r>
      <w:r w:rsidR="006F322C">
        <w:t>ą</w:t>
      </w:r>
      <w:r w:rsidR="006F322C" w:rsidRPr="00A86117">
        <w:t xml:space="preserve"> </w:t>
      </w:r>
      <w:r w:rsidR="006F322C">
        <w:t xml:space="preserve">ir </w:t>
      </w:r>
      <w:r w:rsidR="006F322C" w:rsidRPr="00A86117">
        <w:t>budėjim</w:t>
      </w:r>
      <w:r w:rsidR="006F322C">
        <w:t>ą</w:t>
      </w:r>
      <w:r w:rsidR="006F322C" w:rsidRPr="00A86117">
        <w:t xml:space="preserve"> poilsio ir švenčių dienomis</w:t>
      </w:r>
      <w:r w:rsidR="00D9218D">
        <w:t xml:space="preserve"> bei pavadavimą, priemokų </w:t>
      </w:r>
      <w:r w:rsidRPr="00054C9C">
        <w:rPr>
          <w:color w:val="000000"/>
        </w:rPr>
        <w:t xml:space="preserve">už </w:t>
      </w:r>
      <w:r w:rsidRPr="00054C9C">
        <w:t xml:space="preserve">padidėjusį darbo </w:t>
      </w:r>
      <w:r w:rsidRPr="00054C9C">
        <w:rPr>
          <w:bCs/>
        </w:rPr>
        <w:t xml:space="preserve">krūvį, </w:t>
      </w:r>
      <w:r w:rsidRPr="00054C9C">
        <w:rPr>
          <w:bCs/>
          <w:iCs/>
          <w:color w:val="000000"/>
        </w:rPr>
        <w:t>kai yra padidėjęs darbų mastas</w:t>
      </w:r>
      <w:r w:rsidRPr="00054C9C">
        <w:rPr>
          <w:bCs/>
          <w:color w:val="000000"/>
        </w:rPr>
        <w:t xml:space="preserve"> </w:t>
      </w:r>
      <w:r w:rsidR="000019DA" w:rsidRPr="00185ED3">
        <w:rPr>
          <w:bCs/>
          <w:color w:val="000000"/>
          <w:lang w:eastAsia="lt-LT"/>
        </w:rPr>
        <w:t xml:space="preserve">atliekant </w:t>
      </w:r>
      <w:r w:rsidR="000019DA" w:rsidRPr="00185ED3">
        <w:rPr>
          <w:lang w:eastAsia="lt-LT"/>
        </w:rPr>
        <w:t xml:space="preserve">kito to paties bendrosios kompetencijos ar specializuoto teismo (ar tų pačių teismo rūmų) teisėjo funkcijas </w:t>
      </w:r>
      <w:r w:rsidR="00401E7B">
        <w:rPr>
          <w:lang w:eastAsia="lt-LT"/>
        </w:rPr>
        <w:t xml:space="preserve">dėl </w:t>
      </w:r>
      <w:r w:rsidR="00937F04">
        <w:rPr>
          <w:lang w:eastAsia="lt-LT"/>
        </w:rPr>
        <w:t>laikino šio teisėjo nebuvimo,</w:t>
      </w:r>
      <w:r w:rsidR="007D3C00">
        <w:rPr>
          <w:lang w:eastAsia="lt-LT"/>
        </w:rPr>
        <w:t xml:space="preserve"> taip pat</w:t>
      </w:r>
      <w:r w:rsidR="00937F04">
        <w:rPr>
          <w:lang w:eastAsia="lt-LT"/>
        </w:rPr>
        <w:t xml:space="preserve"> </w:t>
      </w:r>
      <w:r w:rsidR="000019DA">
        <w:rPr>
          <w:lang w:eastAsia="lt-LT"/>
        </w:rPr>
        <w:t xml:space="preserve">kai </w:t>
      </w:r>
      <w:r w:rsidRPr="00054C9C">
        <w:rPr>
          <w:bCs/>
          <w:color w:val="000000"/>
        </w:rPr>
        <w:t>dėl iš anksto nenumatytų priežasčių žymiai padaugėj</w:t>
      </w:r>
      <w:r w:rsidR="00937F04">
        <w:rPr>
          <w:bCs/>
          <w:color w:val="000000"/>
        </w:rPr>
        <w:t>a</w:t>
      </w:r>
      <w:r w:rsidRPr="00054C9C">
        <w:rPr>
          <w:bCs/>
          <w:color w:val="000000"/>
        </w:rPr>
        <w:t xml:space="preserve"> gaunamų nagrinėti tam tikros kategorijos bylų per mėnesį, tvarką</w:t>
      </w:r>
      <w:r w:rsidR="00F13F94">
        <w:t>.</w:t>
      </w:r>
    </w:p>
    <w:p w14:paraId="38529E09" w14:textId="77777777" w:rsidR="00BA1806" w:rsidRDefault="00142767" w:rsidP="007C3F7F">
      <w:pPr>
        <w:tabs>
          <w:tab w:val="left" w:pos="709"/>
          <w:tab w:val="left" w:pos="1134"/>
        </w:tabs>
        <w:suppressAutoHyphens/>
        <w:autoSpaceDN w:val="0"/>
        <w:ind w:firstLine="709"/>
        <w:jc w:val="both"/>
        <w:textAlignment w:val="baseline"/>
      </w:pPr>
      <w:r w:rsidRPr="00054C9C">
        <w:t xml:space="preserve">2. </w:t>
      </w:r>
      <w:r w:rsidR="00435064">
        <w:t xml:space="preserve">Aprašo nuostatos </w:t>
      </w:r>
      <w:r w:rsidR="009E77D1">
        <w:t xml:space="preserve">dėl priemokų mokėjimo </w:t>
      </w:r>
      <w:r w:rsidR="00435064">
        <w:t xml:space="preserve">taikomos tik tuo atveju, jeigu </w:t>
      </w:r>
      <w:r w:rsidR="00843093">
        <w:t xml:space="preserve">teisme </w:t>
      </w:r>
      <w:r w:rsidR="007D3C00">
        <w:t>padidėjusio</w:t>
      </w:r>
      <w:r w:rsidR="00843093">
        <w:t xml:space="preserve"> darbo krūvio </w:t>
      </w:r>
      <w:r w:rsidR="000646A7">
        <w:t>nėra galimybių</w:t>
      </w:r>
      <w:r w:rsidR="00435064">
        <w:t xml:space="preserve"> </w:t>
      </w:r>
      <w:r w:rsidR="00843093">
        <w:t xml:space="preserve">sureguliuoti </w:t>
      </w:r>
      <w:r w:rsidR="00435064">
        <w:t>teisės aktuose nustatytomis administravimo</w:t>
      </w:r>
      <w:r w:rsidR="000646A7">
        <w:t xml:space="preserve"> </w:t>
      </w:r>
      <w:r w:rsidR="00843093">
        <w:t xml:space="preserve">teismuose ar kitomis </w:t>
      </w:r>
      <w:r w:rsidR="000646A7">
        <w:t>priemonėmis</w:t>
      </w:r>
      <w:r w:rsidR="00435064">
        <w:t xml:space="preserve"> (pavyzdžiui, perskirstant bylas tarp teismų (teismo rūmų)</w:t>
      </w:r>
      <w:r w:rsidR="009E77D1">
        <w:t xml:space="preserve">, </w:t>
      </w:r>
      <w:r w:rsidR="007C3F7F">
        <w:t>laikinai perkel</w:t>
      </w:r>
      <w:r w:rsidR="0097558A">
        <w:t>iant</w:t>
      </w:r>
      <w:r w:rsidR="007C3F7F">
        <w:t xml:space="preserve"> teisėj</w:t>
      </w:r>
      <w:r w:rsidR="0097558A">
        <w:t>us</w:t>
      </w:r>
      <w:r w:rsidR="007C3F7F">
        <w:t xml:space="preserve"> ir kt.)</w:t>
      </w:r>
      <w:r w:rsidR="007D3C00">
        <w:t>.</w:t>
      </w:r>
      <w:r w:rsidR="00435064">
        <w:t xml:space="preserve"> </w:t>
      </w:r>
    </w:p>
    <w:p w14:paraId="55E4C4E1" w14:textId="5A242956" w:rsidR="00E66F14" w:rsidRPr="007465CA" w:rsidRDefault="007C3F7F" w:rsidP="007C3F7F">
      <w:pPr>
        <w:tabs>
          <w:tab w:val="left" w:pos="709"/>
          <w:tab w:val="left" w:pos="1134"/>
        </w:tabs>
        <w:suppressAutoHyphens/>
        <w:autoSpaceDN w:val="0"/>
        <w:ind w:firstLine="709"/>
        <w:jc w:val="both"/>
        <w:textAlignment w:val="baseline"/>
      </w:pPr>
      <w:r>
        <w:t xml:space="preserve">3. </w:t>
      </w:r>
      <w:r w:rsidR="00E66F14" w:rsidRPr="007465CA">
        <w:t xml:space="preserve">Siekdami efektyvaus </w:t>
      </w:r>
      <w:r w:rsidR="00E66F14">
        <w:t xml:space="preserve">teismo darbo organizavimo ir </w:t>
      </w:r>
      <w:r w:rsidR="00E66F14" w:rsidRPr="007465CA">
        <w:t>darbo užmokesčiui skirtų lėšų naudojimo, teismų pirmininkai bendradarbiaudami su kitomis institucijomis (policija, prokuratūra) turi imtis organizacinių priemonių</w:t>
      </w:r>
      <w:r w:rsidR="00E66F14">
        <w:t>,</w:t>
      </w:r>
      <w:r w:rsidR="00E66F14" w:rsidRPr="007465CA">
        <w:t xml:space="preserve"> užtikrinančių, jog budėjimas būtų vykdomas kuo trumpesnį laiką</w:t>
      </w:r>
      <w:r w:rsidR="00E66F14">
        <w:t>, paprastai budint sekmadieniais ar antrą iš eilės einančią šventinę dieną</w:t>
      </w:r>
      <w:r w:rsidR="00E66F14" w:rsidRPr="007465CA">
        <w:t>.</w:t>
      </w:r>
    </w:p>
    <w:p w14:paraId="3C12A38D" w14:textId="072BBBDF" w:rsidR="00142767" w:rsidRPr="00054C9C" w:rsidRDefault="00E75631" w:rsidP="00990278">
      <w:pPr>
        <w:tabs>
          <w:tab w:val="left" w:pos="709"/>
          <w:tab w:val="left" w:pos="1134"/>
          <w:tab w:val="left" w:pos="2345"/>
        </w:tabs>
        <w:suppressAutoHyphens/>
        <w:autoSpaceDN w:val="0"/>
        <w:ind w:firstLine="709"/>
        <w:jc w:val="both"/>
        <w:textAlignment w:val="baseline"/>
      </w:pPr>
      <w:r>
        <w:t>4</w:t>
      </w:r>
      <w:r w:rsidR="00142767" w:rsidRPr="00054C9C">
        <w:t>. Šiame Apraše vartojamos sąvokos:</w:t>
      </w:r>
    </w:p>
    <w:p w14:paraId="6DAB7364" w14:textId="2CAE298C" w:rsidR="00BF1374" w:rsidRDefault="00E75631" w:rsidP="00990278">
      <w:pPr>
        <w:tabs>
          <w:tab w:val="left" w:pos="709"/>
          <w:tab w:val="left" w:pos="1134"/>
        </w:tabs>
        <w:suppressAutoHyphens/>
        <w:autoSpaceDN w:val="0"/>
        <w:ind w:firstLine="709"/>
        <w:jc w:val="both"/>
        <w:textAlignment w:val="baseline"/>
        <w:rPr>
          <w:bCs/>
        </w:rPr>
      </w:pPr>
      <w:r>
        <w:rPr>
          <w:bCs/>
        </w:rPr>
        <w:t>4</w:t>
      </w:r>
      <w:r w:rsidR="00142767" w:rsidRPr="00054C9C">
        <w:rPr>
          <w:bCs/>
        </w:rPr>
        <w:t xml:space="preserve">.1. </w:t>
      </w:r>
      <w:r w:rsidR="00BF1374">
        <w:rPr>
          <w:lang w:eastAsia="lt-LT"/>
        </w:rPr>
        <w:t>K</w:t>
      </w:r>
      <w:r w:rsidR="00BF1374" w:rsidRPr="00185ED3">
        <w:rPr>
          <w:lang w:eastAsia="lt-LT"/>
        </w:rPr>
        <w:t>ito teisėjo funkcij</w:t>
      </w:r>
      <w:r w:rsidR="00BF1374">
        <w:rPr>
          <w:lang w:eastAsia="lt-LT"/>
        </w:rPr>
        <w:t>ų atlikimas –</w:t>
      </w:r>
      <w:r w:rsidR="00843093">
        <w:rPr>
          <w:lang w:eastAsia="lt-LT"/>
        </w:rPr>
        <w:t xml:space="preserve"> </w:t>
      </w:r>
      <w:r w:rsidR="009275FE">
        <w:rPr>
          <w:lang w:eastAsia="lt-LT"/>
        </w:rPr>
        <w:t>teisėj</w:t>
      </w:r>
      <w:r w:rsidR="003A4E8C">
        <w:rPr>
          <w:lang w:eastAsia="lt-LT"/>
        </w:rPr>
        <w:t>o</w:t>
      </w:r>
      <w:r w:rsidR="009275FE">
        <w:rPr>
          <w:lang w:eastAsia="lt-LT"/>
        </w:rPr>
        <w:t xml:space="preserve"> </w:t>
      </w:r>
      <w:r w:rsidR="00972722">
        <w:rPr>
          <w:lang w:eastAsia="lt-LT"/>
        </w:rPr>
        <w:t>darbas padidėjusiu darbo krūviu</w:t>
      </w:r>
      <w:r w:rsidR="0029329B">
        <w:rPr>
          <w:lang w:eastAsia="lt-LT"/>
        </w:rPr>
        <w:t>,</w:t>
      </w:r>
      <w:r w:rsidR="002562C7">
        <w:rPr>
          <w:lang w:eastAsia="lt-LT"/>
        </w:rPr>
        <w:t xml:space="preserve"> kai </w:t>
      </w:r>
      <w:r w:rsidR="0029329B" w:rsidRPr="00185ED3">
        <w:rPr>
          <w:lang w:eastAsia="lt-LT"/>
        </w:rPr>
        <w:t xml:space="preserve">teisme (ar tuose pačiuose teismo rūmuose) </w:t>
      </w:r>
      <w:r w:rsidR="00BF1374" w:rsidRPr="00185ED3">
        <w:rPr>
          <w:lang w:eastAsia="lt-LT"/>
        </w:rPr>
        <w:t>laikinai neužimt</w:t>
      </w:r>
      <w:r w:rsidR="002562C7">
        <w:rPr>
          <w:lang w:eastAsia="lt-LT"/>
        </w:rPr>
        <w:t>os</w:t>
      </w:r>
      <w:r w:rsidR="00BF1374" w:rsidRPr="00185ED3">
        <w:rPr>
          <w:lang w:eastAsia="lt-LT"/>
        </w:rPr>
        <w:t xml:space="preserve"> </w:t>
      </w:r>
      <w:r w:rsidR="002562C7">
        <w:rPr>
          <w:lang w:eastAsia="lt-LT"/>
        </w:rPr>
        <w:t xml:space="preserve">kito </w:t>
      </w:r>
      <w:r w:rsidR="00BF1374" w:rsidRPr="00185ED3">
        <w:rPr>
          <w:lang w:eastAsia="lt-LT"/>
        </w:rPr>
        <w:t>to paties teismo teisėjo pareig</w:t>
      </w:r>
      <w:r w:rsidR="002562C7">
        <w:rPr>
          <w:lang w:eastAsia="lt-LT"/>
        </w:rPr>
        <w:t>os</w:t>
      </w:r>
      <w:r w:rsidR="00BF1374" w:rsidRPr="00185ED3">
        <w:rPr>
          <w:lang w:eastAsia="lt-LT"/>
        </w:rPr>
        <w:t xml:space="preserve"> arba </w:t>
      </w:r>
      <w:r w:rsidR="00BF1374" w:rsidRPr="00185ED3">
        <w:rPr>
          <w:bCs/>
          <w:lang w:eastAsia="lt-LT"/>
        </w:rPr>
        <w:t xml:space="preserve">kai </w:t>
      </w:r>
      <w:r w:rsidR="008D5416">
        <w:rPr>
          <w:bCs/>
          <w:lang w:eastAsia="lt-LT"/>
        </w:rPr>
        <w:t xml:space="preserve">kitas </w:t>
      </w:r>
      <w:r w:rsidR="00BF1374" w:rsidRPr="00185ED3">
        <w:rPr>
          <w:lang w:eastAsia="lt-LT"/>
        </w:rPr>
        <w:t xml:space="preserve">to paties </w:t>
      </w:r>
      <w:r w:rsidR="00BF1374" w:rsidRPr="00185ED3">
        <w:rPr>
          <w:bCs/>
          <w:color w:val="000000"/>
          <w:lang w:eastAsia="lt-LT"/>
        </w:rPr>
        <w:t>teismo (ar</w:t>
      </w:r>
      <w:r w:rsidR="00BF1374" w:rsidRPr="00185ED3">
        <w:rPr>
          <w:lang w:eastAsia="lt-LT"/>
        </w:rPr>
        <w:t xml:space="preserve"> tų pačių</w:t>
      </w:r>
      <w:r w:rsidR="00BF1374" w:rsidRPr="00185ED3">
        <w:rPr>
          <w:bCs/>
          <w:color w:val="000000"/>
          <w:lang w:eastAsia="lt-LT"/>
        </w:rPr>
        <w:t xml:space="preserve"> teismo rūmų) teisėj</w:t>
      </w:r>
      <w:r w:rsidR="002562C7">
        <w:rPr>
          <w:bCs/>
          <w:color w:val="000000"/>
          <w:lang w:eastAsia="lt-LT"/>
        </w:rPr>
        <w:t>as</w:t>
      </w:r>
      <w:r w:rsidR="00BF1374" w:rsidRPr="00185ED3">
        <w:rPr>
          <w:bCs/>
          <w:color w:val="000000"/>
          <w:lang w:eastAsia="lt-LT"/>
        </w:rPr>
        <w:t xml:space="preserve"> laikin</w:t>
      </w:r>
      <w:r w:rsidR="0029329B">
        <w:rPr>
          <w:bCs/>
          <w:color w:val="000000"/>
          <w:lang w:eastAsia="lt-LT"/>
        </w:rPr>
        <w:t>ai</w:t>
      </w:r>
      <w:r w:rsidR="00BF1374" w:rsidRPr="00185ED3">
        <w:rPr>
          <w:bCs/>
          <w:color w:val="000000"/>
          <w:lang w:eastAsia="lt-LT"/>
        </w:rPr>
        <w:t xml:space="preserve"> neg</w:t>
      </w:r>
      <w:r w:rsidR="00BF1374">
        <w:rPr>
          <w:bCs/>
          <w:color w:val="000000"/>
          <w:lang w:eastAsia="lt-LT"/>
        </w:rPr>
        <w:t>al</w:t>
      </w:r>
      <w:r w:rsidR="002562C7">
        <w:rPr>
          <w:bCs/>
          <w:color w:val="000000"/>
          <w:lang w:eastAsia="lt-LT"/>
        </w:rPr>
        <w:t>i</w:t>
      </w:r>
      <w:r w:rsidR="00BF1374" w:rsidRPr="00185ED3">
        <w:rPr>
          <w:bCs/>
          <w:color w:val="000000"/>
          <w:lang w:eastAsia="lt-LT"/>
        </w:rPr>
        <w:t xml:space="preserve"> eiti teisėjo pareigų</w:t>
      </w:r>
      <w:r w:rsidR="00D61FF8">
        <w:rPr>
          <w:bCs/>
          <w:color w:val="000000"/>
          <w:lang w:eastAsia="lt-LT"/>
        </w:rPr>
        <w:t>.</w:t>
      </w:r>
    </w:p>
    <w:p w14:paraId="3219368F" w14:textId="6827FE8D" w:rsidR="00142767" w:rsidRPr="00054C9C" w:rsidRDefault="00E75631" w:rsidP="00990278">
      <w:pPr>
        <w:tabs>
          <w:tab w:val="left" w:pos="709"/>
          <w:tab w:val="left" w:pos="1134"/>
        </w:tabs>
        <w:suppressAutoHyphens/>
        <w:autoSpaceDN w:val="0"/>
        <w:ind w:firstLine="709"/>
        <w:jc w:val="both"/>
        <w:textAlignment w:val="baseline"/>
      </w:pPr>
      <w:r>
        <w:rPr>
          <w:bCs/>
          <w:color w:val="000000"/>
        </w:rPr>
        <w:t>4</w:t>
      </w:r>
      <w:r w:rsidR="00BF1374">
        <w:rPr>
          <w:bCs/>
          <w:color w:val="000000"/>
        </w:rPr>
        <w:t xml:space="preserve">.2. </w:t>
      </w:r>
      <w:r w:rsidR="00142767" w:rsidRPr="00054C9C">
        <w:rPr>
          <w:bCs/>
          <w:color w:val="000000"/>
        </w:rPr>
        <w:t xml:space="preserve">Tam tikros kategorijos bylos – bylų grupė, apibrėžiama pagal Teisėjų tarybos </w:t>
      </w:r>
      <w:r w:rsidR="00142767" w:rsidRPr="00054C9C">
        <w:rPr>
          <w:bCs/>
        </w:rPr>
        <w:t>patvirtintus baudžiamųjų, civilinių ir administracinių bylų kategorijų klasifikatorius arba kitais požymiais apibrėžiama bylų ar ikiteisminio tyrimo dokumentų, nagrinėjamų specialaus įstatymo pagrindu, grupė, jeigu klasifikatoriuose nėra išskirta atskira tokių bylų kategorija.</w:t>
      </w:r>
    </w:p>
    <w:p w14:paraId="0C4ED9BA" w14:textId="52E073D6" w:rsidR="00142767" w:rsidRPr="00054C9C" w:rsidRDefault="00E75631" w:rsidP="00990278">
      <w:pPr>
        <w:tabs>
          <w:tab w:val="left" w:pos="709"/>
          <w:tab w:val="left" w:pos="1134"/>
        </w:tabs>
        <w:suppressAutoHyphens/>
        <w:autoSpaceDN w:val="0"/>
        <w:ind w:firstLine="709"/>
        <w:jc w:val="both"/>
        <w:textAlignment w:val="baseline"/>
        <w:rPr>
          <w:bCs/>
        </w:rPr>
      </w:pPr>
      <w:r>
        <w:rPr>
          <w:bCs/>
        </w:rPr>
        <w:t>4</w:t>
      </w:r>
      <w:r w:rsidR="00142767" w:rsidRPr="00054C9C">
        <w:rPr>
          <w:bCs/>
        </w:rPr>
        <w:t>.</w:t>
      </w:r>
      <w:r w:rsidR="00E13797">
        <w:rPr>
          <w:bCs/>
        </w:rPr>
        <w:t>3</w:t>
      </w:r>
      <w:r w:rsidR="00142767" w:rsidRPr="00054C9C">
        <w:rPr>
          <w:bCs/>
        </w:rPr>
        <w:t>. Iš anksto nenumatytos priežastys – socialinės, ekonominės, finansinės, politinės, teisinės ar kitos priežastys, lemiančios gaunamų nagrinėti bylų skaičiaus padidėjimą teismuose, kurių iš anksto nebuvo galima numatyti.</w:t>
      </w:r>
    </w:p>
    <w:p w14:paraId="1D8DACA8" w14:textId="3A42DEB6" w:rsidR="003A4E8C" w:rsidRPr="00054C9C" w:rsidRDefault="00E75631" w:rsidP="00990278">
      <w:pPr>
        <w:tabs>
          <w:tab w:val="left" w:pos="709"/>
          <w:tab w:val="left" w:pos="1134"/>
        </w:tabs>
        <w:suppressAutoHyphens/>
        <w:autoSpaceDN w:val="0"/>
        <w:ind w:firstLine="709"/>
        <w:jc w:val="both"/>
        <w:textAlignment w:val="baseline"/>
        <w:rPr>
          <w:bCs/>
          <w:color w:val="000000"/>
        </w:rPr>
      </w:pPr>
      <w:r>
        <w:rPr>
          <w:bCs/>
          <w:color w:val="000000"/>
        </w:rPr>
        <w:t>4</w:t>
      </w:r>
      <w:r w:rsidR="00142767" w:rsidRPr="00054C9C">
        <w:rPr>
          <w:bCs/>
          <w:color w:val="000000"/>
        </w:rPr>
        <w:t>.</w:t>
      </w:r>
      <w:r w:rsidR="00E13797">
        <w:rPr>
          <w:bCs/>
          <w:color w:val="000000"/>
        </w:rPr>
        <w:t>4</w:t>
      </w:r>
      <w:r w:rsidR="00142767" w:rsidRPr="00924DD8">
        <w:rPr>
          <w:bCs/>
          <w:color w:val="000000"/>
        </w:rPr>
        <w:t>. Žymus bylų padaugėjimas</w:t>
      </w:r>
      <w:r w:rsidR="00142767" w:rsidRPr="00944D4C">
        <w:rPr>
          <w:bCs/>
          <w:color w:val="000000"/>
        </w:rPr>
        <w:t xml:space="preserve"> –</w:t>
      </w:r>
      <w:r w:rsidR="007D3C00" w:rsidRPr="007D3C00">
        <w:rPr>
          <w:bCs/>
          <w:color w:val="000000"/>
        </w:rPr>
        <w:t xml:space="preserve"> </w:t>
      </w:r>
      <w:r w:rsidR="00142767" w:rsidRPr="00054C9C">
        <w:rPr>
          <w:bCs/>
          <w:color w:val="000000"/>
        </w:rPr>
        <w:t>teisme per mėnesį gaunamų nagrinėti tam tikros kategorijos bylų kiekio padidėjimas daugiau n</w:t>
      </w:r>
      <w:r w:rsidR="00142767" w:rsidRPr="00054C9C">
        <w:rPr>
          <w:bCs/>
        </w:rPr>
        <w:t xml:space="preserve">ei 20 procentų </w:t>
      </w:r>
      <w:r w:rsidR="00142767" w:rsidRPr="00054C9C">
        <w:rPr>
          <w:bCs/>
          <w:color w:val="000000"/>
        </w:rPr>
        <w:t>dėl iš anksto nenumatytų priežasčių.</w:t>
      </w:r>
      <w:r w:rsidR="00142767" w:rsidRPr="0039581C">
        <w:t xml:space="preserve"> </w:t>
      </w:r>
      <w:bookmarkStart w:id="2" w:name="_Hlk86412868"/>
      <w:r w:rsidR="00142767" w:rsidRPr="0039581C">
        <w:rPr>
          <w:bCs/>
          <w:color w:val="000000"/>
        </w:rPr>
        <w:t>Tuo atveju, kai teisme tam tikros kategorijos bylos anksčiau nebuvo nagrinėjamos, žymus gaunamų tam tikros kategorijos bylų padaugėjimas fiksuojamas, kai toks kiekis padidėja daugiau nei 20 procentų už vidutinį bylos tipui priskirtos kategorijos gautų</w:t>
      </w:r>
      <w:r w:rsidR="00142767">
        <w:rPr>
          <w:bCs/>
          <w:color w:val="000000"/>
        </w:rPr>
        <w:t xml:space="preserve"> teisme</w:t>
      </w:r>
      <w:r w:rsidR="00142767" w:rsidRPr="0039581C">
        <w:rPr>
          <w:bCs/>
          <w:color w:val="000000"/>
        </w:rPr>
        <w:t xml:space="preserve"> bylų kiekį per praėjusius dvylika mėnesių.</w:t>
      </w:r>
      <w:bookmarkEnd w:id="2"/>
    </w:p>
    <w:p w14:paraId="48DA8214" w14:textId="20007BFD" w:rsidR="00142767" w:rsidRPr="00E01CDA" w:rsidRDefault="00E75631" w:rsidP="00990278">
      <w:pPr>
        <w:tabs>
          <w:tab w:val="left" w:pos="709"/>
          <w:tab w:val="left" w:pos="1134"/>
        </w:tabs>
        <w:suppressAutoHyphens/>
        <w:autoSpaceDN w:val="0"/>
        <w:ind w:firstLine="709"/>
        <w:jc w:val="both"/>
        <w:textAlignment w:val="baseline"/>
        <w:rPr>
          <w:bCs/>
        </w:rPr>
      </w:pPr>
      <w:r>
        <w:rPr>
          <w:bCs/>
          <w:color w:val="000000"/>
        </w:rPr>
        <w:t>4</w:t>
      </w:r>
      <w:r w:rsidR="00142767" w:rsidRPr="00054C9C">
        <w:rPr>
          <w:bCs/>
          <w:color w:val="000000"/>
        </w:rPr>
        <w:t>.</w:t>
      </w:r>
      <w:r w:rsidR="001522A8">
        <w:rPr>
          <w:bCs/>
          <w:color w:val="000000"/>
        </w:rPr>
        <w:t>5</w:t>
      </w:r>
      <w:r w:rsidR="00142767" w:rsidRPr="00054C9C">
        <w:rPr>
          <w:bCs/>
          <w:color w:val="000000"/>
        </w:rPr>
        <w:t xml:space="preserve">. </w:t>
      </w:r>
      <w:r w:rsidR="00142767" w:rsidRPr="00E01CDA">
        <w:rPr>
          <w:bCs/>
        </w:rPr>
        <w:t>Padidėjęs darbo krūvis –</w:t>
      </w:r>
      <w:r w:rsidR="00AC4CB3" w:rsidRPr="00E01CDA">
        <w:rPr>
          <w:bCs/>
        </w:rPr>
        <w:t xml:space="preserve"> </w:t>
      </w:r>
      <w:r w:rsidR="001522A8" w:rsidRPr="00E01CDA">
        <w:rPr>
          <w:bCs/>
        </w:rPr>
        <w:t xml:space="preserve">teisėjo per </w:t>
      </w:r>
      <w:r w:rsidR="007D3C7E" w:rsidRPr="00E01CDA">
        <w:rPr>
          <w:bCs/>
        </w:rPr>
        <w:t xml:space="preserve">3 </w:t>
      </w:r>
      <w:r w:rsidR="001522A8" w:rsidRPr="00E01CDA">
        <w:rPr>
          <w:bCs/>
        </w:rPr>
        <w:t>mėnes</w:t>
      </w:r>
      <w:r w:rsidR="007D3C7E" w:rsidRPr="00E01CDA">
        <w:rPr>
          <w:bCs/>
        </w:rPr>
        <w:t>ių laikotarpį</w:t>
      </w:r>
      <w:r w:rsidR="001522A8" w:rsidRPr="00E01CDA">
        <w:rPr>
          <w:bCs/>
        </w:rPr>
        <w:t xml:space="preserve"> </w:t>
      </w:r>
      <w:r w:rsidR="004A75E3" w:rsidRPr="00E01CDA">
        <w:rPr>
          <w:bCs/>
        </w:rPr>
        <w:t>gautų (</w:t>
      </w:r>
      <w:r w:rsidR="00CE1804" w:rsidRPr="00E01CDA">
        <w:rPr>
          <w:bCs/>
        </w:rPr>
        <w:t xml:space="preserve">teisėjui </w:t>
      </w:r>
      <w:r w:rsidR="001522A8" w:rsidRPr="00E01CDA">
        <w:rPr>
          <w:bCs/>
        </w:rPr>
        <w:t>faktiškai paskirtų nagrinėti teismo posėdyje</w:t>
      </w:r>
      <w:r w:rsidR="004A75E3" w:rsidRPr="00E01CDA">
        <w:rPr>
          <w:bCs/>
        </w:rPr>
        <w:t>)</w:t>
      </w:r>
      <w:r w:rsidR="001522A8" w:rsidRPr="00E01CDA">
        <w:rPr>
          <w:bCs/>
        </w:rPr>
        <w:t xml:space="preserve"> bylų kiekio padidėjimas</w:t>
      </w:r>
      <w:r w:rsidR="00972722" w:rsidRPr="00E01CDA">
        <w:rPr>
          <w:bCs/>
        </w:rPr>
        <w:t xml:space="preserve"> </w:t>
      </w:r>
      <w:r w:rsidR="00485FB8" w:rsidRPr="00E01CDA">
        <w:rPr>
          <w:bCs/>
        </w:rPr>
        <w:t xml:space="preserve">ne mažiau </w:t>
      </w:r>
      <w:r w:rsidR="00972722" w:rsidRPr="00E01CDA">
        <w:rPr>
          <w:bCs/>
        </w:rPr>
        <w:t>nei 20 procentų</w:t>
      </w:r>
      <w:r w:rsidR="00485FB8" w:rsidRPr="00E01CDA">
        <w:rPr>
          <w:bCs/>
        </w:rPr>
        <w:t xml:space="preserve"> už vidutinį </w:t>
      </w:r>
      <w:r w:rsidR="00811256" w:rsidRPr="00E01CDA">
        <w:rPr>
          <w:bCs/>
        </w:rPr>
        <w:t xml:space="preserve">tos pačios grandies teismų </w:t>
      </w:r>
      <w:r w:rsidR="00E01CDA" w:rsidRPr="00E01CDA">
        <w:rPr>
          <w:bCs/>
        </w:rPr>
        <w:t>arba, atitinkamai,</w:t>
      </w:r>
      <w:r w:rsidR="00974895">
        <w:rPr>
          <w:bCs/>
        </w:rPr>
        <w:t xml:space="preserve"> </w:t>
      </w:r>
      <w:r w:rsidR="00E01CDA" w:rsidRPr="00E01CDA">
        <w:rPr>
          <w:bCs/>
        </w:rPr>
        <w:t xml:space="preserve">Lietuvos Aukščiausiojo </w:t>
      </w:r>
      <w:r w:rsidR="00974895">
        <w:rPr>
          <w:bCs/>
        </w:rPr>
        <w:t>T</w:t>
      </w:r>
      <w:r w:rsidR="00E01CDA" w:rsidRPr="00E01CDA">
        <w:rPr>
          <w:bCs/>
        </w:rPr>
        <w:t xml:space="preserve">eismo, Lietuvos vyriausiojo administracinio teismo ar Lietuvos apeliacinio teismo </w:t>
      </w:r>
      <w:r w:rsidR="00811256" w:rsidRPr="00E01CDA">
        <w:rPr>
          <w:bCs/>
        </w:rPr>
        <w:t xml:space="preserve">vienam faktiškai dirbančiam teisėjui per </w:t>
      </w:r>
      <w:r w:rsidR="007D3C7E" w:rsidRPr="00E01CDA">
        <w:rPr>
          <w:bCs/>
        </w:rPr>
        <w:t xml:space="preserve">tą patį laikotarpį tenkantį </w:t>
      </w:r>
      <w:r w:rsidR="00811256" w:rsidRPr="00E01CDA">
        <w:rPr>
          <w:bCs/>
        </w:rPr>
        <w:t xml:space="preserve">gautų (teisėjui faktiškai paskirtų nagrinėti teismo posėdyje) bylų kiekį </w:t>
      </w:r>
      <w:r w:rsidR="001522A8" w:rsidRPr="00E01CDA">
        <w:rPr>
          <w:bCs/>
        </w:rPr>
        <w:t xml:space="preserve">dėl </w:t>
      </w:r>
      <w:r w:rsidR="001522A8" w:rsidRPr="00E01CDA">
        <w:rPr>
          <w:lang w:eastAsia="lt-LT"/>
        </w:rPr>
        <w:t xml:space="preserve">kito teisėjo funkcijų atlikimo arba </w:t>
      </w:r>
      <w:r w:rsidR="00142767" w:rsidRPr="00E01CDA">
        <w:rPr>
          <w:bCs/>
        </w:rPr>
        <w:t>teisėjui (teisėjo) per mėnesį faktiškai paskirtų nagrinėti teismo posėdyje tam tikros kategorijos bylų kiekio padidėjimas dėl žymaus bylų padaugėjimo.</w:t>
      </w:r>
      <w:r w:rsidR="003B08C8" w:rsidRPr="00E01CDA">
        <w:rPr>
          <w:bCs/>
        </w:rPr>
        <w:t xml:space="preserve"> Tuo atveju, </w:t>
      </w:r>
      <w:r w:rsidR="003B08C8" w:rsidRPr="00E01CDA">
        <w:rPr>
          <w:bCs/>
        </w:rPr>
        <w:lastRenderedPageBreak/>
        <w:t>kai teisme yra nustatyta teisėjų specializacija, vertinant padidėjusio krūvio duomenis atsižvelgiama į teisėjo specializaciją.</w:t>
      </w:r>
    </w:p>
    <w:p w14:paraId="22B7DEA7" w14:textId="77777777" w:rsidR="007101B1" w:rsidRDefault="00E75631" w:rsidP="007101B1">
      <w:pPr>
        <w:suppressAutoHyphens/>
        <w:autoSpaceDN w:val="0"/>
        <w:ind w:firstLine="709"/>
        <w:jc w:val="both"/>
        <w:textAlignment w:val="baseline"/>
        <w:rPr>
          <w:bCs/>
          <w:color w:val="000000"/>
        </w:rPr>
      </w:pPr>
      <w:r>
        <w:rPr>
          <w:bCs/>
          <w:color w:val="000000"/>
        </w:rPr>
        <w:t>4</w:t>
      </w:r>
      <w:r w:rsidR="00142767" w:rsidRPr="00F136CF">
        <w:rPr>
          <w:bCs/>
          <w:color w:val="000000"/>
        </w:rPr>
        <w:t>.</w:t>
      </w:r>
      <w:r w:rsidR="001522A8" w:rsidRPr="00F136CF">
        <w:rPr>
          <w:bCs/>
          <w:color w:val="000000"/>
        </w:rPr>
        <w:t>6</w:t>
      </w:r>
      <w:r w:rsidR="00142767" w:rsidRPr="00F136CF">
        <w:rPr>
          <w:bCs/>
          <w:color w:val="000000"/>
        </w:rPr>
        <w:t xml:space="preserve">. </w:t>
      </w:r>
      <w:r w:rsidR="00142767" w:rsidRPr="00924DD8">
        <w:rPr>
          <w:bCs/>
          <w:color w:val="000000"/>
        </w:rPr>
        <w:t>Priemoka už padidėjusį darbo krūvį</w:t>
      </w:r>
      <w:r w:rsidR="00142767" w:rsidRPr="00F136CF">
        <w:rPr>
          <w:bCs/>
          <w:color w:val="000000"/>
        </w:rPr>
        <w:t xml:space="preserve"> – ne didesnė kaip 30 procentų </w:t>
      </w:r>
      <w:r w:rsidR="00142767" w:rsidRPr="00F136CF">
        <w:rPr>
          <w:bCs/>
        </w:rPr>
        <w:t xml:space="preserve">bendrosios kompetencijos ar specializuoto </w:t>
      </w:r>
      <w:r w:rsidR="00142767" w:rsidRPr="00F136CF">
        <w:rPr>
          <w:bCs/>
          <w:color w:val="000000"/>
        </w:rPr>
        <w:t xml:space="preserve">teismo teisėjo </w:t>
      </w:r>
      <w:r w:rsidR="00142767" w:rsidRPr="00F136CF">
        <w:rPr>
          <w:bCs/>
        </w:rPr>
        <w:t>pareiginės algos dydžio</w:t>
      </w:r>
      <w:r w:rsidR="00142767" w:rsidRPr="00F136CF">
        <w:rPr>
          <w:bCs/>
          <w:color w:val="000000"/>
        </w:rPr>
        <w:t xml:space="preserve"> priemoka už </w:t>
      </w:r>
      <w:r w:rsidR="00142767" w:rsidRPr="00F136CF">
        <w:rPr>
          <w:bCs/>
        </w:rPr>
        <w:t>padidėjusį darbo krūvį</w:t>
      </w:r>
      <w:r w:rsidR="00142767" w:rsidRPr="00F136CF">
        <w:rPr>
          <w:bCs/>
          <w:color w:val="000000"/>
        </w:rPr>
        <w:t>.</w:t>
      </w:r>
    </w:p>
    <w:p w14:paraId="50F532CA" w14:textId="77777777" w:rsidR="007101B1" w:rsidRDefault="00E75631" w:rsidP="007101B1">
      <w:pPr>
        <w:suppressAutoHyphens/>
        <w:autoSpaceDN w:val="0"/>
        <w:ind w:firstLine="709"/>
        <w:jc w:val="both"/>
        <w:textAlignment w:val="baseline"/>
      </w:pPr>
      <w:r>
        <w:t>4</w:t>
      </w:r>
      <w:r w:rsidR="00E13797" w:rsidRPr="00F136CF">
        <w:t xml:space="preserve">.7. </w:t>
      </w:r>
      <w:r w:rsidR="008C16F5" w:rsidRPr="00F136CF">
        <w:t>Budėjimas –</w:t>
      </w:r>
      <w:r w:rsidR="00AC4CB3">
        <w:rPr>
          <w:lang w:eastAsia="lt-LT"/>
        </w:rPr>
        <w:t xml:space="preserve"> </w:t>
      </w:r>
      <w:r w:rsidR="008C16F5" w:rsidRPr="00F136CF">
        <w:rPr>
          <w:lang w:eastAsia="lt-LT"/>
        </w:rPr>
        <w:t xml:space="preserve">teisėjo buvimas teisme arba namuose pagal teismo pirmininko ar jo įgalioto teisėjo patvirtintą </w:t>
      </w:r>
      <w:r w:rsidR="008C16F5" w:rsidRPr="00F136CF">
        <w:t xml:space="preserve">teisėjų budėjimo </w:t>
      </w:r>
      <w:r w:rsidR="008C16F5" w:rsidRPr="00F136CF">
        <w:rPr>
          <w:lang w:eastAsia="lt-LT"/>
        </w:rPr>
        <w:t xml:space="preserve">grafiką poilsio ir švenčių dienomis, kad </w:t>
      </w:r>
      <w:r w:rsidR="00DD77D4" w:rsidRPr="00F136CF">
        <w:rPr>
          <w:lang w:eastAsia="lt-LT"/>
        </w:rPr>
        <w:t>prireikus</w:t>
      </w:r>
      <w:r w:rsidR="00F50669">
        <w:rPr>
          <w:lang w:eastAsia="lt-LT"/>
        </w:rPr>
        <w:t xml:space="preserve"> teisėjas</w:t>
      </w:r>
      <w:r w:rsidR="00DD77D4" w:rsidRPr="00F136CF">
        <w:rPr>
          <w:lang w:eastAsia="lt-LT"/>
        </w:rPr>
        <w:t xml:space="preserve"> galėtų atlikti </w:t>
      </w:r>
      <w:r w:rsidR="00DD77D4" w:rsidRPr="00F136CF">
        <w:t>Lietuvos Respublikos baudžiamojo proceso kodekse, Lietuvos Respublikos civilinio proceso kodekse ir kituose įstatymuose nustatytas teisėjo funkcijas, kurių iš anksto nebuvo galima suplanuoti ir numatyti ir kurių dėl teisinių ir (ar) faktinių kliūčių negalima atlikti kitu laiku ar atidėti kitai darbo dienai (toliau – neatidėliotini veiksmai).</w:t>
      </w:r>
    </w:p>
    <w:p w14:paraId="40C5E9C5" w14:textId="322F0590" w:rsidR="008C16F5" w:rsidRPr="00F136CF" w:rsidRDefault="00E75631" w:rsidP="007101B1">
      <w:pPr>
        <w:suppressAutoHyphens/>
        <w:autoSpaceDN w:val="0"/>
        <w:ind w:firstLine="709"/>
        <w:jc w:val="both"/>
        <w:textAlignment w:val="baseline"/>
        <w:rPr>
          <w:color w:val="000000"/>
        </w:rPr>
      </w:pPr>
      <w:r>
        <w:t>4</w:t>
      </w:r>
      <w:r w:rsidR="00E13797" w:rsidRPr="00F136CF">
        <w:t xml:space="preserve">.8. </w:t>
      </w:r>
      <w:r w:rsidR="008C16F5" w:rsidRPr="00F136CF">
        <w:t xml:space="preserve">Darbas poilsio ir švenčių dienomis – teismo pirmininko </w:t>
      </w:r>
      <w:r w:rsidR="00701591" w:rsidRPr="00F136CF">
        <w:rPr>
          <w:color w:val="000000"/>
          <w:lang w:eastAsia="lt-LT"/>
        </w:rPr>
        <w:t>ar jo įgalioto teisėjo</w:t>
      </w:r>
      <w:r w:rsidR="00701591" w:rsidRPr="00F136CF">
        <w:t xml:space="preserve"> </w:t>
      </w:r>
      <w:r w:rsidR="008C16F5" w:rsidRPr="00F136CF">
        <w:t xml:space="preserve">nustatyta tvarka teisėjo </w:t>
      </w:r>
      <w:r w:rsidR="00F50669" w:rsidRPr="00F136CF">
        <w:t>dirbamas</w:t>
      </w:r>
      <w:r w:rsidR="00F50669">
        <w:t xml:space="preserve"> darbas </w:t>
      </w:r>
      <w:r w:rsidR="008C16F5" w:rsidRPr="00F136CF">
        <w:t xml:space="preserve">poilsio ar šventės dieną ne pagal teismo pirmininko </w:t>
      </w:r>
      <w:r w:rsidR="008C16F5" w:rsidRPr="00F136CF">
        <w:rPr>
          <w:color w:val="000000"/>
          <w:lang w:eastAsia="lt-LT"/>
        </w:rPr>
        <w:t>ar jo įgalioto teisėjo</w:t>
      </w:r>
      <w:r w:rsidR="008C16F5" w:rsidRPr="00F136CF">
        <w:t xml:space="preserve"> nustatytą budėjimo grafiką</w:t>
      </w:r>
      <w:r w:rsidR="00A53331" w:rsidRPr="00F136CF">
        <w:t xml:space="preserve">, </w:t>
      </w:r>
      <w:r w:rsidR="00701591" w:rsidRPr="00F136CF">
        <w:t xml:space="preserve">kai </w:t>
      </w:r>
      <w:r w:rsidR="008C16F5" w:rsidRPr="00F136CF">
        <w:rPr>
          <w:color w:val="000000"/>
        </w:rPr>
        <w:t xml:space="preserve">šio darbo iš anksto nebuvo galima suplanuoti ir numatyti </w:t>
      </w:r>
      <w:r w:rsidR="00A53331" w:rsidRPr="00F136CF">
        <w:rPr>
          <w:color w:val="000000"/>
        </w:rPr>
        <w:t>ir yra būtina atlikti neatidėliotinus veiksmus.</w:t>
      </w:r>
    </w:p>
    <w:p w14:paraId="4A06071E" w14:textId="77777777" w:rsidR="00A8283F" w:rsidRDefault="00A8283F" w:rsidP="00990278">
      <w:pPr>
        <w:tabs>
          <w:tab w:val="left" w:pos="709"/>
        </w:tabs>
        <w:suppressAutoHyphens/>
        <w:autoSpaceDN w:val="0"/>
        <w:ind w:firstLine="709"/>
        <w:jc w:val="center"/>
        <w:textAlignment w:val="baseline"/>
        <w:rPr>
          <w:bCs/>
        </w:rPr>
      </w:pPr>
    </w:p>
    <w:p w14:paraId="44B4C8D8" w14:textId="489BB3E5" w:rsidR="00815C00" w:rsidRPr="00A86117" w:rsidRDefault="00142767" w:rsidP="009E2178">
      <w:pPr>
        <w:tabs>
          <w:tab w:val="left" w:pos="709"/>
        </w:tabs>
        <w:suppressAutoHyphens/>
        <w:autoSpaceDN w:val="0"/>
        <w:ind w:firstLine="709"/>
        <w:jc w:val="center"/>
        <w:textAlignment w:val="baseline"/>
        <w:rPr>
          <w:b/>
        </w:rPr>
      </w:pPr>
      <w:r w:rsidRPr="00054C9C">
        <w:rPr>
          <w:b/>
          <w:caps/>
        </w:rPr>
        <w:t>II</w:t>
      </w:r>
      <w:r w:rsidR="009E2178">
        <w:rPr>
          <w:b/>
          <w:caps/>
        </w:rPr>
        <w:t xml:space="preserve">. </w:t>
      </w:r>
      <w:r w:rsidR="00815C00">
        <w:rPr>
          <w:b/>
        </w:rPr>
        <w:t xml:space="preserve">MOKĖJIMAS </w:t>
      </w:r>
      <w:r w:rsidR="00815C00" w:rsidRPr="00A86117">
        <w:rPr>
          <w:b/>
        </w:rPr>
        <w:t xml:space="preserve">UŽ DARBĄ BEI </w:t>
      </w:r>
      <w:r w:rsidR="00815C00">
        <w:rPr>
          <w:b/>
        </w:rPr>
        <w:t>BUDĖJIMĄ</w:t>
      </w:r>
      <w:r w:rsidR="00FD0C9A" w:rsidRPr="00FD0C9A">
        <w:rPr>
          <w:b/>
        </w:rPr>
        <w:t xml:space="preserve"> </w:t>
      </w:r>
      <w:r w:rsidR="00FD0C9A" w:rsidRPr="00A86117">
        <w:rPr>
          <w:b/>
        </w:rPr>
        <w:t>POILSIO IR ŠVENČIŲ DIENOMIS</w:t>
      </w:r>
    </w:p>
    <w:p w14:paraId="6689E806" w14:textId="77777777" w:rsidR="00815C00" w:rsidRDefault="00815C00" w:rsidP="00815C00">
      <w:pPr>
        <w:tabs>
          <w:tab w:val="left" w:pos="0"/>
          <w:tab w:val="left" w:pos="709"/>
        </w:tabs>
        <w:suppressAutoHyphens/>
        <w:autoSpaceDN w:val="0"/>
        <w:ind w:firstLine="709"/>
        <w:jc w:val="both"/>
        <w:textAlignment w:val="baseline"/>
        <w:rPr>
          <w:bCs/>
        </w:rPr>
      </w:pPr>
    </w:p>
    <w:p w14:paraId="53971B0D" w14:textId="26D9787F" w:rsidR="00815C00" w:rsidRDefault="009E2178" w:rsidP="00815C00">
      <w:pPr>
        <w:ind w:firstLine="720"/>
        <w:jc w:val="both"/>
      </w:pPr>
      <w:r>
        <w:t>5</w:t>
      </w:r>
      <w:r w:rsidR="00815C00">
        <w:t xml:space="preserve">. </w:t>
      </w:r>
      <w:r w:rsidR="00815C00">
        <w:rPr>
          <w:bCs/>
        </w:rPr>
        <w:t>B</w:t>
      </w:r>
      <w:r w:rsidR="00815C00" w:rsidRPr="00054C9C">
        <w:rPr>
          <w:bCs/>
        </w:rPr>
        <w:t xml:space="preserve">endrosios kompetencijos ar specializuoto teismo </w:t>
      </w:r>
      <w:r w:rsidR="00815C00">
        <w:rPr>
          <w:bCs/>
        </w:rPr>
        <w:t>t</w:t>
      </w:r>
      <w:r w:rsidR="00815C00" w:rsidRPr="00395F12">
        <w:t xml:space="preserve">eisėjams už darbą </w:t>
      </w:r>
      <w:r w:rsidR="00815C00">
        <w:t xml:space="preserve">ir budėjimą </w:t>
      </w:r>
      <w:r w:rsidR="00815C00" w:rsidRPr="00395F12">
        <w:t>poilsio ir švenčių dienomis</w:t>
      </w:r>
      <w:r w:rsidR="00815C00">
        <w:t xml:space="preserve"> teisme</w:t>
      </w:r>
      <w:r w:rsidR="00815C00" w:rsidRPr="00395F12">
        <w:t>, jų pasirinkimu</w:t>
      </w:r>
      <w:r w:rsidR="00815C00">
        <w:t>, kompensuojam</w:t>
      </w:r>
      <w:r w:rsidR="003E137C">
        <w:t>a</w:t>
      </w:r>
      <w:r w:rsidR="00815C00">
        <w:t xml:space="preserve"> vienu iš šių būdų:</w:t>
      </w:r>
    </w:p>
    <w:p w14:paraId="66F598A3" w14:textId="06DA0824" w:rsidR="00815C00" w:rsidRDefault="009E2178" w:rsidP="00815C00">
      <w:pPr>
        <w:ind w:firstLine="720"/>
        <w:jc w:val="both"/>
        <w:rPr>
          <w:color w:val="000000"/>
          <w:lang w:eastAsia="lt-LT"/>
        </w:rPr>
      </w:pPr>
      <w:r>
        <w:t>5</w:t>
      </w:r>
      <w:r w:rsidR="00815C00">
        <w:t xml:space="preserve">.1. </w:t>
      </w:r>
      <w:r w:rsidR="00815C00" w:rsidRPr="00185ED3">
        <w:rPr>
          <w:color w:val="000000"/>
          <w:lang w:eastAsia="lt-LT"/>
        </w:rPr>
        <w:t>mokamas dvigubo b</w:t>
      </w:r>
      <w:r w:rsidR="00815C00" w:rsidRPr="00185ED3">
        <w:rPr>
          <w:lang w:eastAsia="lt-LT"/>
        </w:rPr>
        <w:t xml:space="preserve">endrosios kompetencijos ar specializuoto teismo </w:t>
      </w:r>
      <w:r w:rsidR="00815C00" w:rsidRPr="00185ED3">
        <w:rPr>
          <w:color w:val="000000"/>
          <w:lang w:eastAsia="lt-LT"/>
        </w:rPr>
        <w:t>teisėjo pareiginės algos su priedu už tarnybos Lietuvos valstybei stažą dydžio atlygis</w:t>
      </w:r>
      <w:r w:rsidR="00815C00">
        <w:rPr>
          <w:color w:val="000000"/>
          <w:lang w:eastAsia="lt-LT"/>
        </w:rPr>
        <w:t>;</w:t>
      </w:r>
    </w:p>
    <w:p w14:paraId="76ED9A06" w14:textId="13AD6027" w:rsidR="00815C00" w:rsidRDefault="00815C00" w:rsidP="00815C00">
      <w:pPr>
        <w:ind w:firstLine="720"/>
        <w:jc w:val="both"/>
        <w:rPr>
          <w:color w:val="000000"/>
          <w:lang w:eastAsia="lt-LT"/>
        </w:rPr>
      </w:pPr>
      <w:r w:rsidRPr="00185ED3">
        <w:rPr>
          <w:color w:val="000000"/>
          <w:lang w:eastAsia="lt-LT"/>
        </w:rPr>
        <w:t xml:space="preserve"> </w:t>
      </w:r>
      <w:r w:rsidR="009E2178">
        <w:rPr>
          <w:color w:val="000000"/>
          <w:lang w:eastAsia="lt-LT"/>
        </w:rPr>
        <w:t>5</w:t>
      </w:r>
      <w:r>
        <w:rPr>
          <w:color w:val="000000"/>
          <w:lang w:eastAsia="lt-LT"/>
        </w:rPr>
        <w:t>.2.</w:t>
      </w:r>
      <w:r w:rsidRPr="00185ED3">
        <w:rPr>
          <w:color w:val="000000"/>
          <w:lang w:eastAsia="lt-LT"/>
        </w:rPr>
        <w:t xml:space="preserve"> artimiausią mėnesį suteikiamas dvigubos trukmės poilsio laikas arba šis poilsio laikas pridedamas prie kasmetinių atostogų</w:t>
      </w:r>
      <w:r>
        <w:rPr>
          <w:color w:val="000000"/>
          <w:lang w:eastAsia="lt-LT"/>
        </w:rPr>
        <w:t>, u</w:t>
      </w:r>
      <w:r w:rsidRPr="00185ED3">
        <w:rPr>
          <w:color w:val="000000"/>
          <w:lang w:eastAsia="lt-LT"/>
        </w:rPr>
        <w:t>ž suteiktą poilsio laiką moka</w:t>
      </w:r>
      <w:r>
        <w:rPr>
          <w:color w:val="000000"/>
          <w:lang w:eastAsia="lt-LT"/>
        </w:rPr>
        <w:t>nt teisė</w:t>
      </w:r>
      <w:r w:rsidRPr="00185ED3">
        <w:rPr>
          <w:color w:val="000000"/>
          <w:lang w:eastAsia="lt-LT"/>
        </w:rPr>
        <w:t xml:space="preserve">jo </w:t>
      </w:r>
      <w:r w:rsidRPr="00185ED3">
        <w:rPr>
          <w:lang w:eastAsia="lt-LT"/>
        </w:rPr>
        <w:t xml:space="preserve">pareiginės algos su priedu už </w:t>
      </w:r>
      <w:r w:rsidRPr="00185ED3">
        <w:rPr>
          <w:color w:val="000000"/>
          <w:lang w:eastAsia="lt-LT"/>
        </w:rPr>
        <w:t>tarnybos Lietuvos valstybei stažą</w:t>
      </w:r>
      <w:r w:rsidRPr="00185ED3">
        <w:rPr>
          <w:lang w:eastAsia="lt-LT"/>
        </w:rPr>
        <w:t xml:space="preserve"> dydžio atlyg</w:t>
      </w:r>
      <w:r>
        <w:rPr>
          <w:lang w:eastAsia="lt-LT"/>
        </w:rPr>
        <w:t>į</w:t>
      </w:r>
      <w:r w:rsidRPr="00185ED3">
        <w:rPr>
          <w:color w:val="000000"/>
          <w:lang w:eastAsia="lt-LT"/>
        </w:rPr>
        <w:t>.</w:t>
      </w:r>
    </w:p>
    <w:p w14:paraId="143ADF34" w14:textId="3B4FEE8C" w:rsidR="00815C00" w:rsidRDefault="009E2178" w:rsidP="00815C00">
      <w:pPr>
        <w:ind w:firstLine="720"/>
        <w:jc w:val="both"/>
        <w:rPr>
          <w:lang w:eastAsia="lt-LT"/>
        </w:rPr>
      </w:pPr>
      <w:r>
        <w:rPr>
          <w:color w:val="000000"/>
          <w:lang w:eastAsia="lt-LT"/>
        </w:rPr>
        <w:t>6</w:t>
      </w:r>
      <w:r w:rsidR="00815C00">
        <w:rPr>
          <w:color w:val="000000"/>
          <w:lang w:eastAsia="lt-LT"/>
        </w:rPr>
        <w:t xml:space="preserve">. </w:t>
      </w:r>
      <w:r w:rsidR="00815C00">
        <w:rPr>
          <w:bCs/>
        </w:rPr>
        <w:t>B</w:t>
      </w:r>
      <w:r w:rsidR="00815C00" w:rsidRPr="00054C9C">
        <w:rPr>
          <w:bCs/>
        </w:rPr>
        <w:t xml:space="preserve">endrosios kompetencijos ar specializuoto teismo </w:t>
      </w:r>
      <w:r w:rsidR="00815C00">
        <w:rPr>
          <w:bCs/>
        </w:rPr>
        <w:t>t</w:t>
      </w:r>
      <w:r w:rsidR="00815C00" w:rsidRPr="00395F12">
        <w:t>eisėjams</w:t>
      </w:r>
      <w:r w:rsidR="00815C00">
        <w:t xml:space="preserve"> </w:t>
      </w:r>
      <w:r w:rsidR="00815C00">
        <w:rPr>
          <w:lang w:eastAsia="lt-LT"/>
        </w:rPr>
        <w:t>u</w:t>
      </w:r>
      <w:r w:rsidR="00815C00" w:rsidRPr="00185ED3">
        <w:rPr>
          <w:lang w:eastAsia="lt-LT"/>
        </w:rPr>
        <w:t xml:space="preserve">ž budėjimą poilsio ir švenčių dienomis namuose mokama 50 procentų </w:t>
      </w:r>
      <w:r w:rsidR="00815C00">
        <w:rPr>
          <w:lang w:eastAsia="lt-LT"/>
        </w:rPr>
        <w:t>teisė</w:t>
      </w:r>
      <w:r w:rsidR="00815C00" w:rsidRPr="00185ED3">
        <w:rPr>
          <w:lang w:eastAsia="lt-LT"/>
        </w:rPr>
        <w:t xml:space="preserve">jo pareiginės algos </w:t>
      </w:r>
      <w:r w:rsidR="00815C00" w:rsidRPr="00185ED3">
        <w:rPr>
          <w:color w:val="000000"/>
          <w:lang w:eastAsia="lt-LT"/>
        </w:rPr>
        <w:t xml:space="preserve">su priedu už tarnybos Lietuvos valstybei stažą dydžio atlygis </w:t>
      </w:r>
      <w:r w:rsidR="00815C00" w:rsidRPr="00185ED3">
        <w:rPr>
          <w:lang w:eastAsia="lt-LT"/>
        </w:rPr>
        <w:t>proporcingai budėtam laikui</w:t>
      </w:r>
      <w:r w:rsidR="00815C00">
        <w:rPr>
          <w:lang w:eastAsia="lt-LT"/>
        </w:rPr>
        <w:t>. U</w:t>
      </w:r>
      <w:r w:rsidR="00815C00" w:rsidRPr="00185ED3">
        <w:rPr>
          <w:lang w:eastAsia="lt-LT"/>
        </w:rPr>
        <w:t xml:space="preserve">ž darbą atvykus į </w:t>
      </w:r>
      <w:r w:rsidR="00815C00" w:rsidRPr="00185ED3">
        <w:rPr>
          <w:color w:val="000000"/>
          <w:lang w:eastAsia="lt-LT"/>
        </w:rPr>
        <w:t>b</w:t>
      </w:r>
      <w:r w:rsidR="00815C00" w:rsidRPr="00185ED3">
        <w:rPr>
          <w:lang w:eastAsia="lt-LT"/>
        </w:rPr>
        <w:t xml:space="preserve">endrosios kompetencijos ar specializuotą teismą atlikti neatidėliotinų veiksmų poilsio ir švenčių dienomis </w:t>
      </w:r>
      <w:r w:rsidR="00815C00">
        <w:rPr>
          <w:lang w:eastAsia="lt-LT"/>
        </w:rPr>
        <w:t>kompensuojama</w:t>
      </w:r>
      <w:r w:rsidR="00815C00" w:rsidRPr="00185ED3">
        <w:rPr>
          <w:lang w:eastAsia="lt-LT"/>
        </w:rPr>
        <w:t xml:space="preserve"> šio </w:t>
      </w:r>
      <w:r w:rsidR="00815C00">
        <w:rPr>
          <w:lang w:eastAsia="lt-LT"/>
        </w:rPr>
        <w:t>Aprašo</w:t>
      </w:r>
      <w:r w:rsidR="00815C00" w:rsidRPr="00185ED3">
        <w:rPr>
          <w:lang w:eastAsia="lt-LT"/>
        </w:rPr>
        <w:t xml:space="preserve"> </w:t>
      </w:r>
      <w:r w:rsidR="00DD5DB1">
        <w:rPr>
          <w:lang w:eastAsia="lt-LT"/>
        </w:rPr>
        <w:t>5</w:t>
      </w:r>
      <w:r w:rsidR="00815C00">
        <w:rPr>
          <w:lang w:eastAsia="lt-LT"/>
        </w:rPr>
        <w:t xml:space="preserve"> punkte</w:t>
      </w:r>
      <w:r w:rsidR="00815C00" w:rsidRPr="00185ED3">
        <w:rPr>
          <w:lang w:eastAsia="lt-LT"/>
        </w:rPr>
        <w:t xml:space="preserve"> nustatyta tvarka. </w:t>
      </w:r>
    </w:p>
    <w:p w14:paraId="31918DA8" w14:textId="1DE366BA" w:rsidR="00815C00" w:rsidRPr="00185ED3" w:rsidRDefault="009E2178" w:rsidP="00815C00">
      <w:pPr>
        <w:ind w:firstLine="720"/>
        <w:jc w:val="both"/>
        <w:rPr>
          <w:lang w:eastAsia="lt-LT"/>
        </w:rPr>
      </w:pPr>
      <w:r>
        <w:rPr>
          <w:lang w:eastAsia="lt-LT"/>
        </w:rPr>
        <w:t>7</w:t>
      </w:r>
      <w:r w:rsidR="00815C00">
        <w:rPr>
          <w:lang w:eastAsia="lt-LT"/>
        </w:rPr>
        <w:t>.</w:t>
      </w:r>
      <w:r w:rsidR="00815C00" w:rsidRPr="00185ED3">
        <w:t xml:space="preserve"> </w:t>
      </w:r>
      <w:r w:rsidR="00815C00" w:rsidRPr="00185ED3">
        <w:rPr>
          <w:lang w:eastAsia="lt-LT"/>
        </w:rPr>
        <w:t xml:space="preserve">Budėjimo namuose laikas į darbo laiką neįskaičiuojamas, išskyrus laiką, per kurį, atvykus į </w:t>
      </w:r>
      <w:r w:rsidR="00815C00" w:rsidRPr="00185ED3">
        <w:rPr>
          <w:color w:val="000000"/>
          <w:lang w:eastAsia="lt-LT"/>
        </w:rPr>
        <w:t>b</w:t>
      </w:r>
      <w:r w:rsidR="00815C00" w:rsidRPr="00185ED3">
        <w:rPr>
          <w:lang w:eastAsia="lt-LT"/>
        </w:rPr>
        <w:t>endrosios kompetencijos ar specializuotą teismą, faktiškai atlikti neatidėliotini veiksmai.</w:t>
      </w:r>
    </w:p>
    <w:p w14:paraId="37F42F9D" w14:textId="77777777" w:rsidR="00815C00" w:rsidRDefault="00815C00" w:rsidP="00815C00">
      <w:pPr>
        <w:tabs>
          <w:tab w:val="left" w:pos="0"/>
          <w:tab w:val="left" w:pos="709"/>
        </w:tabs>
        <w:suppressAutoHyphens/>
        <w:autoSpaceDN w:val="0"/>
        <w:ind w:firstLine="709"/>
        <w:jc w:val="both"/>
        <w:textAlignment w:val="baseline"/>
        <w:rPr>
          <w:bCs/>
        </w:rPr>
      </w:pPr>
    </w:p>
    <w:p w14:paraId="2DD35BC0" w14:textId="53CBEAA9" w:rsidR="00815C00" w:rsidRPr="00A86117" w:rsidRDefault="00FD0C9A" w:rsidP="00815C00">
      <w:pPr>
        <w:pStyle w:val="Pagrindinistekstas"/>
        <w:tabs>
          <w:tab w:val="left" w:pos="709"/>
        </w:tabs>
        <w:spacing w:after="0"/>
        <w:ind w:firstLine="851"/>
        <w:jc w:val="center"/>
        <w:rPr>
          <w:b/>
        </w:rPr>
      </w:pPr>
      <w:r>
        <w:rPr>
          <w:b/>
        </w:rPr>
        <w:t>I</w:t>
      </w:r>
      <w:r w:rsidR="00815C00">
        <w:rPr>
          <w:b/>
        </w:rPr>
        <w:t xml:space="preserve">II. </w:t>
      </w:r>
      <w:r w:rsidR="00815C00" w:rsidRPr="00A86117">
        <w:rPr>
          <w:b/>
        </w:rPr>
        <w:t xml:space="preserve">DARBO BEI BUDĖJIMO </w:t>
      </w:r>
      <w:r w:rsidRPr="00A86117">
        <w:rPr>
          <w:b/>
        </w:rPr>
        <w:t xml:space="preserve">POILSIO IR ŠVENČIŲ DIENOMIS </w:t>
      </w:r>
      <w:r w:rsidR="00815C00" w:rsidRPr="00A86117">
        <w:rPr>
          <w:b/>
        </w:rPr>
        <w:t>APSKAITA</w:t>
      </w:r>
    </w:p>
    <w:p w14:paraId="207393B1" w14:textId="77777777" w:rsidR="00815C00" w:rsidRDefault="00815C00" w:rsidP="00815C00">
      <w:pPr>
        <w:pStyle w:val="Pagrindinistekstas"/>
        <w:tabs>
          <w:tab w:val="left" w:pos="709"/>
          <w:tab w:val="left" w:pos="1134"/>
        </w:tabs>
        <w:spacing w:after="0"/>
        <w:jc w:val="both"/>
      </w:pPr>
      <w:r>
        <w:tab/>
      </w:r>
    </w:p>
    <w:p w14:paraId="0CF5B6F5" w14:textId="0FE8720D" w:rsidR="00815C00" w:rsidRDefault="00815C00" w:rsidP="00815C00">
      <w:pPr>
        <w:pStyle w:val="Pagrindinistekstas"/>
        <w:tabs>
          <w:tab w:val="left" w:pos="709"/>
          <w:tab w:val="left" w:pos="1134"/>
        </w:tabs>
        <w:spacing w:after="0"/>
        <w:jc w:val="both"/>
      </w:pPr>
      <w:r>
        <w:tab/>
      </w:r>
      <w:r w:rsidR="00C86085">
        <w:t>8</w:t>
      </w:r>
      <w:r>
        <w:t xml:space="preserve">. </w:t>
      </w:r>
      <w:r w:rsidRPr="00A86117">
        <w:t>Tikslus teisėjo pagal nustatytą tvarką dirbt</w:t>
      </w:r>
      <w:r>
        <w:t>o</w:t>
      </w:r>
      <w:r w:rsidRPr="00A86117">
        <w:t xml:space="preserve"> darbo bei budėjimo</w:t>
      </w:r>
      <w:r w:rsidRPr="004C5AB9">
        <w:t xml:space="preserve"> </w:t>
      </w:r>
      <w:r w:rsidRPr="00A86117">
        <w:t xml:space="preserve">poilsio ir švenčių dienomis laikas žymimas </w:t>
      </w:r>
      <w:r w:rsidRPr="00712406">
        <w:t xml:space="preserve">šio Aprašo priede nurodytos </w:t>
      </w:r>
      <w:r w:rsidRPr="00A86117">
        <w:t xml:space="preserve">formos Teisėjų darbo </w:t>
      </w:r>
      <w:r>
        <w:t xml:space="preserve">bei </w:t>
      </w:r>
      <w:r w:rsidRPr="00A86117">
        <w:t>budėjimo poilsio ir švenčių dienomis</w:t>
      </w:r>
      <w:r>
        <w:t xml:space="preserve"> </w:t>
      </w:r>
      <w:r w:rsidRPr="00A86117">
        <w:t>apskaitos žurnale (toliau – Žurnalas).</w:t>
      </w:r>
    </w:p>
    <w:p w14:paraId="46D81711" w14:textId="77777777" w:rsidR="00C427DA" w:rsidRDefault="00815C00" w:rsidP="00286087">
      <w:pPr>
        <w:pStyle w:val="Pagrindinistekstas"/>
        <w:tabs>
          <w:tab w:val="left" w:pos="709"/>
          <w:tab w:val="left" w:pos="1134"/>
        </w:tabs>
        <w:spacing w:after="0"/>
        <w:jc w:val="both"/>
        <w:rPr>
          <w:color w:val="000000"/>
        </w:rPr>
      </w:pPr>
      <w:r>
        <w:tab/>
      </w:r>
      <w:r w:rsidR="00C86085">
        <w:t>9</w:t>
      </w:r>
      <w:r>
        <w:t xml:space="preserve">. </w:t>
      </w:r>
      <w:r w:rsidRPr="000F759E">
        <w:t>Informaciją apie darbą bei budėjimus</w:t>
      </w:r>
      <w:r w:rsidRPr="004C5AB9">
        <w:t xml:space="preserve"> </w:t>
      </w:r>
      <w:r w:rsidRPr="000F759E">
        <w:t xml:space="preserve">poilsio ir švenčių dienomis Žurnale įrašo pats teisėjas. Teisėjo Žurnalo įrašuose nurodytą darbo laiką patvirtina teismo pirmininkas arba jo įgaliotas skyriaus pirmininkas ar pirmininko pavaduotojas rezoliucija, </w:t>
      </w:r>
      <w:r w:rsidRPr="00563362">
        <w:t>pripažindamas, kad</w:t>
      </w:r>
      <w:r>
        <w:t xml:space="preserve"> už</w:t>
      </w:r>
      <w:r w:rsidRPr="00563362">
        <w:t xml:space="preserve"> įraše nurodyt</w:t>
      </w:r>
      <w:r>
        <w:t xml:space="preserve">ą </w:t>
      </w:r>
      <w:r w:rsidRPr="00563362">
        <w:t>darb</w:t>
      </w:r>
      <w:r>
        <w:t>ą</w:t>
      </w:r>
      <w:r w:rsidRPr="00563362">
        <w:t xml:space="preserve"> kompensuo</w:t>
      </w:r>
      <w:r>
        <w:t xml:space="preserve">tina </w:t>
      </w:r>
      <w:r w:rsidRPr="00563362">
        <w:t>šio Aprašo nustatyta tvarka</w:t>
      </w:r>
      <w:r>
        <w:t>.</w:t>
      </w:r>
      <w:r w:rsidRPr="000F759E" w:rsidDel="000F759E">
        <w:t xml:space="preserve"> </w:t>
      </w:r>
      <w:r w:rsidRPr="000F759E">
        <w:rPr>
          <w:color w:val="000000"/>
        </w:rPr>
        <w:t>Teismo pirmininkas arba jo įgaliotas skyriaus pirmininkas ar pirmininko pavaduotojas gali pareikalauti iš teisėjo pateikti papildomos informacijos apie Žurnale nurodyt</w:t>
      </w:r>
      <w:r>
        <w:rPr>
          <w:color w:val="000000"/>
        </w:rPr>
        <w:t>ų neatidėliotinų veiksmų atlikimą.</w:t>
      </w:r>
    </w:p>
    <w:p w14:paraId="24D69382" w14:textId="451E6679" w:rsidR="00815C00" w:rsidRPr="00A86117" w:rsidRDefault="00815C00" w:rsidP="00815C00">
      <w:pPr>
        <w:pStyle w:val="Pagrindinistekstas"/>
        <w:tabs>
          <w:tab w:val="left" w:pos="709"/>
          <w:tab w:val="left" w:pos="1134"/>
        </w:tabs>
        <w:spacing w:after="0"/>
        <w:jc w:val="both"/>
      </w:pPr>
      <w:r>
        <w:rPr>
          <w:color w:val="000000"/>
        </w:rPr>
        <w:tab/>
      </w:r>
      <w:r w:rsidR="00C86085">
        <w:rPr>
          <w:color w:val="000000"/>
        </w:rPr>
        <w:t>10</w:t>
      </w:r>
      <w:r>
        <w:rPr>
          <w:color w:val="000000"/>
        </w:rPr>
        <w:t>.</w:t>
      </w:r>
      <w:r>
        <w:t xml:space="preserve"> </w:t>
      </w:r>
      <w:r w:rsidR="002F65B0">
        <w:t xml:space="preserve">Teisėjo </w:t>
      </w:r>
      <w:r w:rsidR="002F65B0" w:rsidRPr="000F759E">
        <w:t>darb</w:t>
      </w:r>
      <w:r w:rsidR="002F65B0">
        <w:t>o</w:t>
      </w:r>
      <w:r w:rsidR="002F65B0" w:rsidRPr="000F759E">
        <w:t xml:space="preserve"> bei budėjim</w:t>
      </w:r>
      <w:r w:rsidR="00286087">
        <w:t>o</w:t>
      </w:r>
      <w:r w:rsidR="002F65B0" w:rsidRPr="004C5AB9">
        <w:t xml:space="preserve"> </w:t>
      </w:r>
      <w:r w:rsidR="002F65B0" w:rsidRPr="000F759E">
        <w:t>poilsio ir švenčių dienomis</w:t>
      </w:r>
      <w:r w:rsidR="002F65B0">
        <w:t xml:space="preserve"> apskaita </w:t>
      </w:r>
      <w:r w:rsidR="00286087">
        <w:t>Žurnale esančių duomenų pagrindu vykdoma bei t</w:t>
      </w:r>
      <w:r w:rsidR="002F65B0" w:rsidRPr="00E05C7A">
        <w:t xml:space="preserve">eisėjui šio Aprašo </w:t>
      </w:r>
      <w:r w:rsidR="002F65B0">
        <w:t>5</w:t>
      </w:r>
      <w:r w:rsidR="002F65B0" w:rsidRPr="00E05C7A">
        <w:t xml:space="preserve">.2 papunktyje nustatyta tvarka suteiktas papildomas poilsio laikas žymimas </w:t>
      </w:r>
      <w:r w:rsidR="002F65B0">
        <w:t>teismo pirmininko nustatyta tvarka</w:t>
      </w:r>
      <w:r w:rsidR="00286087">
        <w:t>.</w:t>
      </w:r>
      <w:r>
        <w:t xml:space="preserve"> </w:t>
      </w:r>
      <w:r w:rsidRPr="00A86117">
        <w:t xml:space="preserve">Už </w:t>
      </w:r>
      <w:r>
        <w:t xml:space="preserve"> teisingą</w:t>
      </w:r>
      <w:r w:rsidRPr="00A86117">
        <w:t xml:space="preserve"> duomenų apie darbo bei budėjimo poilsio ir švenčių dienomis tikslaus laiko pateikimą atsako teisėjai, o </w:t>
      </w:r>
      <w:r>
        <w:t xml:space="preserve">teisingą </w:t>
      </w:r>
      <w:r w:rsidRPr="00A86117">
        <w:t>jų apskaitą – teismo pirmininkas.</w:t>
      </w:r>
    </w:p>
    <w:p w14:paraId="43534D8B" w14:textId="146D3C0A" w:rsidR="00815C00" w:rsidRPr="00E05C7A" w:rsidRDefault="00F723AA" w:rsidP="00815C00">
      <w:pPr>
        <w:ind w:firstLine="720"/>
        <w:jc w:val="both"/>
      </w:pPr>
      <w:r>
        <w:lastRenderedPageBreak/>
        <w:t>1</w:t>
      </w:r>
      <w:r w:rsidR="00286087">
        <w:t>1</w:t>
      </w:r>
      <w:r w:rsidR="00815C00" w:rsidRPr="00E05C7A">
        <w:t xml:space="preserve">. Per kalendorinius metus nepanaudotas </w:t>
      </w:r>
      <w:r w:rsidR="00815C00" w:rsidRPr="00E05C7A">
        <w:rPr>
          <w:color w:val="000000"/>
          <w:lang w:eastAsia="lt-LT"/>
        </w:rPr>
        <w:t xml:space="preserve">prie kasmetinių atostogų pridedamas poilsio laikas </w:t>
      </w:r>
      <w:r w:rsidR="00815C00" w:rsidRPr="00E05C7A">
        <w:t>už tais metais dirbtą darbą bei budėjimą poilsio ir švenčių dienomis yra perkeliam</w:t>
      </w:r>
      <w:r w:rsidR="00815C00">
        <w:t>a</w:t>
      </w:r>
      <w:r w:rsidR="00815C00" w:rsidRPr="00E05C7A">
        <w:t xml:space="preserve">s į kitus kalendorinius metus. </w:t>
      </w:r>
    </w:p>
    <w:p w14:paraId="6DD29965" w14:textId="51057619" w:rsidR="00815C00" w:rsidRPr="00712406" w:rsidRDefault="007235B4" w:rsidP="00815C00">
      <w:pPr>
        <w:ind w:firstLine="720"/>
        <w:jc w:val="both"/>
      </w:pPr>
      <w:r>
        <w:t>1</w:t>
      </w:r>
      <w:r w:rsidR="00286087">
        <w:t>2</w:t>
      </w:r>
      <w:r w:rsidR="00815C00" w:rsidRPr="00E05C7A">
        <w:t>. Atleidžiant teisėją iš pareigų už nepanaudotą papildomą poilsio laiką išmokama</w:t>
      </w:r>
      <w:r w:rsidR="00815C00" w:rsidRPr="008922A4">
        <w:rPr>
          <w:color w:val="000000"/>
          <w:lang w:eastAsia="lt-LT"/>
        </w:rPr>
        <w:t xml:space="preserve"> </w:t>
      </w:r>
      <w:r w:rsidR="00815C00">
        <w:rPr>
          <w:color w:val="000000"/>
          <w:lang w:eastAsia="lt-LT"/>
        </w:rPr>
        <w:t>teisė</w:t>
      </w:r>
      <w:r w:rsidR="00815C00" w:rsidRPr="00185ED3">
        <w:rPr>
          <w:color w:val="000000"/>
          <w:lang w:eastAsia="lt-LT"/>
        </w:rPr>
        <w:t xml:space="preserve">jo </w:t>
      </w:r>
      <w:r w:rsidR="00815C00" w:rsidRPr="00185ED3">
        <w:rPr>
          <w:lang w:eastAsia="lt-LT"/>
        </w:rPr>
        <w:t xml:space="preserve">pareiginės algos su priedu už </w:t>
      </w:r>
      <w:r w:rsidR="00815C00" w:rsidRPr="00185ED3">
        <w:rPr>
          <w:color w:val="000000"/>
          <w:lang w:eastAsia="lt-LT"/>
        </w:rPr>
        <w:t>tarnybos Lietuvos valstybei stažą</w:t>
      </w:r>
      <w:r w:rsidR="00815C00" w:rsidRPr="00185ED3">
        <w:rPr>
          <w:lang w:eastAsia="lt-LT"/>
        </w:rPr>
        <w:t xml:space="preserve"> dydžio</w:t>
      </w:r>
      <w:r w:rsidR="00815C00" w:rsidRPr="00E05C7A">
        <w:t xml:space="preserve"> piniginė kompensacija</w:t>
      </w:r>
      <w:r w:rsidR="00815C00">
        <w:t xml:space="preserve"> proporcingai sukauptam </w:t>
      </w:r>
      <w:r w:rsidR="00815C00" w:rsidRPr="00E05C7A">
        <w:t>nepanaudot</w:t>
      </w:r>
      <w:r w:rsidR="00815C00">
        <w:t>am</w:t>
      </w:r>
      <w:r w:rsidR="00815C00" w:rsidRPr="00E05C7A">
        <w:t xml:space="preserve"> papildom</w:t>
      </w:r>
      <w:r w:rsidR="00815C00">
        <w:t>am</w:t>
      </w:r>
      <w:r w:rsidR="00815C00" w:rsidRPr="00E05C7A">
        <w:t xml:space="preserve"> poilsio laik</w:t>
      </w:r>
      <w:r w:rsidR="00815C00">
        <w:t xml:space="preserve">ui. </w:t>
      </w:r>
      <w:r w:rsidR="00815C00" w:rsidRPr="00E05C7A">
        <w:t xml:space="preserve">Jeigu teisėjui papildomas poilsio laikas nebuvo suteiktas daugiau kaip už vienus kalendorinius metus, kompensacija išmokama už visą nepanaudotą papildomą poilsio laiką. </w:t>
      </w:r>
    </w:p>
    <w:p w14:paraId="7DC57DBB" w14:textId="77777777" w:rsidR="00815C00" w:rsidRDefault="00815C00" w:rsidP="00815C00">
      <w:pPr>
        <w:tabs>
          <w:tab w:val="left" w:pos="0"/>
          <w:tab w:val="left" w:pos="1080"/>
        </w:tabs>
        <w:suppressAutoHyphens/>
        <w:autoSpaceDN w:val="0"/>
        <w:ind w:firstLine="709"/>
        <w:jc w:val="center"/>
        <w:textAlignment w:val="baseline"/>
        <w:rPr>
          <w:b/>
        </w:rPr>
      </w:pPr>
    </w:p>
    <w:p w14:paraId="1C756A91" w14:textId="09CE9DFE" w:rsidR="00815C00" w:rsidRDefault="007235B4" w:rsidP="00815C00">
      <w:pPr>
        <w:tabs>
          <w:tab w:val="left" w:pos="0"/>
          <w:tab w:val="left" w:pos="1080"/>
        </w:tabs>
        <w:suppressAutoHyphens/>
        <w:autoSpaceDN w:val="0"/>
        <w:ind w:firstLine="709"/>
        <w:jc w:val="center"/>
        <w:textAlignment w:val="baseline"/>
        <w:rPr>
          <w:b/>
        </w:rPr>
      </w:pPr>
      <w:r>
        <w:rPr>
          <w:b/>
        </w:rPr>
        <w:t>IV</w:t>
      </w:r>
      <w:r w:rsidR="00815C00">
        <w:rPr>
          <w:b/>
        </w:rPr>
        <w:t>. MOKĖJIMAS UŽ PAVADAVIMĄ</w:t>
      </w:r>
    </w:p>
    <w:p w14:paraId="5F860B6C" w14:textId="77777777" w:rsidR="00815C00" w:rsidRDefault="00815C00" w:rsidP="00815C00">
      <w:pPr>
        <w:ind w:firstLine="720"/>
        <w:jc w:val="both"/>
        <w:rPr>
          <w:b/>
        </w:rPr>
      </w:pPr>
    </w:p>
    <w:p w14:paraId="34712AC4" w14:textId="7C40E8A2" w:rsidR="00815C00" w:rsidRDefault="007235B4" w:rsidP="00815C00">
      <w:pPr>
        <w:ind w:firstLine="720"/>
        <w:jc w:val="both"/>
        <w:rPr>
          <w:shd w:val="clear" w:color="auto" w:fill="FFFFFF"/>
          <w:lang w:eastAsia="lt-LT"/>
        </w:rPr>
      </w:pPr>
      <w:r>
        <w:rPr>
          <w:bCs/>
        </w:rPr>
        <w:t>1</w:t>
      </w:r>
      <w:r w:rsidR="007A1DFC">
        <w:rPr>
          <w:bCs/>
        </w:rPr>
        <w:t>3</w:t>
      </w:r>
      <w:r w:rsidR="00815C00" w:rsidRPr="00CC1427">
        <w:rPr>
          <w:bCs/>
        </w:rPr>
        <w:t>. Tais atvejais, k</w:t>
      </w:r>
      <w:r w:rsidR="00815C00" w:rsidRPr="00CC1427">
        <w:rPr>
          <w:bCs/>
          <w:shd w:val="clear" w:color="auto" w:fill="FFFFFF"/>
          <w:lang w:eastAsia="lt-LT"/>
        </w:rPr>
        <w:t>ai</w:t>
      </w:r>
      <w:r w:rsidR="00815C00" w:rsidRPr="00185ED3">
        <w:rPr>
          <w:color w:val="000000"/>
          <w:lang w:eastAsia="lt-LT"/>
        </w:rPr>
        <w:t xml:space="preserve"> </w:t>
      </w:r>
      <w:r w:rsidR="007513AC" w:rsidRPr="00185ED3">
        <w:rPr>
          <w:shd w:val="clear" w:color="auto" w:fill="FFFFFF"/>
          <w:lang w:eastAsia="lt-LT"/>
        </w:rPr>
        <w:t>b</w:t>
      </w:r>
      <w:r w:rsidR="007513AC" w:rsidRPr="00185ED3">
        <w:rPr>
          <w:color w:val="000000"/>
          <w:lang w:eastAsia="lt-LT"/>
        </w:rPr>
        <w:t xml:space="preserve">endrosios kompetencijos ar specializuoto </w:t>
      </w:r>
      <w:r w:rsidR="007513AC" w:rsidRPr="00185ED3">
        <w:rPr>
          <w:shd w:val="clear" w:color="auto" w:fill="FFFFFF"/>
          <w:lang w:eastAsia="lt-LT"/>
        </w:rPr>
        <w:t xml:space="preserve">teismo pirmininką, pirmininko pavaduotoją ar skyriaus pirmininką Teismų įstatymo </w:t>
      </w:r>
      <w:r w:rsidR="007513AC">
        <w:rPr>
          <w:shd w:val="clear" w:color="auto" w:fill="FFFFFF"/>
          <w:lang w:eastAsia="lt-LT"/>
        </w:rPr>
        <w:t xml:space="preserve">105 straipsnyje </w:t>
      </w:r>
      <w:r w:rsidR="007513AC" w:rsidRPr="00185ED3">
        <w:rPr>
          <w:shd w:val="clear" w:color="auto" w:fill="FFFFFF"/>
          <w:lang w:eastAsia="lt-LT"/>
        </w:rPr>
        <w:t>nustatyta tvarka pavaduoja</w:t>
      </w:r>
      <w:r w:rsidR="007513AC">
        <w:rPr>
          <w:color w:val="000000"/>
          <w:lang w:eastAsia="lt-LT"/>
        </w:rPr>
        <w:t xml:space="preserve"> atitinkamai </w:t>
      </w:r>
      <w:r w:rsidR="00815C00" w:rsidRPr="00185ED3">
        <w:rPr>
          <w:color w:val="000000"/>
          <w:lang w:eastAsia="lt-LT"/>
        </w:rPr>
        <w:t>skyriaus pirmininkas</w:t>
      </w:r>
      <w:r w:rsidR="00815C00" w:rsidRPr="00185ED3">
        <w:rPr>
          <w:shd w:val="clear" w:color="auto" w:fill="FFFFFF"/>
          <w:lang w:eastAsia="lt-LT"/>
        </w:rPr>
        <w:t xml:space="preserve">, </w:t>
      </w:r>
      <w:r w:rsidR="007513AC">
        <w:rPr>
          <w:shd w:val="clear" w:color="auto" w:fill="FFFFFF"/>
          <w:lang w:eastAsia="lt-LT"/>
        </w:rPr>
        <w:t>pirmininko pavaduotojas</w:t>
      </w:r>
      <w:r w:rsidR="00657097">
        <w:rPr>
          <w:shd w:val="clear" w:color="auto" w:fill="FFFFFF"/>
          <w:lang w:eastAsia="lt-LT"/>
        </w:rPr>
        <w:t xml:space="preserve"> ar</w:t>
      </w:r>
      <w:r w:rsidR="007513AC">
        <w:rPr>
          <w:lang w:eastAsia="lt-LT"/>
        </w:rPr>
        <w:t xml:space="preserve"> teisėjas</w:t>
      </w:r>
      <w:r w:rsidR="00657097">
        <w:rPr>
          <w:lang w:eastAsia="lt-LT"/>
        </w:rPr>
        <w:t>,</w:t>
      </w:r>
      <w:r w:rsidR="007513AC" w:rsidRPr="00185ED3">
        <w:rPr>
          <w:shd w:val="clear" w:color="auto" w:fill="FFFFFF"/>
          <w:lang w:eastAsia="lt-LT"/>
        </w:rPr>
        <w:t xml:space="preserve"> </w:t>
      </w:r>
      <w:r w:rsidR="00815C00" w:rsidRPr="00185ED3">
        <w:rPr>
          <w:shd w:val="clear" w:color="auto" w:fill="FFFFFF"/>
          <w:lang w:eastAsia="lt-LT"/>
        </w:rPr>
        <w:t xml:space="preserve">apskaičiuojant jo atlyginimą taikomas </w:t>
      </w:r>
      <w:r w:rsidR="009E53E8">
        <w:rPr>
          <w:shd w:val="clear" w:color="auto" w:fill="FFFFFF"/>
          <w:lang w:eastAsia="lt-LT"/>
        </w:rPr>
        <w:t xml:space="preserve">atitinkamo pavaduojamojo teismo pareigūno </w:t>
      </w:r>
      <w:r w:rsidR="00815C00" w:rsidRPr="00185ED3">
        <w:rPr>
          <w:shd w:val="clear" w:color="auto" w:fill="FFFFFF"/>
          <w:lang w:eastAsia="lt-LT"/>
        </w:rPr>
        <w:t>pareiginės algos koeficientas</w:t>
      </w:r>
      <w:r w:rsidR="00815C00">
        <w:rPr>
          <w:shd w:val="clear" w:color="auto" w:fill="FFFFFF"/>
          <w:lang w:eastAsia="lt-LT"/>
        </w:rPr>
        <w:t>, nustatytas Lietuvos Respublikos teisėjų darbo apmokėjimo įstatymo priedo II skyriuje.</w:t>
      </w:r>
    </w:p>
    <w:p w14:paraId="5E41E692" w14:textId="53BD38C0" w:rsidR="00815C00" w:rsidRDefault="00815C00" w:rsidP="00D61FF8">
      <w:pPr>
        <w:ind w:firstLine="720"/>
        <w:jc w:val="both"/>
        <w:rPr>
          <w:b/>
          <w:caps/>
        </w:rPr>
      </w:pPr>
      <w:r>
        <w:rPr>
          <w:shd w:val="clear" w:color="auto" w:fill="FFFFFF"/>
          <w:lang w:eastAsia="lt-LT"/>
        </w:rPr>
        <w:t xml:space="preserve"> </w:t>
      </w:r>
    </w:p>
    <w:p w14:paraId="2422F514" w14:textId="1BA7901B" w:rsidR="00142767" w:rsidRDefault="007235B4" w:rsidP="00990278">
      <w:pPr>
        <w:tabs>
          <w:tab w:val="left" w:pos="709"/>
        </w:tabs>
        <w:suppressAutoHyphens/>
        <w:autoSpaceDN w:val="0"/>
        <w:ind w:firstLine="709"/>
        <w:jc w:val="center"/>
        <w:textAlignment w:val="baseline"/>
        <w:rPr>
          <w:b/>
          <w:caps/>
        </w:rPr>
      </w:pPr>
      <w:r>
        <w:rPr>
          <w:b/>
          <w:caps/>
        </w:rPr>
        <w:t xml:space="preserve">V. </w:t>
      </w:r>
      <w:r w:rsidR="00142767" w:rsidRPr="00C611AC">
        <w:rPr>
          <w:b/>
          <w:caps/>
        </w:rPr>
        <w:t xml:space="preserve">PADIDĖJUSIO DARBO KRŪVIO </w:t>
      </w:r>
      <w:r w:rsidR="00C611AC" w:rsidRPr="00C611AC">
        <w:rPr>
          <w:b/>
          <w:caps/>
        </w:rPr>
        <w:t xml:space="preserve">dėl </w:t>
      </w:r>
      <w:r w:rsidR="00C611AC" w:rsidRPr="003E665C">
        <w:rPr>
          <w:b/>
          <w:caps/>
          <w:lang w:eastAsia="lt-LT"/>
        </w:rPr>
        <w:t xml:space="preserve">kito to paties teismo (ar tų pačių teismo rūmų) teisėjo funkcijų atlikimo </w:t>
      </w:r>
      <w:r w:rsidR="00142767" w:rsidRPr="00C611AC">
        <w:rPr>
          <w:b/>
          <w:caps/>
        </w:rPr>
        <w:t>NUSTATYMAS</w:t>
      </w:r>
    </w:p>
    <w:p w14:paraId="14B3ECB7" w14:textId="06AD45D2" w:rsidR="00C611AC" w:rsidRDefault="00C611AC" w:rsidP="00990278">
      <w:pPr>
        <w:tabs>
          <w:tab w:val="left" w:pos="709"/>
        </w:tabs>
        <w:suppressAutoHyphens/>
        <w:autoSpaceDN w:val="0"/>
        <w:ind w:firstLine="709"/>
        <w:jc w:val="center"/>
        <w:textAlignment w:val="baseline"/>
        <w:rPr>
          <w:b/>
          <w:caps/>
        </w:rPr>
      </w:pPr>
    </w:p>
    <w:p w14:paraId="190BB521" w14:textId="41EC6E8A" w:rsidR="006B76D0" w:rsidRPr="00E01CDA" w:rsidRDefault="003660FB" w:rsidP="006B76D0">
      <w:pPr>
        <w:tabs>
          <w:tab w:val="left" w:pos="709"/>
          <w:tab w:val="left" w:pos="1134"/>
        </w:tabs>
        <w:suppressAutoHyphens/>
        <w:autoSpaceDN w:val="0"/>
        <w:ind w:firstLine="709"/>
        <w:jc w:val="both"/>
        <w:textAlignment w:val="baseline"/>
        <w:rPr>
          <w:lang w:eastAsia="lt-LT"/>
        </w:rPr>
      </w:pPr>
      <w:r>
        <w:rPr>
          <w:bCs/>
        </w:rPr>
        <w:t>14</w:t>
      </w:r>
      <w:r w:rsidR="00AA6427" w:rsidRPr="00E01CDA">
        <w:rPr>
          <w:bCs/>
        </w:rPr>
        <w:t>.</w:t>
      </w:r>
      <w:r w:rsidR="00DC29AB" w:rsidRPr="00E01CDA">
        <w:rPr>
          <w:bCs/>
        </w:rPr>
        <w:t xml:space="preserve"> </w:t>
      </w:r>
      <w:r w:rsidR="00DA3DED" w:rsidRPr="00E01CDA">
        <w:rPr>
          <w:bCs/>
        </w:rPr>
        <w:t>Dėl k</w:t>
      </w:r>
      <w:r w:rsidR="006B76D0" w:rsidRPr="00E01CDA">
        <w:rPr>
          <w:bCs/>
          <w:lang w:eastAsia="lt-LT"/>
        </w:rPr>
        <w:t>ito</w:t>
      </w:r>
      <w:r w:rsidR="006B76D0" w:rsidRPr="00E01CDA">
        <w:rPr>
          <w:lang w:eastAsia="lt-LT"/>
        </w:rPr>
        <w:t xml:space="preserve"> teisėjo funkcijų atlikim</w:t>
      </w:r>
      <w:r w:rsidR="00DA3DED" w:rsidRPr="00E01CDA">
        <w:rPr>
          <w:lang w:eastAsia="lt-LT"/>
        </w:rPr>
        <w:t xml:space="preserve">o </w:t>
      </w:r>
      <w:r w:rsidR="00387F8C" w:rsidRPr="00E01CDA">
        <w:rPr>
          <w:lang w:eastAsia="lt-LT"/>
        </w:rPr>
        <w:t xml:space="preserve">ir priemokos </w:t>
      </w:r>
      <w:r w:rsidR="00B34915" w:rsidRPr="00E01CDA">
        <w:rPr>
          <w:lang w:eastAsia="lt-LT"/>
        </w:rPr>
        <w:t xml:space="preserve">už tokį darbą </w:t>
      </w:r>
      <w:r w:rsidR="00387F8C" w:rsidRPr="00E01CDA">
        <w:rPr>
          <w:lang w:eastAsia="lt-LT"/>
        </w:rPr>
        <w:t xml:space="preserve">mokėjimo </w:t>
      </w:r>
      <w:r w:rsidR="00DA3DED" w:rsidRPr="00E01CDA">
        <w:rPr>
          <w:lang w:eastAsia="lt-LT"/>
        </w:rPr>
        <w:t xml:space="preserve">sprendžiama, jeigu egzistuoja bent viena iš šių </w:t>
      </w:r>
      <w:r w:rsidR="00DA3DED" w:rsidRPr="00E01CDA">
        <w:rPr>
          <w:bCs/>
        </w:rPr>
        <w:t>aplinkybių</w:t>
      </w:r>
      <w:r w:rsidR="006B76D0" w:rsidRPr="00E01CDA">
        <w:rPr>
          <w:bCs/>
          <w:lang w:eastAsia="lt-LT"/>
        </w:rPr>
        <w:t>:</w:t>
      </w:r>
    </w:p>
    <w:p w14:paraId="2BB33D38" w14:textId="292CFCE9" w:rsidR="006B76D0" w:rsidRPr="00E01CDA" w:rsidRDefault="003660FB" w:rsidP="006B76D0">
      <w:pPr>
        <w:tabs>
          <w:tab w:val="left" w:pos="709"/>
          <w:tab w:val="left" w:pos="1134"/>
        </w:tabs>
        <w:suppressAutoHyphens/>
        <w:autoSpaceDN w:val="0"/>
        <w:ind w:firstLine="709"/>
        <w:jc w:val="both"/>
        <w:textAlignment w:val="baseline"/>
        <w:rPr>
          <w:lang w:eastAsia="lt-LT"/>
        </w:rPr>
      </w:pPr>
      <w:r w:rsidRPr="00E01CDA">
        <w:rPr>
          <w:lang w:eastAsia="lt-LT"/>
        </w:rPr>
        <w:t>14</w:t>
      </w:r>
      <w:r w:rsidR="006B76D0" w:rsidRPr="00E01CDA">
        <w:rPr>
          <w:lang w:eastAsia="lt-LT"/>
        </w:rPr>
        <w:t xml:space="preserve">.1. teisme (ar teismo rūmuose) </w:t>
      </w:r>
      <w:r w:rsidR="00BE66B9" w:rsidRPr="00E01CDA">
        <w:rPr>
          <w:lang w:eastAsia="lt-LT"/>
        </w:rPr>
        <w:t xml:space="preserve">atsilaisvinus teisėjo etatui </w:t>
      </w:r>
      <w:r w:rsidR="00082C64" w:rsidRPr="00E01CDA">
        <w:rPr>
          <w:lang w:eastAsia="lt-LT"/>
        </w:rPr>
        <w:t>ilgiau</w:t>
      </w:r>
      <w:r w:rsidR="006B76D0" w:rsidRPr="00E01CDA">
        <w:rPr>
          <w:lang w:eastAsia="lt-LT"/>
        </w:rPr>
        <w:t xml:space="preserve"> nei 3 mėnesius </w:t>
      </w:r>
      <w:r w:rsidR="000A3B78" w:rsidRPr="00E01CDA">
        <w:rPr>
          <w:lang w:eastAsia="lt-LT"/>
        </w:rPr>
        <w:t xml:space="preserve">į jį nėra paskiriamas kitas teisėjas; </w:t>
      </w:r>
    </w:p>
    <w:p w14:paraId="21ECD341" w14:textId="7845AC0A" w:rsidR="006B76D0" w:rsidRPr="00E01CDA" w:rsidRDefault="003660FB" w:rsidP="006B76D0">
      <w:pPr>
        <w:tabs>
          <w:tab w:val="left" w:pos="709"/>
          <w:tab w:val="left" w:pos="1134"/>
        </w:tabs>
        <w:suppressAutoHyphens/>
        <w:autoSpaceDN w:val="0"/>
        <w:ind w:firstLine="709"/>
        <w:jc w:val="both"/>
        <w:textAlignment w:val="baseline"/>
        <w:rPr>
          <w:bCs/>
          <w:lang w:eastAsia="lt-LT"/>
        </w:rPr>
      </w:pPr>
      <w:r w:rsidRPr="00E01CDA">
        <w:rPr>
          <w:lang w:eastAsia="lt-LT"/>
        </w:rPr>
        <w:t>14</w:t>
      </w:r>
      <w:r w:rsidR="006B76D0" w:rsidRPr="00E01CDA">
        <w:rPr>
          <w:lang w:eastAsia="lt-LT"/>
        </w:rPr>
        <w:t xml:space="preserve">.2. </w:t>
      </w:r>
      <w:r w:rsidR="006B76D0" w:rsidRPr="00E01CDA">
        <w:rPr>
          <w:bCs/>
          <w:lang w:eastAsia="lt-LT"/>
        </w:rPr>
        <w:t>kai teismo (ar</w:t>
      </w:r>
      <w:r w:rsidR="006B76D0" w:rsidRPr="00E01CDA">
        <w:rPr>
          <w:lang w:eastAsia="lt-LT"/>
        </w:rPr>
        <w:t xml:space="preserve"> </w:t>
      </w:r>
      <w:r w:rsidR="006B76D0" w:rsidRPr="00E01CDA">
        <w:rPr>
          <w:bCs/>
          <w:lang w:eastAsia="lt-LT"/>
        </w:rPr>
        <w:t xml:space="preserve">teismo rūmų) teisėjas </w:t>
      </w:r>
      <w:r w:rsidR="00082C64" w:rsidRPr="00E01CDA">
        <w:rPr>
          <w:bCs/>
          <w:lang w:eastAsia="lt-LT"/>
        </w:rPr>
        <w:t xml:space="preserve">ilgiau nei </w:t>
      </w:r>
      <w:r w:rsidR="00082C64" w:rsidRPr="00E01CDA">
        <w:rPr>
          <w:lang w:eastAsia="lt-LT"/>
        </w:rPr>
        <w:t xml:space="preserve">3 mėnesius </w:t>
      </w:r>
      <w:r w:rsidR="006B76D0" w:rsidRPr="00E01CDA">
        <w:rPr>
          <w:bCs/>
          <w:lang w:eastAsia="lt-LT"/>
        </w:rPr>
        <w:t>negali eiti teisėjo pareigų</w:t>
      </w:r>
      <w:r w:rsidR="005851B6" w:rsidRPr="00E01CDA">
        <w:rPr>
          <w:bCs/>
          <w:lang w:eastAsia="lt-LT"/>
        </w:rPr>
        <w:t xml:space="preserve"> dėl laikinojo nedarbingumo, stažuotės, įgaliojimų sustabdymo ar kitų objektyvių laikinų priežasčių.</w:t>
      </w:r>
    </w:p>
    <w:p w14:paraId="69398483" w14:textId="05EB55A2" w:rsidR="00FA5824" w:rsidRPr="00E01CDA" w:rsidRDefault="003660FB" w:rsidP="00FA5824">
      <w:pPr>
        <w:tabs>
          <w:tab w:val="left" w:pos="709"/>
          <w:tab w:val="left" w:pos="1134"/>
          <w:tab w:val="left" w:pos="2345"/>
        </w:tabs>
        <w:suppressAutoHyphens/>
        <w:autoSpaceDN w:val="0"/>
        <w:ind w:firstLine="709"/>
        <w:jc w:val="both"/>
        <w:textAlignment w:val="baseline"/>
        <w:rPr>
          <w:bCs/>
        </w:rPr>
      </w:pPr>
      <w:r w:rsidRPr="00E01CDA">
        <w:rPr>
          <w:bCs/>
        </w:rPr>
        <w:t>15</w:t>
      </w:r>
      <w:r w:rsidR="00FA5824" w:rsidRPr="00E01CDA">
        <w:rPr>
          <w:bCs/>
        </w:rPr>
        <w:t>. Nusta</w:t>
      </w:r>
      <w:r w:rsidR="00387F8C" w:rsidRPr="00E01CDA">
        <w:rPr>
          <w:bCs/>
        </w:rPr>
        <w:t xml:space="preserve">čius bent vieną šio Aprašo </w:t>
      </w:r>
      <w:r w:rsidRPr="00E01CDA">
        <w:rPr>
          <w:bCs/>
        </w:rPr>
        <w:t xml:space="preserve">14 </w:t>
      </w:r>
      <w:r w:rsidR="00387F8C" w:rsidRPr="00E01CDA">
        <w:rPr>
          <w:bCs/>
        </w:rPr>
        <w:t>punkte nurodytą aplinkybę</w:t>
      </w:r>
      <w:r w:rsidR="00D43FB2" w:rsidRPr="00E01CDA">
        <w:rPr>
          <w:bCs/>
        </w:rPr>
        <w:t>, tuo atveju jeigu nėra galimybės taikyti</w:t>
      </w:r>
      <w:r w:rsidR="00991A89" w:rsidRPr="00E01CDA">
        <w:rPr>
          <w:bCs/>
        </w:rPr>
        <w:t xml:space="preserve"> </w:t>
      </w:r>
      <w:r w:rsidR="00D43FB2" w:rsidRPr="00E01CDA">
        <w:rPr>
          <w:bCs/>
        </w:rPr>
        <w:t xml:space="preserve">administravimo </w:t>
      </w:r>
      <w:r w:rsidR="00BE66B9" w:rsidRPr="00E01CDA">
        <w:rPr>
          <w:bCs/>
        </w:rPr>
        <w:t xml:space="preserve">teismuose ir kitų </w:t>
      </w:r>
      <w:r w:rsidR="00D43FB2" w:rsidRPr="00E01CDA">
        <w:rPr>
          <w:bCs/>
        </w:rPr>
        <w:t xml:space="preserve">priemonių dėl darbo krūvio </w:t>
      </w:r>
      <w:r w:rsidR="00BE66B9" w:rsidRPr="00E01CDA">
        <w:rPr>
          <w:bCs/>
        </w:rPr>
        <w:t>teisme su</w:t>
      </w:r>
      <w:r w:rsidR="00D43FB2" w:rsidRPr="00E01CDA">
        <w:rPr>
          <w:bCs/>
        </w:rPr>
        <w:t xml:space="preserve">reguliavimo arba taikytos priemonės </w:t>
      </w:r>
      <w:r w:rsidR="00661356" w:rsidRPr="00E01CDA">
        <w:rPr>
          <w:bCs/>
        </w:rPr>
        <w:t>nėra</w:t>
      </w:r>
      <w:r w:rsidR="002F5416" w:rsidRPr="00E01CDA">
        <w:rPr>
          <w:bCs/>
        </w:rPr>
        <w:t xml:space="preserve"> pakankamai</w:t>
      </w:r>
      <w:r w:rsidR="00661356" w:rsidRPr="00E01CDA">
        <w:rPr>
          <w:bCs/>
        </w:rPr>
        <w:t xml:space="preserve"> efektyvios</w:t>
      </w:r>
      <w:r w:rsidR="00D43FB2" w:rsidRPr="00E01CDA">
        <w:rPr>
          <w:bCs/>
        </w:rPr>
        <w:t xml:space="preserve">, </w:t>
      </w:r>
      <w:r w:rsidR="00FA5824" w:rsidRPr="00E01CDA">
        <w:rPr>
          <w:bCs/>
        </w:rPr>
        <w:t>yra pagrindas vertinti</w:t>
      </w:r>
      <w:r w:rsidR="007D6AAA" w:rsidRPr="00E01CDA">
        <w:rPr>
          <w:bCs/>
        </w:rPr>
        <w:t xml:space="preserve">, ar dirbančių teisėjų </w:t>
      </w:r>
      <w:r w:rsidR="00FA5824" w:rsidRPr="00E01CDA">
        <w:rPr>
          <w:bCs/>
        </w:rPr>
        <w:t>darbo krūv</w:t>
      </w:r>
      <w:r w:rsidR="007D6AAA" w:rsidRPr="00E01CDA">
        <w:rPr>
          <w:bCs/>
        </w:rPr>
        <w:t xml:space="preserve">is padidėjo </w:t>
      </w:r>
      <w:r w:rsidR="00661356" w:rsidRPr="00E01CDA">
        <w:rPr>
          <w:bCs/>
        </w:rPr>
        <w:t>dėl k</w:t>
      </w:r>
      <w:r w:rsidR="00661356" w:rsidRPr="00E01CDA">
        <w:rPr>
          <w:bCs/>
          <w:lang w:eastAsia="lt-LT"/>
        </w:rPr>
        <w:t>ito</w:t>
      </w:r>
      <w:r w:rsidR="00661356" w:rsidRPr="00E01CDA">
        <w:rPr>
          <w:lang w:eastAsia="lt-LT"/>
        </w:rPr>
        <w:t xml:space="preserve"> teisėjo funkcijų atlikimo</w:t>
      </w:r>
      <w:r w:rsidR="00FA5824" w:rsidRPr="00E01CDA">
        <w:rPr>
          <w:bCs/>
        </w:rPr>
        <w:t xml:space="preserve"> ir priimti sprendimą dėl priemokos skyrimo ir išmokėjimo.</w:t>
      </w:r>
    </w:p>
    <w:p w14:paraId="0AC3C337" w14:textId="2993E868" w:rsidR="00145FD5" w:rsidRPr="00E01CDA" w:rsidRDefault="003660FB" w:rsidP="00FA5824">
      <w:pPr>
        <w:tabs>
          <w:tab w:val="left" w:pos="709"/>
          <w:tab w:val="left" w:pos="1134"/>
          <w:tab w:val="left" w:pos="2345"/>
        </w:tabs>
        <w:suppressAutoHyphens/>
        <w:autoSpaceDN w:val="0"/>
        <w:ind w:firstLine="709"/>
        <w:jc w:val="both"/>
        <w:textAlignment w:val="baseline"/>
        <w:rPr>
          <w:lang w:eastAsia="lt-LT"/>
        </w:rPr>
      </w:pPr>
      <w:r w:rsidRPr="00E01CDA">
        <w:rPr>
          <w:bCs/>
        </w:rPr>
        <w:t>16</w:t>
      </w:r>
      <w:r w:rsidR="0071119F" w:rsidRPr="00E01CDA">
        <w:rPr>
          <w:bCs/>
        </w:rPr>
        <w:t xml:space="preserve">. </w:t>
      </w:r>
      <w:r w:rsidR="007D6AAA" w:rsidRPr="00E01CDA">
        <w:rPr>
          <w:bCs/>
        </w:rPr>
        <w:t>Tuo atveju, jeigu teisme (teismo rūmuose) yra nustatytos specializacijos tam tikr</w:t>
      </w:r>
      <w:r w:rsidR="001338CD" w:rsidRPr="00E01CDA">
        <w:rPr>
          <w:bCs/>
        </w:rPr>
        <w:t xml:space="preserve">o tipo </w:t>
      </w:r>
      <w:r w:rsidR="002E5FBC" w:rsidRPr="00E01CDA">
        <w:rPr>
          <w:bCs/>
        </w:rPr>
        <w:t xml:space="preserve"> byloms nagrinėti</w:t>
      </w:r>
      <w:r w:rsidR="007D6AAA" w:rsidRPr="00E01CDA">
        <w:rPr>
          <w:bCs/>
        </w:rPr>
        <w:t xml:space="preserve"> arba teismas yra sudarytas iš skyrių, vertinamas tik t</w:t>
      </w:r>
      <w:r w:rsidR="00B3617D" w:rsidRPr="00E01CDA">
        <w:rPr>
          <w:bCs/>
        </w:rPr>
        <w:t>ą pačią specializaciją turinčių (</w:t>
      </w:r>
      <w:r w:rsidR="007D6AAA" w:rsidRPr="00E01CDA">
        <w:rPr>
          <w:bCs/>
        </w:rPr>
        <w:t>tame pačiame teismo skyriuj</w:t>
      </w:r>
      <w:r w:rsidR="00B3617D" w:rsidRPr="00E01CDA">
        <w:rPr>
          <w:bCs/>
        </w:rPr>
        <w:t xml:space="preserve">e </w:t>
      </w:r>
      <w:r w:rsidR="007D6AAA" w:rsidRPr="00E01CDA">
        <w:rPr>
          <w:bCs/>
        </w:rPr>
        <w:t>dirbančių</w:t>
      </w:r>
      <w:r w:rsidR="00B3617D" w:rsidRPr="00E01CDA">
        <w:rPr>
          <w:bCs/>
        </w:rPr>
        <w:t>)</w:t>
      </w:r>
      <w:r w:rsidR="007D6AAA" w:rsidRPr="00E01CDA">
        <w:rPr>
          <w:bCs/>
        </w:rPr>
        <w:t xml:space="preserve"> teisėjų darbo krūvio padidėjimas</w:t>
      </w:r>
      <w:r w:rsidR="00B3617D" w:rsidRPr="00E01CDA">
        <w:rPr>
          <w:bCs/>
        </w:rPr>
        <w:t>, atsižvelgiant į tai, kokios specializacijos</w:t>
      </w:r>
      <w:r w:rsidR="00AE2669" w:rsidRPr="00E01CDA">
        <w:rPr>
          <w:bCs/>
        </w:rPr>
        <w:t xml:space="preserve"> (kurio skyriaus) teisėjas </w:t>
      </w:r>
      <w:r w:rsidR="00AE2669" w:rsidRPr="00E01CDA">
        <w:rPr>
          <w:bCs/>
          <w:lang w:eastAsia="lt-LT"/>
        </w:rPr>
        <w:t>laikinai negali eiti</w:t>
      </w:r>
      <w:r w:rsidR="00AE2669" w:rsidRPr="00E01CDA">
        <w:rPr>
          <w:bCs/>
        </w:rPr>
        <w:t xml:space="preserve"> pareigų arba kurio pareigos laikinai </w:t>
      </w:r>
      <w:r w:rsidR="00B3617D" w:rsidRPr="00E01CDA">
        <w:rPr>
          <w:lang w:eastAsia="lt-LT"/>
        </w:rPr>
        <w:t>neužimtos</w:t>
      </w:r>
      <w:r w:rsidR="00AE2669" w:rsidRPr="00E01CDA">
        <w:rPr>
          <w:lang w:eastAsia="lt-LT"/>
        </w:rPr>
        <w:t>.</w:t>
      </w:r>
    </w:p>
    <w:p w14:paraId="7BA2EE66" w14:textId="229A165A" w:rsidR="00BB592E" w:rsidRPr="00E01CDA" w:rsidRDefault="003660FB" w:rsidP="0083050B">
      <w:pPr>
        <w:tabs>
          <w:tab w:val="left" w:pos="709"/>
          <w:tab w:val="left" w:pos="1134"/>
          <w:tab w:val="left" w:pos="2345"/>
        </w:tabs>
        <w:suppressAutoHyphens/>
        <w:autoSpaceDN w:val="0"/>
        <w:ind w:firstLine="709"/>
        <w:jc w:val="both"/>
        <w:textAlignment w:val="baseline"/>
        <w:rPr>
          <w:bCs/>
        </w:rPr>
      </w:pPr>
      <w:r w:rsidRPr="00E01CDA">
        <w:rPr>
          <w:lang w:eastAsia="lt-LT"/>
        </w:rPr>
        <w:t>17</w:t>
      </w:r>
      <w:r w:rsidR="007A2C52" w:rsidRPr="00E01CDA">
        <w:rPr>
          <w:lang w:eastAsia="lt-LT"/>
        </w:rPr>
        <w:t xml:space="preserve">. </w:t>
      </w:r>
      <w:r w:rsidR="00FA5824" w:rsidRPr="00E01CDA">
        <w:rPr>
          <w:bCs/>
        </w:rPr>
        <w:t xml:space="preserve">Padidėjęs darbo krūvis </w:t>
      </w:r>
      <w:r w:rsidR="00590EF2" w:rsidRPr="00E01CDA">
        <w:rPr>
          <w:bCs/>
        </w:rPr>
        <w:t xml:space="preserve">dėl </w:t>
      </w:r>
      <w:r w:rsidR="00590EF2" w:rsidRPr="00E01CDA">
        <w:rPr>
          <w:lang w:eastAsia="lt-LT"/>
        </w:rPr>
        <w:t xml:space="preserve">kito teisėjo funkcijų atlikimo </w:t>
      </w:r>
      <w:r w:rsidR="00FA5824" w:rsidRPr="00E01CDA">
        <w:rPr>
          <w:bCs/>
        </w:rPr>
        <w:t>nustatomas už praėjus</w:t>
      </w:r>
      <w:r w:rsidR="00A6383F" w:rsidRPr="00E01CDA">
        <w:rPr>
          <w:bCs/>
        </w:rPr>
        <w:t>ių 3 mėnesių</w:t>
      </w:r>
      <w:r w:rsidR="00FA5824" w:rsidRPr="00E01CDA">
        <w:rPr>
          <w:bCs/>
        </w:rPr>
        <w:t xml:space="preserve"> </w:t>
      </w:r>
      <w:r w:rsidR="00511AA5" w:rsidRPr="00E01CDA">
        <w:rPr>
          <w:bCs/>
        </w:rPr>
        <w:t>laikotarpį</w:t>
      </w:r>
      <w:r w:rsidR="00FA5824" w:rsidRPr="00E01CDA">
        <w:rPr>
          <w:bCs/>
          <w:u w:val="single"/>
        </w:rPr>
        <w:t>,</w:t>
      </w:r>
      <w:r w:rsidR="00FA5824" w:rsidRPr="00E01CDA">
        <w:rPr>
          <w:bCs/>
        </w:rPr>
        <w:t xml:space="preserve"> vertinant </w:t>
      </w:r>
      <w:r w:rsidR="00A6383F" w:rsidRPr="00E01CDA">
        <w:rPr>
          <w:bCs/>
        </w:rPr>
        <w:t xml:space="preserve">trijų </w:t>
      </w:r>
      <w:r w:rsidR="00FA5824" w:rsidRPr="00E01CDA">
        <w:rPr>
          <w:bCs/>
        </w:rPr>
        <w:t xml:space="preserve"> mėnesi</w:t>
      </w:r>
      <w:r w:rsidR="00A6383F" w:rsidRPr="00E01CDA">
        <w:rPr>
          <w:bCs/>
        </w:rPr>
        <w:t>ų</w:t>
      </w:r>
      <w:r w:rsidR="00511AA5" w:rsidRPr="00E01CDA">
        <w:rPr>
          <w:bCs/>
        </w:rPr>
        <w:t xml:space="preserve">, </w:t>
      </w:r>
      <w:r w:rsidR="00FA5824" w:rsidRPr="00E01CDA">
        <w:rPr>
          <w:bCs/>
        </w:rPr>
        <w:t>duomenis apie teisėj</w:t>
      </w:r>
      <w:r w:rsidR="00EB3DED" w:rsidRPr="00E01CDA">
        <w:rPr>
          <w:bCs/>
        </w:rPr>
        <w:t>o</w:t>
      </w:r>
      <w:r w:rsidR="00FA5824" w:rsidRPr="00E01CDA">
        <w:rPr>
          <w:bCs/>
        </w:rPr>
        <w:t xml:space="preserve"> faktiškai </w:t>
      </w:r>
      <w:r w:rsidR="00EB3DED" w:rsidRPr="00E01CDA">
        <w:rPr>
          <w:bCs/>
        </w:rPr>
        <w:t>gautas</w:t>
      </w:r>
      <w:r w:rsidR="00FA5824" w:rsidRPr="00E01CDA">
        <w:rPr>
          <w:bCs/>
        </w:rPr>
        <w:t xml:space="preserve"> bylas</w:t>
      </w:r>
      <w:r w:rsidR="00D736E9" w:rsidRPr="00E01CDA">
        <w:rPr>
          <w:bCs/>
        </w:rPr>
        <w:t xml:space="preserve"> (teisėjui faktiškai paskirtas nagrinėti teismo posėdyje bylas)</w:t>
      </w:r>
      <w:r w:rsidR="00117FE4" w:rsidRPr="00E01CDA">
        <w:rPr>
          <w:bCs/>
        </w:rPr>
        <w:t xml:space="preserve"> ir lygina</w:t>
      </w:r>
      <w:r w:rsidR="00E3304E" w:rsidRPr="00E01CDA">
        <w:rPr>
          <w:bCs/>
        </w:rPr>
        <w:t>nt</w:t>
      </w:r>
      <w:r w:rsidR="00023102" w:rsidRPr="00E01CDA">
        <w:rPr>
          <w:bCs/>
        </w:rPr>
        <w:t xml:space="preserve"> </w:t>
      </w:r>
      <w:r w:rsidR="004703CB" w:rsidRPr="00E01CDA">
        <w:rPr>
          <w:bCs/>
        </w:rPr>
        <w:t xml:space="preserve">šiuos duomenis </w:t>
      </w:r>
      <w:r w:rsidR="00023102" w:rsidRPr="00E01CDA">
        <w:rPr>
          <w:bCs/>
        </w:rPr>
        <w:t>su</w:t>
      </w:r>
      <w:r w:rsidR="00BB592E" w:rsidRPr="00E01CDA">
        <w:rPr>
          <w:bCs/>
        </w:rPr>
        <w:t>:</w:t>
      </w:r>
    </w:p>
    <w:p w14:paraId="01F4DD80" w14:textId="00385332" w:rsidR="00920295" w:rsidRPr="00E01CDA" w:rsidRDefault="003660FB" w:rsidP="0083050B">
      <w:pPr>
        <w:tabs>
          <w:tab w:val="left" w:pos="709"/>
          <w:tab w:val="left" w:pos="1134"/>
          <w:tab w:val="left" w:pos="2345"/>
        </w:tabs>
        <w:suppressAutoHyphens/>
        <w:autoSpaceDN w:val="0"/>
        <w:ind w:firstLine="709"/>
        <w:jc w:val="both"/>
        <w:textAlignment w:val="baseline"/>
        <w:rPr>
          <w:bCs/>
        </w:rPr>
      </w:pPr>
      <w:r w:rsidRPr="00E01CDA">
        <w:rPr>
          <w:bCs/>
        </w:rPr>
        <w:t>17</w:t>
      </w:r>
      <w:r w:rsidR="00BB592E" w:rsidRPr="00E01CDA">
        <w:rPr>
          <w:bCs/>
        </w:rPr>
        <w:t xml:space="preserve">.1. </w:t>
      </w:r>
      <w:r w:rsidR="00023102" w:rsidRPr="00E01CDA">
        <w:rPr>
          <w:bCs/>
        </w:rPr>
        <w:t>t</w:t>
      </w:r>
      <w:r w:rsidR="009B77A9" w:rsidRPr="00E01CDA">
        <w:rPr>
          <w:bCs/>
        </w:rPr>
        <w:t>ų</w:t>
      </w:r>
      <w:r w:rsidR="00023102" w:rsidRPr="00E01CDA">
        <w:rPr>
          <w:bCs/>
        </w:rPr>
        <w:t xml:space="preserve"> pa</w:t>
      </w:r>
      <w:r w:rsidR="009B77A9" w:rsidRPr="00E01CDA">
        <w:rPr>
          <w:bCs/>
        </w:rPr>
        <w:t>čių trijų</w:t>
      </w:r>
      <w:r w:rsidR="00023102" w:rsidRPr="00E01CDA">
        <w:rPr>
          <w:bCs/>
        </w:rPr>
        <w:t xml:space="preserve"> mėnesi</w:t>
      </w:r>
      <w:r w:rsidR="009B77A9" w:rsidRPr="00E01CDA">
        <w:rPr>
          <w:bCs/>
        </w:rPr>
        <w:t>ų</w:t>
      </w:r>
      <w:r w:rsidR="00023102" w:rsidRPr="00E01CDA">
        <w:rPr>
          <w:bCs/>
        </w:rPr>
        <w:t xml:space="preserve"> vidutiniu </w:t>
      </w:r>
      <w:r w:rsidR="00E424B9" w:rsidRPr="00E01CDA">
        <w:rPr>
          <w:bCs/>
        </w:rPr>
        <w:t>apylinkių</w:t>
      </w:r>
      <w:r w:rsidR="009B77A9" w:rsidRPr="00E01CDA">
        <w:rPr>
          <w:bCs/>
        </w:rPr>
        <w:t xml:space="preserve"> arba </w:t>
      </w:r>
      <w:r w:rsidR="00E424B9" w:rsidRPr="00E01CDA">
        <w:rPr>
          <w:bCs/>
        </w:rPr>
        <w:t>apygardų administracinių teismų</w:t>
      </w:r>
      <w:r w:rsidR="00023102" w:rsidRPr="00E01CDA">
        <w:rPr>
          <w:bCs/>
        </w:rPr>
        <w:t xml:space="preserve"> vienam faktiškai dirbančiam teisėjui tenkančiu gautų (teisėjui faktiškai paskirtų nagrinėti teismo posėdyje) bylų kiekiu</w:t>
      </w:r>
      <w:r w:rsidR="008152CE" w:rsidRPr="00E01CDA">
        <w:rPr>
          <w:bCs/>
        </w:rPr>
        <w:t>;</w:t>
      </w:r>
    </w:p>
    <w:p w14:paraId="349AB7E7" w14:textId="6DFF62D9" w:rsidR="00BB592E" w:rsidRDefault="003660FB" w:rsidP="0083050B">
      <w:pPr>
        <w:tabs>
          <w:tab w:val="left" w:pos="709"/>
          <w:tab w:val="left" w:pos="1134"/>
          <w:tab w:val="left" w:pos="2345"/>
        </w:tabs>
        <w:suppressAutoHyphens/>
        <w:autoSpaceDN w:val="0"/>
        <w:ind w:firstLine="709"/>
        <w:jc w:val="both"/>
        <w:textAlignment w:val="baseline"/>
        <w:rPr>
          <w:bCs/>
          <w:color w:val="000000"/>
        </w:rPr>
      </w:pPr>
      <w:r w:rsidRPr="00E01CDA">
        <w:rPr>
          <w:bCs/>
        </w:rPr>
        <w:t>17</w:t>
      </w:r>
      <w:r w:rsidR="00920295" w:rsidRPr="00E01CDA">
        <w:rPr>
          <w:bCs/>
        </w:rPr>
        <w:t>.2.</w:t>
      </w:r>
      <w:r w:rsidR="008152CE" w:rsidRPr="00E01CDA">
        <w:rPr>
          <w:bCs/>
        </w:rPr>
        <w:t xml:space="preserve"> t</w:t>
      </w:r>
      <w:r w:rsidR="00DD18C5" w:rsidRPr="00E01CDA">
        <w:rPr>
          <w:bCs/>
        </w:rPr>
        <w:t>ų</w:t>
      </w:r>
      <w:r w:rsidR="008152CE" w:rsidRPr="00E01CDA">
        <w:rPr>
          <w:bCs/>
        </w:rPr>
        <w:t xml:space="preserve"> pa</w:t>
      </w:r>
      <w:r w:rsidR="00780162" w:rsidRPr="00E01CDA">
        <w:rPr>
          <w:bCs/>
        </w:rPr>
        <w:t>čių trijų</w:t>
      </w:r>
      <w:r w:rsidR="008152CE" w:rsidRPr="00E01CDA">
        <w:rPr>
          <w:bCs/>
        </w:rPr>
        <w:t xml:space="preserve"> mėnesi</w:t>
      </w:r>
      <w:r w:rsidR="00A6383F" w:rsidRPr="00E01CDA">
        <w:rPr>
          <w:bCs/>
        </w:rPr>
        <w:t>ų</w:t>
      </w:r>
      <w:r w:rsidR="008152CE" w:rsidRPr="00E01CDA">
        <w:rPr>
          <w:bCs/>
        </w:rPr>
        <w:t xml:space="preserve"> vidutiniu bendrosios kompetencijos apygardų teismų </w:t>
      </w:r>
      <w:r w:rsidR="00862AF2" w:rsidRPr="00E01CDA">
        <w:rPr>
          <w:bCs/>
        </w:rPr>
        <w:t xml:space="preserve">Civilinių arba Baudžiamųjų bylų </w:t>
      </w:r>
      <w:r w:rsidR="008152CE" w:rsidRPr="00E01CDA">
        <w:rPr>
          <w:bCs/>
        </w:rPr>
        <w:t xml:space="preserve">skyriaus vienam faktiškai dirbančiam teisėjui tenkančiu gautų (teisėjui faktiškai paskirtų nagrinėti teismo posėdyje) bylų </w:t>
      </w:r>
      <w:r w:rsidR="008152CE" w:rsidRPr="004C5D25">
        <w:rPr>
          <w:bCs/>
          <w:color w:val="000000"/>
        </w:rPr>
        <w:t>kiekiu</w:t>
      </w:r>
      <w:r w:rsidR="008152CE">
        <w:rPr>
          <w:bCs/>
          <w:color w:val="000000"/>
        </w:rPr>
        <w:t>;</w:t>
      </w:r>
    </w:p>
    <w:p w14:paraId="6AD19B4E" w14:textId="33A4E2B0" w:rsidR="00862AF2" w:rsidRDefault="003660FB" w:rsidP="0083050B">
      <w:pPr>
        <w:tabs>
          <w:tab w:val="left" w:pos="709"/>
          <w:tab w:val="left" w:pos="1134"/>
          <w:tab w:val="left" w:pos="2345"/>
        </w:tabs>
        <w:suppressAutoHyphens/>
        <w:autoSpaceDN w:val="0"/>
        <w:ind w:firstLine="709"/>
        <w:jc w:val="both"/>
        <w:textAlignment w:val="baseline"/>
        <w:rPr>
          <w:bCs/>
          <w:color w:val="000000"/>
        </w:rPr>
      </w:pPr>
      <w:r>
        <w:rPr>
          <w:bCs/>
          <w:color w:val="000000"/>
        </w:rPr>
        <w:t>17</w:t>
      </w:r>
      <w:r w:rsidR="00BB592E">
        <w:rPr>
          <w:bCs/>
          <w:color w:val="000000"/>
        </w:rPr>
        <w:t>.</w:t>
      </w:r>
      <w:r w:rsidR="00920295">
        <w:rPr>
          <w:bCs/>
          <w:color w:val="000000"/>
        </w:rPr>
        <w:t>3</w:t>
      </w:r>
      <w:r w:rsidR="00BB592E">
        <w:rPr>
          <w:bCs/>
          <w:color w:val="000000"/>
        </w:rPr>
        <w:t xml:space="preserve">. </w:t>
      </w:r>
      <w:r w:rsidR="00BB592E" w:rsidRPr="004C5D25">
        <w:rPr>
          <w:bCs/>
        </w:rPr>
        <w:t>t</w:t>
      </w:r>
      <w:r w:rsidR="00A6383F">
        <w:rPr>
          <w:bCs/>
        </w:rPr>
        <w:t>ų</w:t>
      </w:r>
      <w:r w:rsidR="00BB592E" w:rsidRPr="004C5D25">
        <w:rPr>
          <w:bCs/>
        </w:rPr>
        <w:t xml:space="preserve"> pa</w:t>
      </w:r>
      <w:r w:rsidR="00A6383F">
        <w:rPr>
          <w:bCs/>
        </w:rPr>
        <w:t>čių trijų</w:t>
      </w:r>
      <w:r w:rsidR="00BB592E" w:rsidRPr="004C5D25">
        <w:rPr>
          <w:bCs/>
        </w:rPr>
        <w:t xml:space="preserve"> mėnesi</w:t>
      </w:r>
      <w:r w:rsidR="00A6383F">
        <w:rPr>
          <w:bCs/>
        </w:rPr>
        <w:t>ų</w:t>
      </w:r>
      <w:r w:rsidR="00BB592E" w:rsidRPr="004C5D25">
        <w:rPr>
          <w:bCs/>
        </w:rPr>
        <w:t xml:space="preserve"> </w:t>
      </w:r>
      <w:r w:rsidR="00BB592E" w:rsidRPr="004C5D25">
        <w:rPr>
          <w:bCs/>
          <w:color w:val="000000"/>
        </w:rPr>
        <w:t xml:space="preserve">vidutiniu </w:t>
      </w:r>
      <w:r w:rsidR="00862AF2">
        <w:rPr>
          <w:bCs/>
          <w:color w:val="000000"/>
        </w:rPr>
        <w:t>Lietuvos Aukščiausiojo Teismo ir Lietuvos apeliacinio teismo Civilinių arba Baudžiamųjų bylų skyriaus, Lietuvos vyriausi</w:t>
      </w:r>
      <w:r w:rsidR="00E424B9">
        <w:rPr>
          <w:bCs/>
          <w:color w:val="000000"/>
        </w:rPr>
        <w:t>ajame</w:t>
      </w:r>
      <w:r w:rsidR="00862AF2">
        <w:rPr>
          <w:bCs/>
          <w:color w:val="000000"/>
        </w:rPr>
        <w:t xml:space="preserve"> administracini</w:t>
      </w:r>
      <w:r w:rsidR="00E424B9">
        <w:rPr>
          <w:bCs/>
          <w:color w:val="000000"/>
        </w:rPr>
        <w:t>ame</w:t>
      </w:r>
      <w:r w:rsidR="00862AF2">
        <w:rPr>
          <w:bCs/>
          <w:color w:val="000000"/>
        </w:rPr>
        <w:t xml:space="preserve"> </w:t>
      </w:r>
      <w:r w:rsidR="00E424B9">
        <w:rPr>
          <w:bCs/>
          <w:color w:val="000000"/>
        </w:rPr>
        <w:t>teisme – viso teismo</w:t>
      </w:r>
      <w:r w:rsidR="00862AF2" w:rsidRPr="004C5D25">
        <w:rPr>
          <w:bCs/>
          <w:color w:val="000000"/>
        </w:rPr>
        <w:t xml:space="preserve"> </w:t>
      </w:r>
      <w:r w:rsidR="00BB592E" w:rsidRPr="004C5D25">
        <w:rPr>
          <w:bCs/>
          <w:color w:val="000000"/>
        </w:rPr>
        <w:t>vienam faktiškai dirbančiam teisėjui tenkančiu gautų (teisėjui faktiškai paskirtų nagrinėti teismo posėdyje) bylų kiekiu</w:t>
      </w:r>
      <w:r w:rsidR="00E424B9">
        <w:rPr>
          <w:bCs/>
          <w:color w:val="000000"/>
        </w:rPr>
        <w:t>.</w:t>
      </w:r>
    </w:p>
    <w:p w14:paraId="22112209" w14:textId="4EFD8A81" w:rsidR="00145FD5" w:rsidRPr="00E01CDA" w:rsidRDefault="003660FB" w:rsidP="0083050B">
      <w:pPr>
        <w:tabs>
          <w:tab w:val="left" w:pos="709"/>
          <w:tab w:val="left" w:pos="1134"/>
          <w:tab w:val="left" w:pos="2345"/>
        </w:tabs>
        <w:suppressAutoHyphens/>
        <w:autoSpaceDN w:val="0"/>
        <w:ind w:firstLine="709"/>
        <w:jc w:val="both"/>
        <w:textAlignment w:val="baseline"/>
        <w:rPr>
          <w:bCs/>
        </w:rPr>
      </w:pPr>
      <w:r>
        <w:rPr>
          <w:bCs/>
        </w:rPr>
        <w:t>18</w:t>
      </w:r>
      <w:r w:rsidR="00976A71">
        <w:rPr>
          <w:bCs/>
        </w:rPr>
        <w:t xml:space="preserve">. </w:t>
      </w:r>
      <w:r w:rsidR="0083050B" w:rsidRPr="004C5D25">
        <w:rPr>
          <w:bCs/>
        </w:rPr>
        <w:t xml:space="preserve">Padidėjęs darbo krūvis konstatuojamas, jeigu teisėjo gautų (faktiškai paskirtų nagrinėti teismo posėdyje bylų) kiekis </w:t>
      </w:r>
      <w:r w:rsidR="00BD2CF0">
        <w:rPr>
          <w:bCs/>
        </w:rPr>
        <w:t xml:space="preserve">per tris mėnesius, buvusius iki atliekamo darbo krūvio padidėjimo </w:t>
      </w:r>
      <w:r w:rsidR="00BD2CF0">
        <w:rPr>
          <w:bCs/>
        </w:rPr>
        <w:lastRenderedPageBreak/>
        <w:t xml:space="preserve">vertinimo, yra </w:t>
      </w:r>
      <w:r w:rsidR="0083050B" w:rsidRPr="00BD2CF0">
        <w:rPr>
          <w:bCs/>
        </w:rPr>
        <w:t xml:space="preserve">ne mažiau nei 20 procentų </w:t>
      </w:r>
      <w:r w:rsidR="00BD2CF0" w:rsidRPr="00BD2CF0">
        <w:rPr>
          <w:bCs/>
        </w:rPr>
        <w:t xml:space="preserve">didesnis </w:t>
      </w:r>
      <w:r w:rsidR="00E3304E" w:rsidRPr="00BD2CF0">
        <w:rPr>
          <w:bCs/>
          <w:color w:val="000000"/>
        </w:rPr>
        <w:t xml:space="preserve">už vidutinį </w:t>
      </w:r>
      <w:r w:rsidR="00E3304E" w:rsidRPr="00E01CDA">
        <w:rPr>
          <w:bCs/>
          <w:color w:val="000000"/>
        </w:rPr>
        <w:t>vienam faktiškai dirbančiam teisėjui tenkantį gautų (teisėjui faktiškai paskirtų nagrinėti teismo posėdyje) bylų kiekį</w:t>
      </w:r>
      <w:r w:rsidR="00BD2CF0" w:rsidRPr="00E01CDA">
        <w:rPr>
          <w:bCs/>
          <w:color w:val="000000"/>
        </w:rPr>
        <w:t xml:space="preserve">, kaip tai nurodyta šio Aprašo </w:t>
      </w:r>
      <w:r w:rsidR="00945985" w:rsidRPr="00E01CDA">
        <w:rPr>
          <w:bCs/>
          <w:color w:val="000000"/>
        </w:rPr>
        <w:t>17</w:t>
      </w:r>
      <w:r w:rsidR="00BD2CF0" w:rsidRPr="00E01CDA">
        <w:rPr>
          <w:bCs/>
          <w:color w:val="000000"/>
        </w:rPr>
        <w:t>.1</w:t>
      </w:r>
      <w:r w:rsidR="006D6652">
        <w:rPr>
          <w:bCs/>
          <w:color w:val="000000"/>
        </w:rPr>
        <w:t>–</w:t>
      </w:r>
      <w:r w:rsidR="00945985" w:rsidRPr="00E01CDA">
        <w:rPr>
          <w:bCs/>
          <w:color w:val="000000"/>
        </w:rPr>
        <w:t>17</w:t>
      </w:r>
      <w:r w:rsidR="00BD2CF0" w:rsidRPr="00E01CDA">
        <w:rPr>
          <w:bCs/>
          <w:color w:val="000000"/>
        </w:rPr>
        <w:t>.3 papunkčiuose</w:t>
      </w:r>
      <w:r w:rsidR="00A751D8" w:rsidRPr="00E01CDA">
        <w:rPr>
          <w:bCs/>
        </w:rPr>
        <w:t xml:space="preserve">. </w:t>
      </w:r>
    </w:p>
    <w:p w14:paraId="39F2B4C1" w14:textId="7129189D" w:rsidR="007A501A" w:rsidRDefault="003660FB" w:rsidP="007A501A">
      <w:pPr>
        <w:tabs>
          <w:tab w:val="left" w:pos="709"/>
          <w:tab w:val="left" w:pos="1134"/>
          <w:tab w:val="left" w:pos="2345"/>
        </w:tabs>
        <w:suppressAutoHyphens/>
        <w:autoSpaceDN w:val="0"/>
        <w:ind w:firstLine="709"/>
        <w:jc w:val="both"/>
        <w:textAlignment w:val="baseline"/>
      </w:pPr>
      <w:r w:rsidRPr="00E01CDA">
        <w:rPr>
          <w:bCs/>
        </w:rPr>
        <w:t>19</w:t>
      </w:r>
      <w:r w:rsidR="0004180D" w:rsidRPr="00E01CDA">
        <w:rPr>
          <w:bCs/>
        </w:rPr>
        <w:t>. Teismo pirmininko įsakyme dėl teisėjo (teisėjų) darbo krūvio padidėjimo konstatavimo</w:t>
      </w:r>
      <w:r w:rsidR="0004180D" w:rsidRPr="00054C9C">
        <w:rPr>
          <w:bCs/>
        </w:rPr>
        <w:t xml:space="preserve"> ir priemokos (priemokų) skyrimo ir išmokėjimo turi būti nurodyti duomenys, patvirtinantys padidėjusį teisėjo darbo krūvį, nurodytas krūvio padidėjimo procentas ir šio </w:t>
      </w:r>
      <w:r w:rsidR="0004180D" w:rsidRPr="0004180D">
        <w:rPr>
          <w:bCs/>
        </w:rPr>
        <w:t>Aprašo</w:t>
      </w:r>
      <w:r w:rsidR="0004180D" w:rsidRPr="0004180D">
        <w:t xml:space="preserve"> 2</w:t>
      </w:r>
      <w:r w:rsidR="0028150C">
        <w:t>6</w:t>
      </w:r>
      <w:r w:rsidR="0004180D" w:rsidRPr="0004180D">
        <w:t xml:space="preserve"> punkto</w:t>
      </w:r>
      <w:r w:rsidR="0004180D" w:rsidRPr="00025B5D">
        <w:t xml:space="preserve"> nustatyta tvarka parinktas priemokos dydis konkretiems teisėjams</w:t>
      </w:r>
      <w:r w:rsidR="0004180D">
        <w:t>.</w:t>
      </w:r>
      <w:r w:rsidR="007A501A">
        <w:t xml:space="preserve"> </w:t>
      </w:r>
    </w:p>
    <w:p w14:paraId="5335D37E" w14:textId="793D6EB8" w:rsidR="00C611AC" w:rsidRDefault="003660FB" w:rsidP="003660FB">
      <w:pPr>
        <w:tabs>
          <w:tab w:val="left" w:pos="709"/>
        </w:tabs>
        <w:suppressAutoHyphens/>
        <w:autoSpaceDN w:val="0"/>
        <w:ind w:firstLine="709"/>
        <w:jc w:val="both"/>
        <w:textAlignment w:val="baseline"/>
        <w:rPr>
          <w:bCs/>
        </w:rPr>
      </w:pPr>
      <w:r>
        <w:t>20</w:t>
      </w:r>
      <w:r w:rsidR="007A501A">
        <w:t xml:space="preserve">. </w:t>
      </w:r>
      <w:r w:rsidR="007A501A">
        <w:rPr>
          <w:bCs/>
        </w:rPr>
        <w:t xml:space="preserve">Jeigu praėjus kitiems trims mėnesiams šio Aprašo </w:t>
      </w:r>
      <w:r w:rsidR="00945985">
        <w:rPr>
          <w:bCs/>
        </w:rPr>
        <w:t xml:space="preserve">14 </w:t>
      </w:r>
      <w:r w:rsidR="007A501A">
        <w:rPr>
          <w:bCs/>
        </w:rPr>
        <w:t xml:space="preserve">punkte nurodytos aplinkybės neišnyko arba atsirado naujai, darbo krūvio padidėjimas vertinamas laikantis šio Aprašo </w:t>
      </w:r>
      <w:r w:rsidR="00945985">
        <w:rPr>
          <w:bCs/>
        </w:rPr>
        <w:t>15</w:t>
      </w:r>
      <w:r w:rsidR="00CA385E">
        <w:rPr>
          <w:bCs/>
        </w:rPr>
        <w:t>–</w:t>
      </w:r>
      <w:r w:rsidR="00945985">
        <w:rPr>
          <w:bCs/>
        </w:rPr>
        <w:t xml:space="preserve">19 </w:t>
      </w:r>
      <w:r w:rsidR="00CA385E">
        <w:rPr>
          <w:bCs/>
        </w:rPr>
        <w:t>punktuose nustatytos tvarkos</w:t>
      </w:r>
      <w:r w:rsidR="00DD519E">
        <w:rPr>
          <w:bCs/>
        </w:rPr>
        <w:t>, vertinant kitų 3 mėnesių duomenis</w:t>
      </w:r>
      <w:r w:rsidR="00CA385E">
        <w:rPr>
          <w:bCs/>
        </w:rPr>
        <w:t>.</w:t>
      </w:r>
    </w:p>
    <w:p w14:paraId="5A130BD1" w14:textId="77777777" w:rsidR="00D61FF8" w:rsidRDefault="00D61FF8" w:rsidP="00990278">
      <w:pPr>
        <w:tabs>
          <w:tab w:val="left" w:pos="709"/>
        </w:tabs>
        <w:suppressAutoHyphens/>
        <w:autoSpaceDN w:val="0"/>
        <w:ind w:firstLine="709"/>
        <w:jc w:val="center"/>
        <w:textAlignment w:val="baseline"/>
        <w:rPr>
          <w:b/>
          <w:caps/>
        </w:rPr>
      </w:pPr>
    </w:p>
    <w:p w14:paraId="094857FD" w14:textId="5620457D" w:rsidR="00C611AC" w:rsidRPr="007864BC" w:rsidRDefault="007235B4" w:rsidP="00990278">
      <w:pPr>
        <w:tabs>
          <w:tab w:val="left" w:pos="709"/>
        </w:tabs>
        <w:suppressAutoHyphens/>
        <w:autoSpaceDN w:val="0"/>
        <w:ind w:firstLine="709"/>
        <w:jc w:val="center"/>
        <w:textAlignment w:val="baseline"/>
        <w:rPr>
          <w:b/>
          <w:caps/>
        </w:rPr>
      </w:pPr>
      <w:r>
        <w:rPr>
          <w:b/>
          <w:caps/>
        </w:rPr>
        <w:t>V</w:t>
      </w:r>
      <w:r w:rsidR="00B43ECB">
        <w:rPr>
          <w:b/>
          <w:caps/>
        </w:rPr>
        <w:t>I</w:t>
      </w:r>
      <w:r w:rsidR="00C611AC">
        <w:rPr>
          <w:b/>
          <w:caps/>
        </w:rPr>
        <w:t xml:space="preserve">. </w:t>
      </w:r>
      <w:r w:rsidR="00C611AC" w:rsidRPr="00C611AC">
        <w:rPr>
          <w:b/>
          <w:caps/>
        </w:rPr>
        <w:t>PADIDĖJUSIO DARBO KRŪVIO</w:t>
      </w:r>
      <w:r w:rsidR="00C611AC">
        <w:rPr>
          <w:b/>
          <w:caps/>
        </w:rPr>
        <w:t xml:space="preserve"> dėl žymaus bylų padaugėjimo nustatymas</w:t>
      </w:r>
    </w:p>
    <w:p w14:paraId="6C20D71B" w14:textId="77777777" w:rsidR="00142767" w:rsidRPr="004C5D25" w:rsidRDefault="00142767" w:rsidP="00990278">
      <w:pPr>
        <w:tabs>
          <w:tab w:val="left" w:pos="709"/>
          <w:tab w:val="left" w:pos="1134"/>
        </w:tabs>
        <w:suppressAutoHyphens/>
        <w:autoSpaceDN w:val="0"/>
        <w:ind w:firstLine="709"/>
        <w:jc w:val="both"/>
        <w:textAlignment w:val="baseline"/>
        <w:rPr>
          <w:b/>
          <w:caps/>
        </w:rPr>
      </w:pPr>
    </w:p>
    <w:p w14:paraId="42E914A7" w14:textId="31334A0E" w:rsidR="00142767" w:rsidRPr="00054C9C" w:rsidRDefault="003660FB" w:rsidP="00990278">
      <w:pPr>
        <w:tabs>
          <w:tab w:val="left" w:pos="709"/>
          <w:tab w:val="left" w:pos="1134"/>
          <w:tab w:val="left" w:pos="2345"/>
        </w:tabs>
        <w:suppressAutoHyphens/>
        <w:autoSpaceDN w:val="0"/>
        <w:ind w:firstLine="709"/>
        <w:jc w:val="both"/>
        <w:textAlignment w:val="baseline"/>
        <w:rPr>
          <w:bCs/>
        </w:rPr>
      </w:pPr>
      <w:r>
        <w:rPr>
          <w:bCs/>
        </w:rPr>
        <w:t>21</w:t>
      </w:r>
      <w:r w:rsidR="00142767" w:rsidRPr="00054C9C">
        <w:rPr>
          <w:bCs/>
        </w:rPr>
        <w:t xml:space="preserve">. Žymaus bylų padaugėjimo pradžia laikomas pirmasis mėnuo, per kurį teisme gaunamų tam tikros kategorijos bylų skaičius padidėjo daugiau nei 20 procentų lyginant su praėjusiu mėnesiu tam tikros kategorijos bylų skaičiumi. Nustačius žymaus bylų padaugėjimo pradžią, vėliau kas mėnesį teisme </w:t>
      </w:r>
      <w:bookmarkStart w:id="3" w:name="_Hlk85787227"/>
      <w:r w:rsidR="00142767" w:rsidRPr="00054C9C">
        <w:rPr>
          <w:bCs/>
        </w:rPr>
        <w:t xml:space="preserve">gaunamų tam tikros kategorijos bylų skaičius lyginamas su praėjusių dvylikos mėnesių, buvusių iki žymaus bylų padaugėjimo pradžios, vidutiniu teisme gautų šios kategorijos bylų skaičiumi per mėnesį (krūvio rodikliu). </w:t>
      </w:r>
      <w:bookmarkEnd w:id="3"/>
      <w:r w:rsidR="00142767" w:rsidRPr="00054C9C">
        <w:rPr>
          <w:bCs/>
        </w:rPr>
        <w:t xml:space="preserve">Tuo atveju, kai teisme gaunamų tam tikros kategorijos bylų skaičius padidėja dėl to, kad tokios bylos perduotos nagrinėti iš kito teismo, gaunamų tam tikros kategorijos bylų skaičius lyginamas su to teismo, iš kurio perduotos bylos, praėjusių dvylikos mėnesių, buvusių iki žymaus bylų padaugėjimo pradžios, vidutiniu teisme gautų šios kategorijos bylų skaičiumi per mėnesį (krūvio rodikliu). </w:t>
      </w:r>
    </w:p>
    <w:p w14:paraId="02CA2F9A" w14:textId="5AA8D4A2" w:rsidR="00142767" w:rsidRPr="00054C9C" w:rsidRDefault="003660FB" w:rsidP="00990278">
      <w:pPr>
        <w:tabs>
          <w:tab w:val="left" w:pos="709"/>
          <w:tab w:val="left" w:pos="1134"/>
          <w:tab w:val="left" w:pos="2345"/>
        </w:tabs>
        <w:suppressAutoHyphens/>
        <w:autoSpaceDN w:val="0"/>
        <w:ind w:firstLine="709"/>
        <w:jc w:val="both"/>
        <w:textAlignment w:val="baseline"/>
        <w:rPr>
          <w:bCs/>
        </w:rPr>
      </w:pPr>
      <w:r>
        <w:rPr>
          <w:bCs/>
        </w:rPr>
        <w:t>22</w:t>
      </w:r>
      <w:r w:rsidR="00142767" w:rsidRPr="00054C9C">
        <w:rPr>
          <w:bCs/>
        </w:rPr>
        <w:t>. Nustatytas žymus bylų padaugėjimo faktas yra pagrindas vertinti teisėjo padidėjusį darbo krūvį ir priimti sprendimą dėl priemokos skyrimo ir išmokėjimo.</w:t>
      </w:r>
    </w:p>
    <w:p w14:paraId="2190CDC3" w14:textId="37F0A4F2" w:rsidR="00142767" w:rsidRPr="00E91DA1" w:rsidRDefault="003660FB" w:rsidP="00990278">
      <w:pPr>
        <w:tabs>
          <w:tab w:val="left" w:pos="709"/>
          <w:tab w:val="left" w:pos="1134"/>
          <w:tab w:val="left" w:pos="2345"/>
        </w:tabs>
        <w:suppressAutoHyphens/>
        <w:autoSpaceDN w:val="0"/>
        <w:ind w:firstLine="709"/>
        <w:jc w:val="both"/>
        <w:textAlignment w:val="baseline"/>
        <w:rPr>
          <w:bCs/>
        </w:rPr>
      </w:pPr>
      <w:r>
        <w:rPr>
          <w:bCs/>
        </w:rPr>
        <w:t>23</w:t>
      </w:r>
      <w:r w:rsidR="00142767" w:rsidRPr="00054C9C">
        <w:rPr>
          <w:bCs/>
        </w:rPr>
        <w:t>. Padidėjęs darbo krūvis nustatomas už praėjusį mėnesį, vertinant viso praėjusio mėnesio duomenis apie teisėjui (teisėjo) faktiškai paskirtas nagrinėti teismo posėdyje tam tikros kategorijos bylas. Vertinant padidėjusį teisėjo darbo krūvį turi būti atsižvelgta ir į teisėjo teisėto nebuvimo darbe laikotarpius. Darbo krūvio duomenys lyginami su praėjusių dvylikos mėnesių, buvusių iki žymaus bylų padaugėjimo pradžios, šiam teisėjui (teisėjo) vidutiniu faktiškai paskirtų nagrinėti teismo posėdyje šios kategorijos bylų skaičiumi per mėnesį.</w:t>
      </w:r>
      <w:r w:rsidR="00142767">
        <w:rPr>
          <w:bCs/>
        </w:rPr>
        <w:t xml:space="preserve"> </w:t>
      </w:r>
      <w:r w:rsidR="00142767" w:rsidRPr="00E91DA1">
        <w:rPr>
          <w:bCs/>
        </w:rPr>
        <w:t>Tuo atveju, kai teisme tam tikros kategorijos bylos anksčiau nebuvo nagrinėjamos, padidėjęs darbo krūvis nustatomas, kai teisėjui per mėnesį faktiškai paskirtų nagrinėti teismo posėdyje tam tikros kategorijos bylų kiekis padidėja daugiau nei 20 procentų</w:t>
      </w:r>
      <w:r w:rsidR="00142767">
        <w:rPr>
          <w:bCs/>
        </w:rPr>
        <w:t>,</w:t>
      </w:r>
      <w:r w:rsidR="00142767" w:rsidRPr="00E91DA1">
        <w:rPr>
          <w:bCs/>
        </w:rPr>
        <w:t xml:space="preserve"> lyginant su vidutiniu bylos tipui priskirtos kategorijos teisėjui (teisėjo) per mėnesį faktiškai paskirtų nagrinėti teismo posėdyje bylų kiekiu per praėjusius dvylika mėnesių.</w:t>
      </w:r>
    </w:p>
    <w:p w14:paraId="4B3268C4" w14:textId="5A5C3C69" w:rsidR="00142767" w:rsidRPr="00054C9C" w:rsidRDefault="003660FB" w:rsidP="00990278">
      <w:pPr>
        <w:tabs>
          <w:tab w:val="left" w:pos="709"/>
          <w:tab w:val="left" w:pos="1134"/>
          <w:tab w:val="left" w:pos="2345"/>
        </w:tabs>
        <w:suppressAutoHyphens/>
        <w:autoSpaceDN w:val="0"/>
        <w:ind w:firstLine="709"/>
        <w:jc w:val="both"/>
        <w:textAlignment w:val="baseline"/>
        <w:rPr>
          <w:bCs/>
        </w:rPr>
      </w:pPr>
      <w:r>
        <w:rPr>
          <w:bCs/>
        </w:rPr>
        <w:t>24</w:t>
      </w:r>
      <w:r w:rsidR="00142767" w:rsidRPr="00054C9C">
        <w:rPr>
          <w:bCs/>
        </w:rPr>
        <w:t xml:space="preserve">. </w:t>
      </w:r>
      <w:r w:rsidR="00142767" w:rsidRPr="00CA385E">
        <w:rPr>
          <w:bCs/>
        </w:rPr>
        <w:t xml:space="preserve">Aprašo </w:t>
      </w:r>
      <w:r w:rsidR="00945985" w:rsidRPr="00CA385E">
        <w:rPr>
          <w:bCs/>
        </w:rPr>
        <w:t>2</w:t>
      </w:r>
      <w:r w:rsidR="00945985">
        <w:rPr>
          <w:bCs/>
        </w:rPr>
        <w:t>1</w:t>
      </w:r>
      <w:r w:rsidR="00C96D55" w:rsidRPr="00CA385E">
        <w:rPr>
          <w:bCs/>
        </w:rPr>
        <w:t>–</w:t>
      </w:r>
      <w:r w:rsidR="00945985" w:rsidRPr="00CA385E">
        <w:rPr>
          <w:bCs/>
        </w:rPr>
        <w:t>2</w:t>
      </w:r>
      <w:r w:rsidR="00945985">
        <w:rPr>
          <w:bCs/>
        </w:rPr>
        <w:t>3</w:t>
      </w:r>
      <w:r w:rsidR="00945985" w:rsidRPr="00CA385E">
        <w:rPr>
          <w:bCs/>
        </w:rPr>
        <w:t xml:space="preserve"> </w:t>
      </w:r>
      <w:r w:rsidR="00142767" w:rsidRPr="00CA385E">
        <w:rPr>
          <w:bCs/>
        </w:rPr>
        <w:t>punktuose</w:t>
      </w:r>
      <w:r w:rsidR="00142767" w:rsidRPr="00054C9C">
        <w:rPr>
          <w:bCs/>
        </w:rPr>
        <w:t xml:space="preserve"> nurodytas aplinkybes konstatuoja teismo pirmininkas ir priima sprendimą (įsakymą) dėl </w:t>
      </w:r>
      <w:r w:rsidR="00142767" w:rsidRPr="00054C9C">
        <w:rPr>
          <w:bCs/>
          <w:color w:val="000000"/>
        </w:rPr>
        <w:t xml:space="preserve">priemokos skyrimo ir išmokėjimo konkretiems teisėjams vadovaudamasis </w:t>
      </w:r>
      <w:r w:rsidR="00142767" w:rsidRPr="00CA385E">
        <w:rPr>
          <w:bCs/>
          <w:color w:val="000000"/>
        </w:rPr>
        <w:t xml:space="preserve">šio </w:t>
      </w:r>
      <w:r w:rsidR="00142767" w:rsidRPr="00CA385E">
        <w:rPr>
          <w:bCs/>
        </w:rPr>
        <w:t>Aprašo</w:t>
      </w:r>
      <w:r w:rsidR="00025B5D" w:rsidRPr="00CA385E">
        <w:rPr>
          <w:bCs/>
        </w:rPr>
        <w:t xml:space="preserve"> V</w:t>
      </w:r>
      <w:r w:rsidR="0004180D" w:rsidRPr="00CA385E">
        <w:rPr>
          <w:bCs/>
        </w:rPr>
        <w:t>II</w:t>
      </w:r>
      <w:r w:rsidR="00142767" w:rsidRPr="00CA385E">
        <w:rPr>
          <w:bCs/>
        </w:rPr>
        <w:t xml:space="preserve"> skyriuje </w:t>
      </w:r>
      <w:r w:rsidR="00142767" w:rsidRPr="00CA385E">
        <w:rPr>
          <w:bCs/>
          <w:color w:val="000000"/>
        </w:rPr>
        <w:t>nustatytais</w:t>
      </w:r>
      <w:r w:rsidR="00142767" w:rsidRPr="00054C9C">
        <w:rPr>
          <w:bCs/>
          <w:color w:val="000000"/>
        </w:rPr>
        <w:t xml:space="preserve"> kriterijais ir tvarka ne vėliau kaip iki kito mėnesio 15 dienos. </w:t>
      </w:r>
    </w:p>
    <w:p w14:paraId="67E9F726" w14:textId="7ED7303A" w:rsidR="00142767" w:rsidRPr="00025B5D" w:rsidRDefault="003660FB" w:rsidP="00990278">
      <w:pPr>
        <w:tabs>
          <w:tab w:val="left" w:pos="709"/>
          <w:tab w:val="left" w:pos="1134"/>
        </w:tabs>
        <w:suppressAutoHyphens/>
        <w:autoSpaceDN w:val="0"/>
        <w:ind w:firstLine="709"/>
        <w:jc w:val="both"/>
        <w:textAlignment w:val="baseline"/>
      </w:pPr>
      <w:r w:rsidRPr="00CA385E">
        <w:rPr>
          <w:bCs/>
        </w:rPr>
        <w:t>2</w:t>
      </w:r>
      <w:r>
        <w:rPr>
          <w:bCs/>
        </w:rPr>
        <w:t>5</w:t>
      </w:r>
      <w:r w:rsidR="00142767" w:rsidRPr="00CA385E">
        <w:rPr>
          <w:bCs/>
        </w:rPr>
        <w:t>.</w:t>
      </w:r>
      <w:r w:rsidR="00142767" w:rsidRPr="00054C9C">
        <w:rPr>
          <w:bCs/>
        </w:rPr>
        <w:t xml:space="preserve"> Teismo pirmininko įsakyme </w:t>
      </w:r>
      <w:bookmarkStart w:id="4" w:name="_Hlk83801970"/>
      <w:r w:rsidR="00142767" w:rsidRPr="00054C9C">
        <w:rPr>
          <w:bCs/>
        </w:rPr>
        <w:t>dėl teisėjo (teisėjų) darbo krūvio padidėjimo konstatavimo ir priemokos (priemokų) skyrimo ir išmokėjimo t</w:t>
      </w:r>
      <w:bookmarkEnd w:id="4"/>
      <w:r w:rsidR="00142767" w:rsidRPr="00054C9C">
        <w:rPr>
          <w:bCs/>
        </w:rPr>
        <w:t xml:space="preserve">uri būti nurodyti duomenys, patvirtinantys padidėjusį teisėjo darbo krūvį, nurodytas krūvio padidėjimo procentas ir šio </w:t>
      </w:r>
      <w:r w:rsidR="00142767" w:rsidRPr="00025B5D">
        <w:rPr>
          <w:bCs/>
        </w:rPr>
        <w:t>Aprašo</w:t>
      </w:r>
      <w:r w:rsidR="00142767" w:rsidRPr="00025B5D">
        <w:t xml:space="preserve"> </w:t>
      </w:r>
      <w:r w:rsidR="00945985" w:rsidRPr="00976A71">
        <w:t>2</w:t>
      </w:r>
      <w:r w:rsidR="00945985">
        <w:t>6</w:t>
      </w:r>
      <w:r w:rsidR="00945985" w:rsidRPr="00976A71">
        <w:t xml:space="preserve"> </w:t>
      </w:r>
      <w:r w:rsidR="00142767" w:rsidRPr="00976A71">
        <w:t>punkto nustatyta</w:t>
      </w:r>
      <w:r w:rsidR="00142767" w:rsidRPr="00025B5D">
        <w:t xml:space="preserve"> tvarka parinktas priemokos dydis konkretiems teisėjams. </w:t>
      </w:r>
    </w:p>
    <w:p w14:paraId="15BB65BE" w14:textId="77777777" w:rsidR="00142767" w:rsidRPr="00054C9C" w:rsidRDefault="00142767" w:rsidP="00990278">
      <w:pPr>
        <w:tabs>
          <w:tab w:val="left" w:pos="709"/>
          <w:tab w:val="left" w:pos="1080"/>
        </w:tabs>
        <w:suppressAutoHyphens/>
        <w:autoSpaceDN w:val="0"/>
        <w:ind w:firstLine="709"/>
        <w:jc w:val="center"/>
        <w:textAlignment w:val="baseline"/>
        <w:rPr>
          <w:b/>
          <w:caps/>
        </w:rPr>
      </w:pPr>
    </w:p>
    <w:p w14:paraId="513AE3F1" w14:textId="6C97E676" w:rsidR="00142767" w:rsidRPr="00054C9C" w:rsidRDefault="00B43ECB" w:rsidP="00990278">
      <w:pPr>
        <w:tabs>
          <w:tab w:val="left" w:pos="709"/>
          <w:tab w:val="left" w:pos="1080"/>
        </w:tabs>
        <w:suppressAutoHyphens/>
        <w:autoSpaceDN w:val="0"/>
        <w:ind w:firstLine="709"/>
        <w:jc w:val="center"/>
        <w:textAlignment w:val="baseline"/>
        <w:rPr>
          <w:b/>
          <w:caps/>
        </w:rPr>
      </w:pPr>
      <w:r>
        <w:rPr>
          <w:b/>
          <w:caps/>
        </w:rPr>
        <w:t>V</w:t>
      </w:r>
      <w:r w:rsidR="0004180D">
        <w:rPr>
          <w:b/>
          <w:caps/>
        </w:rPr>
        <w:t>II</w:t>
      </w:r>
      <w:r w:rsidR="00142767" w:rsidRPr="00054C9C">
        <w:rPr>
          <w:b/>
          <w:caps/>
        </w:rPr>
        <w:t xml:space="preserve">. PRIEMOKOS DYDŽIO NUSTATYMO KRITERIJAI IR SKYRIMO TVARKA </w:t>
      </w:r>
    </w:p>
    <w:p w14:paraId="5B477E0C" w14:textId="77777777" w:rsidR="00142767" w:rsidRPr="00054C9C" w:rsidRDefault="00142767" w:rsidP="00990278">
      <w:pPr>
        <w:tabs>
          <w:tab w:val="left" w:pos="709"/>
          <w:tab w:val="left" w:pos="1080"/>
        </w:tabs>
        <w:suppressAutoHyphens/>
        <w:autoSpaceDN w:val="0"/>
        <w:ind w:firstLine="709"/>
        <w:jc w:val="center"/>
        <w:textAlignment w:val="baseline"/>
        <w:rPr>
          <w:b/>
        </w:rPr>
      </w:pPr>
    </w:p>
    <w:p w14:paraId="60BB88F8" w14:textId="6981CA92" w:rsidR="00142767" w:rsidRPr="00054C9C" w:rsidRDefault="003660FB" w:rsidP="00990278">
      <w:pPr>
        <w:tabs>
          <w:tab w:val="left" w:pos="851"/>
        </w:tabs>
        <w:suppressAutoHyphens/>
        <w:autoSpaceDN w:val="0"/>
        <w:ind w:firstLine="709"/>
        <w:jc w:val="both"/>
        <w:textAlignment w:val="baseline"/>
      </w:pPr>
      <w:r>
        <w:t>26</w:t>
      </w:r>
      <w:r w:rsidR="00142767" w:rsidRPr="00054C9C">
        <w:t>. Priemokos už</w:t>
      </w:r>
      <w:r w:rsidR="00142767" w:rsidRPr="00054C9C">
        <w:rPr>
          <w:b/>
          <w:color w:val="000000"/>
        </w:rPr>
        <w:t xml:space="preserve"> </w:t>
      </w:r>
      <w:r w:rsidR="00142767" w:rsidRPr="00054C9C">
        <w:rPr>
          <w:bCs/>
          <w:color w:val="000000"/>
        </w:rPr>
        <w:t>padidėjusį teisėjo darbo krūvį</w:t>
      </w:r>
      <w:r w:rsidR="00B21058">
        <w:rPr>
          <w:bCs/>
          <w:color w:val="000000"/>
        </w:rPr>
        <w:t xml:space="preserve"> </w:t>
      </w:r>
      <w:r w:rsidR="00B21058" w:rsidRPr="00185ED3">
        <w:rPr>
          <w:bCs/>
          <w:color w:val="000000"/>
          <w:lang w:eastAsia="lt-LT"/>
        </w:rPr>
        <w:t xml:space="preserve">atliekant </w:t>
      </w:r>
      <w:r w:rsidR="00B21058" w:rsidRPr="00185ED3">
        <w:rPr>
          <w:lang w:eastAsia="lt-LT"/>
        </w:rPr>
        <w:t xml:space="preserve">kito teisėjo funkcijas </w:t>
      </w:r>
      <w:r w:rsidR="00B21058">
        <w:rPr>
          <w:lang w:eastAsia="lt-LT"/>
        </w:rPr>
        <w:t xml:space="preserve">arba kai </w:t>
      </w:r>
      <w:r w:rsidR="00B21058" w:rsidRPr="00054C9C">
        <w:rPr>
          <w:bCs/>
          <w:color w:val="000000"/>
        </w:rPr>
        <w:t>dėl iš anksto nenumatytų priežasčių žymiai padaugėjus gaunamų nagrinėti tam tikros kategorijos bylų per mėnesį</w:t>
      </w:r>
      <w:r w:rsidR="00142767" w:rsidRPr="00054C9C">
        <w:t xml:space="preserve"> dydis nustatomas remiantis šiais kriterijais: </w:t>
      </w:r>
    </w:p>
    <w:p w14:paraId="1582808A" w14:textId="1CB6FF2F" w:rsidR="00142767" w:rsidRPr="00054C9C" w:rsidRDefault="003660FB" w:rsidP="00990278">
      <w:pPr>
        <w:tabs>
          <w:tab w:val="left" w:pos="851"/>
        </w:tabs>
        <w:suppressAutoHyphens/>
        <w:autoSpaceDN w:val="0"/>
        <w:ind w:firstLine="709"/>
        <w:jc w:val="both"/>
        <w:textAlignment w:val="baseline"/>
      </w:pPr>
      <w:r>
        <w:lastRenderedPageBreak/>
        <w:t>26</w:t>
      </w:r>
      <w:r w:rsidR="00142767" w:rsidRPr="00054C9C">
        <w:t xml:space="preserve">.1. kai darbo krūvis padidėja nuo 20 iki 30 procentų skiriama 10 </w:t>
      </w:r>
      <w:r w:rsidR="00142767" w:rsidRPr="00054C9C">
        <w:rPr>
          <w:color w:val="000000"/>
        </w:rPr>
        <w:t xml:space="preserve">procentų teisėjo </w:t>
      </w:r>
      <w:r w:rsidR="00142767" w:rsidRPr="00054C9C">
        <w:t>pareiginės algos dydžio</w:t>
      </w:r>
      <w:r w:rsidR="00142767" w:rsidRPr="00054C9C">
        <w:rPr>
          <w:color w:val="000000"/>
        </w:rPr>
        <w:t xml:space="preserve"> priemoka;</w:t>
      </w:r>
    </w:p>
    <w:p w14:paraId="4A89FDEE" w14:textId="53C20845" w:rsidR="00142767" w:rsidRPr="00054C9C" w:rsidRDefault="003660FB" w:rsidP="00990278">
      <w:pPr>
        <w:tabs>
          <w:tab w:val="left" w:pos="851"/>
        </w:tabs>
        <w:suppressAutoHyphens/>
        <w:autoSpaceDN w:val="0"/>
        <w:ind w:firstLine="709"/>
        <w:jc w:val="both"/>
        <w:textAlignment w:val="baseline"/>
      </w:pPr>
      <w:r>
        <w:rPr>
          <w:color w:val="000000"/>
        </w:rPr>
        <w:t>26</w:t>
      </w:r>
      <w:r w:rsidR="00142767" w:rsidRPr="00054C9C">
        <w:rPr>
          <w:color w:val="000000"/>
        </w:rPr>
        <w:t xml:space="preserve">.2. </w:t>
      </w:r>
      <w:r w:rsidR="00142767" w:rsidRPr="00054C9C">
        <w:t xml:space="preserve">kai darbo krūvis padidėja nuo 30 iki 40 procentų skiriama 15 </w:t>
      </w:r>
      <w:r w:rsidR="00142767" w:rsidRPr="00054C9C">
        <w:rPr>
          <w:color w:val="000000"/>
        </w:rPr>
        <w:t xml:space="preserve">procentų teisėjo </w:t>
      </w:r>
      <w:r w:rsidR="00142767" w:rsidRPr="00054C9C">
        <w:t>pareiginės algos dydžio</w:t>
      </w:r>
      <w:r w:rsidR="00142767" w:rsidRPr="00054C9C">
        <w:rPr>
          <w:color w:val="000000"/>
        </w:rPr>
        <w:t xml:space="preserve"> priemoka;</w:t>
      </w:r>
    </w:p>
    <w:p w14:paraId="2ADF7E76" w14:textId="0C04E1AE" w:rsidR="00142767" w:rsidRPr="00054C9C" w:rsidRDefault="003660FB" w:rsidP="00990278">
      <w:pPr>
        <w:tabs>
          <w:tab w:val="left" w:pos="851"/>
        </w:tabs>
        <w:suppressAutoHyphens/>
        <w:autoSpaceDN w:val="0"/>
        <w:ind w:firstLine="709"/>
        <w:jc w:val="both"/>
        <w:textAlignment w:val="baseline"/>
      </w:pPr>
      <w:r>
        <w:rPr>
          <w:color w:val="000000"/>
        </w:rPr>
        <w:t>26</w:t>
      </w:r>
      <w:r w:rsidR="00142767" w:rsidRPr="00054C9C">
        <w:rPr>
          <w:color w:val="000000"/>
        </w:rPr>
        <w:t xml:space="preserve">.3. </w:t>
      </w:r>
      <w:r w:rsidR="00142767" w:rsidRPr="00054C9C">
        <w:t xml:space="preserve">kai darbo krūvis padidėja nuo 40 iki 50 procentų skiriama 20 </w:t>
      </w:r>
      <w:r w:rsidR="00142767" w:rsidRPr="00054C9C">
        <w:rPr>
          <w:color w:val="000000"/>
        </w:rPr>
        <w:t xml:space="preserve">procentų teisėjo </w:t>
      </w:r>
      <w:r w:rsidR="00142767" w:rsidRPr="00054C9C">
        <w:t>pareiginės algos dydžio</w:t>
      </w:r>
      <w:r w:rsidR="00142767" w:rsidRPr="00054C9C">
        <w:rPr>
          <w:color w:val="000000"/>
        </w:rPr>
        <w:t xml:space="preserve"> priemoka;</w:t>
      </w:r>
    </w:p>
    <w:p w14:paraId="5B033707" w14:textId="13777EE4" w:rsidR="00142767" w:rsidRPr="00054C9C" w:rsidRDefault="003660FB" w:rsidP="00990278">
      <w:pPr>
        <w:tabs>
          <w:tab w:val="left" w:pos="851"/>
        </w:tabs>
        <w:suppressAutoHyphens/>
        <w:autoSpaceDN w:val="0"/>
        <w:ind w:firstLine="709"/>
        <w:jc w:val="both"/>
        <w:textAlignment w:val="baseline"/>
      </w:pPr>
      <w:r>
        <w:rPr>
          <w:color w:val="000000"/>
        </w:rPr>
        <w:t>26</w:t>
      </w:r>
      <w:r w:rsidR="00142767" w:rsidRPr="00054C9C">
        <w:rPr>
          <w:color w:val="000000"/>
        </w:rPr>
        <w:t xml:space="preserve">.4. </w:t>
      </w:r>
      <w:r w:rsidR="00142767" w:rsidRPr="00054C9C">
        <w:t xml:space="preserve">kai darbo krūvis padidėja nuo 50 iki 60 procentų skiriama 25 </w:t>
      </w:r>
      <w:r w:rsidR="00142767" w:rsidRPr="00054C9C">
        <w:rPr>
          <w:color w:val="000000"/>
        </w:rPr>
        <w:t xml:space="preserve">procentų teisėjo </w:t>
      </w:r>
      <w:r w:rsidR="00142767" w:rsidRPr="00054C9C">
        <w:t>pareiginės algos dydžio</w:t>
      </w:r>
      <w:r w:rsidR="00142767" w:rsidRPr="00054C9C">
        <w:rPr>
          <w:color w:val="000000"/>
        </w:rPr>
        <w:t xml:space="preserve"> priemoka;</w:t>
      </w:r>
    </w:p>
    <w:p w14:paraId="2562F04B" w14:textId="57DA7EA8" w:rsidR="00142767" w:rsidRDefault="003660FB" w:rsidP="00990278">
      <w:pPr>
        <w:tabs>
          <w:tab w:val="left" w:pos="851"/>
        </w:tabs>
        <w:suppressAutoHyphens/>
        <w:autoSpaceDN w:val="0"/>
        <w:ind w:firstLine="709"/>
        <w:jc w:val="both"/>
        <w:textAlignment w:val="baseline"/>
        <w:rPr>
          <w:color w:val="000000"/>
        </w:rPr>
      </w:pPr>
      <w:r>
        <w:rPr>
          <w:color w:val="000000"/>
        </w:rPr>
        <w:t>26</w:t>
      </w:r>
      <w:r w:rsidR="00142767" w:rsidRPr="00054C9C">
        <w:rPr>
          <w:color w:val="000000"/>
        </w:rPr>
        <w:t xml:space="preserve">.5. </w:t>
      </w:r>
      <w:r w:rsidR="00142767" w:rsidRPr="00054C9C">
        <w:t xml:space="preserve">kai darbo krūvis padidėja 60 ir daugiau procentų skiriama 30 </w:t>
      </w:r>
      <w:r w:rsidR="00142767" w:rsidRPr="00054C9C">
        <w:rPr>
          <w:color w:val="000000"/>
        </w:rPr>
        <w:t xml:space="preserve">procentų teisėjo </w:t>
      </w:r>
      <w:r w:rsidR="00142767" w:rsidRPr="00054C9C">
        <w:t>pareiginės algos dydžio</w:t>
      </w:r>
      <w:r w:rsidR="00142767" w:rsidRPr="00054C9C">
        <w:rPr>
          <w:color w:val="000000"/>
        </w:rPr>
        <w:t xml:space="preserve"> priemoka.</w:t>
      </w:r>
    </w:p>
    <w:p w14:paraId="1D4C0D43" w14:textId="2529902B" w:rsidR="009B25BA" w:rsidRPr="00CA385E" w:rsidRDefault="003660FB" w:rsidP="00990278">
      <w:pPr>
        <w:tabs>
          <w:tab w:val="left" w:pos="851"/>
        </w:tabs>
        <w:suppressAutoHyphens/>
        <w:autoSpaceDN w:val="0"/>
        <w:ind w:firstLine="709"/>
        <w:jc w:val="both"/>
        <w:textAlignment w:val="baseline"/>
        <w:rPr>
          <w:strike/>
          <w:color w:val="000000"/>
        </w:rPr>
      </w:pPr>
      <w:r>
        <w:rPr>
          <w:color w:val="000000"/>
        </w:rPr>
        <w:t>27</w:t>
      </w:r>
      <w:r w:rsidR="009B25BA">
        <w:rPr>
          <w:color w:val="000000"/>
        </w:rPr>
        <w:t>.</w:t>
      </w:r>
      <w:r w:rsidR="00AA6427">
        <w:rPr>
          <w:color w:val="000000"/>
        </w:rPr>
        <w:t xml:space="preserve"> Dėl priemokų, numatytų šio Aprašo </w:t>
      </w:r>
      <w:r w:rsidR="00E80276">
        <w:rPr>
          <w:color w:val="000000"/>
        </w:rPr>
        <w:t>V</w:t>
      </w:r>
      <w:r w:rsidR="00AA6427">
        <w:rPr>
          <w:color w:val="000000"/>
        </w:rPr>
        <w:t xml:space="preserve"> ir </w:t>
      </w:r>
      <w:r w:rsidR="00E80276">
        <w:rPr>
          <w:color w:val="000000"/>
        </w:rPr>
        <w:t xml:space="preserve">VI </w:t>
      </w:r>
      <w:r w:rsidR="00AA6427">
        <w:rPr>
          <w:color w:val="000000"/>
        </w:rPr>
        <w:t>skyriuose sprendžiama atskirai</w:t>
      </w:r>
      <w:r w:rsidR="00A062CF">
        <w:rPr>
          <w:color w:val="000000"/>
        </w:rPr>
        <w:t xml:space="preserve">. Nustačius </w:t>
      </w:r>
      <w:r w:rsidR="00B366F4">
        <w:rPr>
          <w:color w:val="000000"/>
        </w:rPr>
        <w:t>kad yra pagrindas skirti abi priemokas</w:t>
      </w:r>
      <w:r w:rsidR="00AA6427">
        <w:rPr>
          <w:color w:val="000000"/>
        </w:rPr>
        <w:t>, tam pačiam teisėjui gali būti skiriam</w:t>
      </w:r>
      <w:r w:rsidR="00D46D76">
        <w:rPr>
          <w:color w:val="000000"/>
        </w:rPr>
        <w:t xml:space="preserve">a </w:t>
      </w:r>
      <w:r w:rsidR="00B366F4">
        <w:rPr>
          <w:color w:val="000000"/>
        </w:rPr>
        <w:t xml:space="preserve">ir mokama tik didesnioji </w:t>
      </w:r>
      <w:r w:rsidR="00D46D76">
        <w:rPr>
          <w:color w:val="000000"/>
        </w:rPr>
        <w:t xml:space="preserve">iš šių </w:t>
      </w:r>
      <w:r w:rsidR="00D46D76" w:rsidRPr="0054737F">
        <w:rPr>
          <w:color w:val="000000"/>
        </w:rPr>
        <w:t>priemokų</w:t>
      </w:r>
      <w:r w:rsidR="00E80276" w:rsidRPr="00CA385E">
        <w:rPr>
          <w:strike/>
        </w:rPr>
        <w:t xml:space="preserve">. </w:t>
      </w:r>
    </w:p>
    <w:p w14:paraId="558F6AB1" w14:textId="53086813" w:rsidR="00705FC1" w:rsidRPr="00054C9C" w:rsidRDefault="00705FC1" w:rsidP="00990278">
      <w:pPr>
        <w:tabs>
          <w:tab w:val="left" w:pos="709"/>
          <w:tab w:val="left" w:pos="1134"/>
        </w:tabs>
        <w:suppressAutoHyphens/>
        <w:autoSpaceDN w:val="0"/>
        <w:ind w:firstLine="709"/>
        <w:jc w:val="both"/>
        <w:textAlignment w:val="baseline"/>
      </w:pPr>
    </w:p>
    <w:p w14:paraId="7BB72D0F" w14:textId="17AEA2ED" w:rsidR="00142767" w:rsidRPr="00054C9C" w:rsidRDefault="00142767" w:rsidP="00990278">
      <w:pPr>
        <w:tabs>
          <w:tab w:val="left" w:pos="709"/>
          <w:tab w:val="left" w:pos="1080"/>
        </w:tabs>
        <w:suppressAutoHyphens/>
        <w:autoSpaceDN w:val="0"/>
        <w:ind w:firstLine="709"/>
        <w:jc w:val="center"/>
        <w:textAlignment w:val="baseline"/>
      </w:pPr>
      <w:r w:rsidRPr="00054C9C">
        <w:rPr>
          <w:b/>
        </w:rPr>
        <w:t>V</w:t>
      </w:r>
      <w:r w:rsidR="00954ADD">
        <w:rPr>
          <w:b/>
        </w:rPr>
        <w:t>III</w:t>
      </w:r>
      <w:r w:rsidRPr="00054C9C">
        <w:rPr>
          <w:b/>
        </w:rPr>
        <w:t xml:space="preserve">. </w:t>
      </w:r>
      <w:r w:rsidRPr="00054C9C">
        <w:rPr>
          <w:b/>
          <w:caps/>
        </w:rPr>
        <w:t>PRIEMOKOS IŠMOKĖJIMO TVARKA</w:t>
      </w:r>
    </w:p>
    <w:p w14:paraId="3D488ADD" w14:textId="77777777" w:rsidR="00142767" w:rsidRPr="00054C9C" w:rsidRDefault="00142767" w:rsidP="00990278">
      <w:pPr>
        <w:tabs>
          <w:tab w:val="left" w:pos="0"/>
          <w:tab w:val="left" w:pos="1080"/>
        </w:tabs>
        <w:suppressAutoHyphens/>
        <w:autoSpaceDN w:val="0"/>
        <w:ind w:firstLine="709"/>
        <w:jc w:val="center"/>
        <w:textAlignment w:val="baseline"/>
        <w:rPr>
          <w:b/>
        </w:rPr>
      </w:pPr>
    </w:p>
    <w:p w14:paraId="23042836" w14:textId="48A95DFB" w:rsidR="00142767" w:rsidRDefault="003660FB" w:rsidP="00990278">
      <w:pPr>
        <w:tabs>
          <w:tab w:val="left" w:pos="0"/>
          <w:tab w:val="left" w:pos="709"/>
        </w:tabs>
        <w:suppressAutoHyphens/>
        <w:autoSpaceDN w:val="0"/>
        <w:ind w:firstLine="709"/>
        <w:jc w:val="both"/>
        <w:textAlignment w:val="baseline"/>
        <w:rPr>
          <w:bCs/>
        </w:rPr>
      </w:pPr>
      <w:r>
        <w:rPr>
          <w:bCs/>
        </w:rPr>
        <w:t>28</w:t>
      </w:r>
      <w:r w:rsidR="00142767" w:rsidRPr="00054C9C">
        <w:rPr>
          <w:bCs/>
        </w:rPr>
        <w:t>. Priemoka</w:t>
      </w:r>
      <w:r w:rsidR="00D21727">
        <w:rPr>
          <w:bCs/>
        </w:rPr>
        <w:t xml:space="preserve"> </w:t>
      </w:r>
      <w:r w:rsidR="00142767" w:rsidRPr="00054C9C">
        <w:rPr>
          <w:bCs/>
        </w:rPr>
        <w:t>bendrosios kompetencijos ar specializuoto teismo teisėjui išmokama ne vėliau nei su to mėnesio, per kurį buvo vertintas ir konstatuotas padidėjęs darbo krūvis, darbo užmokesčiu.</w:t>
      </w:r>
    </w:p>
    <w:p w14:paraId="151921B3" w14:textId="77777777" w:rsidR="00B13C7E" w:rsidRPr="00054C9C" w:rsidRDefault="00B13C7E" w:rsidP="00990278">
      <w:pPr>
        <w:tabs>
          <w:tab w:val="left" w:pos="0"/>
          <w:tab w:val="left" w:pos="1080"/>
        </w:tabs>
        <w:suppressAutoHyphens/>
        <w:autoSpaceDN w:val="0"/>
        <w:ind w:firstLine="709"/>
        <w:jc w:val="center"/>
        <w:textAlignment w:val="baseline"/>
        <w:rPr>
          <w:b/>
        </w:rPr>
      </w:pPr>
    </w:p>
    <w:p w14:paraId="74EC7371" w14:textId="345C783D" w:rsidR="00142767" w:rsidRPr="00054C9C" w:rsidRDefault="006C0F82" w:rsidP="00990278">
      <w:pPr>
        <w:tabs>
          <w:tab w:val="left" w:pos="0"/>
          <w:tab w:val="left" w:pos="1080"/>
        </w:tabs>
        <w:suppressAutoHyphens/>
        <w:autoSpaceDN w:val="0"/>
        <w:ind w:firstLine="709"/>
        <w:jc w:val="center"/>
        <w:textAlignment w:val="baseline"/>
        <w:rPr>
          <w:b/>
        </w:rPr>
      </w:pPr>
      <w:r>
        <w:rPr>
          <w:b/>
        </w:rPr>
        <w:t>IX</w:t>
      </w:r>
      <w:r w:rsidR="00142767" w:rsidRPr="00054C9C">
        <w:rPr>
          <w:b/>
        </w:rPr>
        <w:t>. BAIGIAMOSIOS NUOSTATOS</w:t>
      </w:r>
    </w:p>
    <w:p w14:paraId="2E15A46C" w14:textId="77777777" w:rsidR="00142767" w:rsidRPr="00054C9C" w:rsidRDefault="00142767" w:rsidP="00990278">
      <w:pPr>
        <w:tabs>
          <w:tab w:val="left" w:pos="709"/>
          <w:tab w:val="left" w:pos="1276"/>
        </w:tabs>
        <w:suppressAutoHyphens/>
        <w:autoSpaceDN w:val="0"/>
        <w:ind w:firstLine="709"/>
        <w:jc w:val="both"/>
        <w:textAlignment w:val="baseline"/>
      </w:pPr>
    </w:p>
    <w:p w14:paraId="0F518C25" w14:textId="51E50F3A" w:rsidR="00142767" w:rsidRPr="00054C9C" w:rsidRDefault="003660FB" w:rsidP="00990278">
      <w:pPr>
        <w:suppressAutoHyphens/>
        <w:autoSpaceDN w:val="0"/>
        <w:ind w:firstLine="709"/>
        <w:jc w:val="both"/>
        <w:textAlignment w:val="baseline"/>
      </w:pPr>
      <w:r>
        <w:t>29</w:t>
      </w:r>
      <w:r w:rsidR="00976A71">
        <w:t>.</w:t>
      </w:r>
      <w:r w:rsidR="00142767" w:rsidRPr="00054C9C">
        <w:t xml:space="preserve"> Už šio Aprašo nuostatų tinkamą taikymą atsako teismo pirmininkas.</w:t>
      </w:r>
    </w:p>
    <w:p w14:paraId="467A10CD" w14:textId="1B72AC6D" w:rsidR="00142767" w:rsidRDefault="00CC1427" w:rsidP="00990278">
      <w:pPr>
        <w:suppressAutoHyphens/>
        <w:autoSpaceDN w:val="0"/>
        <w:ind w:firstLine="709"/>
        <w:jc w:val="both"/>
        <w:textAlignment w:val="baseline"/>
      </w:pPr>
      <w:r>
        <w:t>3</w:t>
      </w:r>
      <w:r w:rsidR="00976A71">
        <w:t>0</w:t>
      </w:r>
      <w:r w:rsidR="00142767" w:rsidRPr="00054C9C">
        <w:t xml:space="preserve">. Esant poreikiui, Nacionalinė teismų administracija teikia teismo pirmininkui informaciją ir duomenis, reikalingus vertinant </w:t>
      </w:r>
      <w:r w:rsidR="007120F0">
        <w:t xml:space="preserve">teismo (teismo rūmų), </w:t>
      </w:r>
      <w:r w:rsidR="00142767" w:rsidRPr="00054C9C">
        <w:t>teisėjo darbo krūvio padidėjimą.</w:t>
      </w:r>
    </w:p>
    <w:p w14:paraId="4F8DB2EA" w14:textId="6C82136A" w:rsidR="00655145" w:rsidRPr="00054C9C" w:rsidRDefault="00655145" w:rsidP="00D353E6">
      <w:pPr>
        <w:pStyle w:val="Pagrindinistekstas"/>
        <w:tabs>
          <w:tab w:val="left" w:pos="709"/>
          <w:tab w:val="left" w:pos="1276"/>
        </w:tabs>
        <w:spacing w:after="0"/>
        <w:jc w:val="both"/>
      </w:pPr>
      <w:r>
        <w:tab/>
      </w:r>
    </w:p>
    <w:p w14:paraId="53E36C80" w14:textId="77777777" w:rsidR="00142767" w:rsidRPr="00054C9C" w:rsidRDefault="00142767" w:rsidP="00990278">
      <w:pPr>
        <w:suppressAutoHyphens/>
        <w:autoSpaceDN w:val="0"/>
        <w:ind w:firstLine="709"/>
        <w:jc w:val="center"/>
        <w:textAlignment w:val="baseline"/>
      </w:pPr>
      <w:r w:rsidRPr="00054C9C">
        <w:t>______________</w:t>
      </w:r>
    </w:p>
    <w:p w14:paraId="56C65725" w14:textId="77777777" w:rsidR="00142767" w:rsidRDefault="00142767" w:rsidP="00990278">
      <w:pPr>
        <w:tabs>
          <w:tab w:val="right" w:pos="9638"/>
        </w:tabs>
        <w:ind w:firstLine="709"/>
        <w:rPr>
          <w:caps/>
        </w:rPr>
      </w:pPr>
    </w:p>
    <w:p w14:paraId="4048CEA1" w14:textId="21B22C84" w:rsidR="00564CC4" w:rsidRDefault="00564CC4" w:rsidP="00990278">
      <w:pPr>
        <w:ind w:firstLine="709"/>
      </w:pPr>
    </w:p>
    <w:p w14:paraId="66969F21" w14:textId="77777777" w:rsidR="00122B6D" w:rsidRDefault="00122B6D" w:rsidP="00990278">
      <w:pPr>
        <w:ind w:firstLine="709"/>
        <w:sectPr w:rsidR="00122B6D" w:rsidSect="00460CB6">
          <w:headerReference w:type="even" r:id="rId9"/>
          <w:headerReference w:type="default" r:id="rId10"/>
          <w:pgSz w:w="11907" w:h="16839"/>
          <w:pgMar w:top="1134" w:right="851" w:bottom="1134" w:left="1701" w:header="283" w:footer="283" w:gutter="0"/>
          <w:pgNumType w:start="1"/>
          <w:cols w:space="1296"/>
          <w:titlePg/>
          <w:docGrid w:linePitch="360"/>
        </w:sectPr>
      </w:pPr>
    </w:p>
    <w:p w14:paraId="4B6296E6" w14:textId="06BF8651" w:rsidR="00122B6D" w:rsidRDefault="00122B6D" w:rsidP="00990278">
      <w:pPr>
        <w:ind w:firstLine="709"/>
      </w:pPr>
    </w:p>
    <w:p w14:paraId="7C909814" w14:textId="61AC1635" w:rsidR="00122B6D" w:rsidRDefault="00122B6D" w:rsidP="00990278">
      <w:pPr>
        <w:ind w:firstLine="709"/>
      </w:pPr>
    </w:p>
    <w:p w14:paraId="5D37EACF" w14:textId="77777777" w:rsidR="00974895" w:rsidRPr="00A86117" w:rsidRDefault="00974895" w:rsidP="00974895">
      <w:pPr>
        <w:ind w:left="10098"/>
        <w:rPr>
          <w:lang w:eastAsia="lt-LT"/>
        </w:rPr>
      </w:pPr>
      <w:r w:rsidRPr="000319FB">
        <w:rPr>
          <w:color w:val="000000"/>
        </w:rPr>
        <w:t xml:space="preserve">Mokėjimo </w:t>
      </w:r>
      <w:r w:rsidRPr="000319FB">
        <w:t>už darbą ir budėjimą poilsio ir švenčių dienomis bei pavadavimą, p</w:t>
      </w:r>
      <w:r w:rsidRPr="000319FB">
        <w:rPr>
          <w:color w:val="000000"/>
        </w:rPr>
        <w:t xml:space="preserve">riemokų už padidėjusį darbo krūvį skyrimo ir mokėjimo </w:t>
      </w:r>
      <w:r w:rsidRPr="000319FB">
        <w:t>bendrosios kompetencijos ir specializuotų teismų teisėjams</w:t>
      </w:r>
      <w:r w:rsidRPr="00B02BD9">
        <w:t xml:space="preserve"> tvarkos </w:t>
      </w:r>
      <w:r w:rsidRPr="001B75D8">
        <w:rPr>
          <w:lang w:eastAsia="lt-LT"/>
        </w:rPr>
        <w:t>aprašo priedas</w:t>
      </w:r>
    </w:p>
    <w:p w14:paraId="0AF18C69" w14:textId="77777777" w:rsidR="00122B6D" w:rsidRPr="00A86117" w:rsidRDefault="00122B6D" w:rsidP="00122B6D">
      <w:pPr>
        <w:ind w:left="12240"/>
        <w:rPr>
          <w:lang w:eastAsia="lt-LT"/>
        </w:rPr>
      </w:pPr>
    </w:p>
    <w:p w14:paraId="6FA44506" w14:textId="77777777" w:rsidR="00122B6D" w:rsidRPr="00A86117" w:rsidRDefault="00122B6D" w:rsidP="00122B6D">
      <w:pPr>
        <w:ind w:left="12240" w:hanging="12240"/>
        <w:jc w:val="center"/>
        <w:rPr>
          <w:b/>
          <w:lang w:eastAsia="lt-LT"/>
        </w:rPr>
      </w:pPr>
      <w:r w:rsidRPr="00A86117">
        <w:rPr>
          <w:b/>
          <w:lang w:eastAsia="lt-LT"/>
        </w:rPr>
        <w:t>(Žurnalo formos pavyzdys)</w:t>
      </w:r>
    </w:p>
    <w:p w14:paraId="0BF8EFD1" w14:textId="77777777" w:rsidR="00122B6D" w:rsidRPr="00A86117" w:rsidRDefault="00122B6D" w:rsidP="00122B6D">
      <w:pPr>
        <w:ind w:left="12240"/>
        <w:rPr>
          <w:lang w:eastAsia="lt-LT"/>
        </w:rPr>
      </w:pPr>
    </w:p>
    <w:p w14:paraId="6814E97C" w14:textId="61169CD0" w:rsidR="00122B6D" w:rsidRPr="00A86117" w:rsidRDefault="00122B6D" w:rsidP="00122B6D">
      <w:pPr>
        <w:jc w:val="center"/>
        <w:rPr>
          <w:b/>
          <w:caps/>
          <w:lang w:eastAsia="lt-LT"/>
        </w:rPr>
      </w:pPr>
      <w:r w:rsidRPr="00A86117">
        <w:rPr>
          <w:b/>
          <w:caps/>
          <w:lang w:eastAsia="lt-LT"/>
        </w:rPr>
        <w:t xml:space="preserve">teisėjų darbo </w:t>
      </w:r>
      <w:r>
        <w:rPr>
          <w:b/>
          <w:caps/>
          <w:lang w:eastAsia="lt-LT"/>
        </w:rPr>
        <w:t xml:space="preserve">ir </w:t>
      </w:r>
      <w:r w:rsidRPr="00A86117">
        <w:rPr>
          <w:b/>
          <w:caps/>
          <w:lang w:eastAsia="lt-LT"/>
        </w:rPr>
        <w:t>budėjimo poilsio ir švenčių dienomis apskaitos žurnalas</w:t>
      </w:r>
    </w:p>
    <w:p w14:paraId="054E1B9B" w14:textId="77777777" w:rsidR="00122B6D" w:rsidRPr="00A86117" w:rsidRDefault="00122B6D" w:rsidP="00122B6D">
      <w:pPr>
        <w:ind w:left="12240"/>
        <w:rPr>
          <w:lang w:eastAsia="lt-LT"/>
        </w:rPr>
      </w:pPr>
    </w:p>
    <w:p w14:paraId="2085CFD2" w14:textId="77777777" w:rsidR="00122B6D" w:rsidRPr="00A86117" w:rsidRDefault="00122B6D" w:rsidP="00122B6D">
      <w:pPr>
        <w:jc w:val="center"/>
        <w:rPr>
          <w:lang w:eastAsia="lt-LT"/>
        </w:rPr>
      </w:pPr>
    </w:p>
    <w:p w14:paraId="48825BD8" w14:textId="77777777" w:rsidR="00122B6D" w:rsidRPr="00A86117" w:rsidRDefault="00122B6D" w:rsidP="00122B6D">
      <w:pPr>
        <w:jc w:val="center"/>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1988"/>
        <w:gridCol w:w="586"/>
        <w:gridCol w:w="1047"/>
        <w:gridCol w:w="1309"/>
        <w:gridCol w:w="7236"/>
        <w:gridCol w:w="816"/>
        <w:gridCol w:w="1087"/>
      </w:tblGrid>
      <w:tr w:rsidR="00122B6D" w:rsidRPr="00A86117" w14:paraId="16AA54E0" w14:textId="77777777" w:rsidTr="00122B6D">
        <w:trPr>
          <w:gridAfter w:val="2"/>
          <w:wAfter w:w="93" w:type="pct"/>
        </w:trPr>
        <w:tc>
          <w:tcPr>
            <w:tcW w:w="4907" w:type="pct"/>
            <w:gridSpan w:val="6"/>
            <w:tcBorders>
              <w:left w:val="single" w:sz="12" w:space="0" w:color="auto"/>
            </w:tcBorders>
            <w:shd w:val="clear" w:color="auto" w:fill="CCCCCC"/>
            <w:vAlign w:val="center"/>
          </w:tcPr>
          <w:p w14:paraId="4C0A3BEB" w14:textId="593405CC" w:rsidR="00122B6D" w:rsidRPr="00A86117" w:rsidRDefault="00122B6D" w:rsidP="003B09EE">
            <w:pPr>
              <w:jc w:val="center"/>
              <w:rPr>
                <w:b/>
                <w:sz w:val="20"/>
                <w:szCs w:val="20"/>
                <w:lang w:eastAsia="lt-LT"/>
              </w:rPr>
            </w:pPr>
            <w:r w:rsidRPr="00A86117">
              <w:rPr>
                <w:b/>
                <w:sz w:val="20"/>
                <w:szCs w:val="20"/>
                <w:lang w:eastAsia="lt-LT"/>
              </w:rPr>
              <w:t xml:space="preserve">Pildoma dirbant </w:t>
            </w:r>
            <w:r>
              <w:rPr>
                <w:b/>
                <w:sz w:val="20"/>
                <w:szCs w:val="20"/>
                <w:lang w:eastAsia="lt-LT"/>
              </w:rPr>
              <w:t xml:space="preserve">ir </w:t>
            </w:r>
            <w:r w:rsidRPr="0019416B">
              <w:rPr>
                <w:b/>
                <w:sz w:val="20"/>
                <w:szCs w:val="20"/>
                <w:lang w:eastAsia="lt-LT"/>
              </w:rPr>
              <w:t>budint</w:t>
            </w:r>
            <w:r w:rsidRPr="00A86117">
              <w:rPr>
                <w:b/>
                <w:sz w:val="20"/>
                <w:szCs w:val="20"/>
                <w:lang w:eastAsia="lt-LT"/>
              </w:rPr>
              <w:t xml:space="preserve"> poilsio ir švenčių </w:t>
            </w:r>
            <w:r w:rsidRPr="0019416B">
              <w:rPr>
                <w:b/>
                <w:sz w:val="20"/>
                <w:szCs w:val="20"/>
                <w:lang w:eastAsia="lt-LT"/>
              </w:rPr>
              <w:t>dienomis bei</w:t>
            </w:r>
          </w:p>
        </w:tc>
      </w:tr>
      <w:tr w:rsidR="00122B6D" w:rsidRPr="00A86117" w14:paraId="5B17FBA2" w14:textId="77777777" w:rsidTr="00122B6D">
        <w:trPr>
          <w:trHeight w:val="965"/>
        </w:trPr>
        <w:tc>
          <w:tcPr>
            <w:tcW w:w="185" w:type="pct"/>
            <w:vMerge w:val="restart"/>
            <w:tcBorders>
              <w:left w:val="single" w:sz="12" w:space="0" w:color="auto"/>
            </w:tcBorders>
            <w:vAlign w:val="center"/>
          </w:tcPr>
          <w:p w14:paraId="65ADFD85" w14:textId="77777777" w:rsidR="00122B6D" w:rsidRPr="00A86117" w:rsidRDefault="00122B6D" w:rsidP="003B09EE">
            <w:pPr>
              <w:jc w:val="center"/>
              <w:rPr>
                <w:b/>
                <w:sz w:val="18"/>
                <w:szCs w:val="18"/>
                <w:lang w:eastAsia="lt-LT"/>
              </w:rPr>
            </w:pPr>
            <w:r w:rsidRPr="00A86117">
              <w:rPr>
                <w:b/>
                <w:sz w:val="18"/>
                <w:szCs w:val="18"/>
                <w:lang w:eastAsia="lt-LT"/>
              </w:rPr>
              <w:t>Eil. Nr.</w:t>
            </w:r>
          </w:p>
        </w:tc>
        <w:tc>
          <w:tcPr>
            <w:tcW w:w="851" w:type="pct"/>
            <w:vMerge w:val="restart"/>
            <w:vAlign w:val="center"/>
          </w:tcPr>
          <w:p w14:paraId="5EE3B952" w14:textId="77777777" w:rsidR="00122B6D" w:rsidRPr="00A86117" w:rsidRDefault="00122B6D" w:rsidP="003B09EE">
            <w:pPr>
              <w:jc w:val="center"/>
              <w:rPr>
                <w:b/>
                <w:sz w:val="18"/>
                <w:szCs w:val="18"/>
                <w:lang w:eastAsia="lt-LT"/>
              </w:rPr>
            </w:pPr>
            <w:r w:rsidRPr="00A86117">
              <w:rPr>
                <w:b/>
                <w:sz w:val="18"/>
                <w:szCs w:val="18"/>
                <w:lang w:eastAsia="lt-LT"/>
              </w:rPr>
              <w:t>Veiksmų, atliktų dirbant poilsio ir švenčių dienomis, aprašymas / budėjimai</w:t>
            </w:r>
          </w:p>
        </w:tc>
        <w:tc>
          <w:tcPr>
            <w:tcW w:w="294" w:type="pct"/>
            <w:vMerge w:val="restart"/>
            <w:shd w:val="clear" w:color="auto" w:fill="auto"/>
            <w:vAlign w:val="center"/>
          </w:tcPr>
          <w:p w14:paraId="61496F1B" w14:textId="77777777" w:rsidR="00122B6D" w:rsidRPr="00A86117" w:rsidRDefault="00122B6D" w:rsidP="003B09EE">
            <w:pPr>
              <w:jc w:val="center"/>
              <w:rPr>
                <w:b/>
                <w:sz w:val="18"/>
                <w:szCs w:val="18"/>
                <w:lang w:eastAsia="lt-LT"/>
              </w:rPr>
            </w:pPr>
            <w:r w:rsidRPr="00A86117">
              <w:rPr>
                <w:b/>
                <w:sz w:val="18"/>
                <w:szCs w:val="18"/>
                <w:lang w:eastAsia="lt-LT"/>
              </w:rPr>
              <w:t>Data</w:t>
            </w:r>
          </w:p>
        </w:tc>
        <w:tc>
          <w:tcPr>
            <w:tcW w:w="996" w:type="pct"/>
            <w:gridSpan w:val="2"/>
            <w:vMerge w:val="restart"/>
            <w:shd w:val="clear" w:color="auto" w:fill="auto"/>
            <w:vAlign w:val="center"/>
          </w:tcPr>
          <w:p w14:paraId="5938435C" w14:textId="77777777" w:rsidR="00122B6D" w:rsidRPr="00A86117" w:rsidRDefault="00122B6D" w:rsidP="003B09EE">
            <w:pPr>
              <w:jc w:val="center"/>
              <w:rPr>
                <w:b/>
                <w:sz w:val="18"/>
                <w:szCs w:val="18"/>
                <w:lang w:eastAsia="lt-LT"/>
              </w:rPr>
            </w:pPr>
            <w:r w:rsidRPr="00A86117">
              <w:rPr>
                <w:b/>
                <w:sz w:val="18"/>
                <w:szCs w:val="18"/>
                <w:lang w:eastAsia="lt-LT"/>
              </w:rPr>
              <w:t>Laikas</w:t>
            </w:r>
          </w:p>
        </w:tc>
        <w:tc>
          <w:tcPr>
            <w:tcW w:w="856" w:type="pct"/>
            <w:vMerge w:val="restart"/>
            <w:vAlign w:val="center"/>
          </w:tcPr>
          <w:p w14:paraId="5E7D177B" w14:textId="77777777" w:rsidR="00122B6D" w:rsidRPr="00A86117" w:rsidRDefault="00122B6D" w:rsidP="003B09EE">
            <w:pPr>
              <w:jc w:val="center"/>
              <w:rPr>
                <w:b/>
                <w:sz w:val="18"/>
                <w:szCs w:val="18"/>
                <w:lang w:eastAsia="lt-LT"/>
              </w:rPr>
            </w:pPr>
            <w:r w:rsidRPr="00A86117">
              <w:rPr>
                <w:b/>
                <w:sz w:val="18"/>
                <w:szCs w:val="18"/>
                <w:lang w:eastAsia="lt-LT"/>
              </w:rPr>
              <w:t>Teisėjo vardas, pavardė</w:t>
            </w:r>
          </w:p>
        </w:tc>
        <w:tc>
          <w:tcPr>
            <w:tcW w:w="1726" w:type="pct"/>
            <w:vMerge w:val="restart"/>
            <w:vAlign w:val="center"/>
          </w:tcPr>
          <w:p w14:paraId="7FFABB92" w14:textId="77777777" w:rsidR="00122B6D" w:rsidRPr="00A86117" w:rsidRDefault="00122B6D" w:rsidP="003B09EE">
            <w:pPr>
              <w:jc w:val="center"/>
              <w:rPr>
                <w:b/>
                <w:sz w:val="18"/>
                <w:szCs w:val="18"/>
                <w:lang w:eastAsia="lt-LT"/>
              </w:rPr>
            </w:pPr>
            <w:r w:rsidRPr="00A86117">
              <w:rPr>
                <w:b/>
                <w:sz w:val="18"/>
                <w:szCs w:val="18"/>
                <w:lang w:eastAsia="lt-LT"/>
              </w:rPr>
              <w:t>Parašas</w:t>
            </w:r>
          </w:p>
        </w:tc>
        <w:tc>
          <w:tcPr>
            <w:tcW w:w="93" w:type="pct"/>
            <w:vMerge w:val="restart"/>
            <w:vAlign w:val="center"/>
          </w:tcPr>
          <w:p w14:paraId="50FAD3D6" w14:textId="77777777" w:rsidR="00122B6D" w:rsidRPr="00A86117" w:rsidRDefault="00122B6D" w:rsidP="003B09EE">
            <w:pPr>
              <w:jc w:val="center"/>
              <w:rPr>
                <w:b/>
                <w:sz w:val="18"/>
                <w:szCs w:val="18"/>
                <w:lang w:eastAsia="lt-LT"/>
              </w:rPr>
            </w:pPr>
            <w:r w:rsidRPr="00A86117">
              <w:rPr>
                <w:b/>
                <w:sz w:val="18"/>
                <w:szCs w:val="18"/>
                <w:lang w:eastAsia="lt-LT"/>
              </w:rPr>
              <w:t xml:space="preserve">Teismo pirmininko </w:t>
            </w:r>
            <w:r>
              <w:rPr>
                <w:b/>
                <w:sz w:val="18"/>
                <w:szCs w:val="18"/>
                <w:lang w:eastAsia="lt-LT"/>
              </w:rPr>
              <w:t xml:space="preserve">ar jo įgalioto asmens </w:t>
            </w:r>
            <w:r w:rsidRPr="00A86117">
              <w:rPr>
                <w:b/>
                <w:sz w:val="18"/>
                <w:szCs w:val="18"/>
                <w:lang w:eastAsia="lt-LT"/>
              </w:rPr>
              <w:t>rezoliucija</w:t>
            </w:r>
          </w:p>
        </w:tc>
      </w:tr>
      <w:tr w:rsidR="00122B6D" w:rsidRPr="00A86117" w14:paraId="1044E375" w14:textId="77777777" w:rsidTr="00122B6D">
        <w:trPr>
          <w:trHeight w:val="485"/>
        </w:trPr>
        <w:tc>
          <w:tcPr>
            <w:tcW w:w="185" w:type="pct"/>
            <w:vMerge/>
            <w:tcBorders>
              <w:left w:val="single" w:sz="12" w:space="0" w:color="auto"/>
            </w:tcBorders>
            <w:vAlign w:val="center"/>
          </w:tcPr>
          <w:p w14:paraId="57F88E2D" w14:textId="77777777" w:rsidR="00122B6D" w:rsidRPr="00A86117" w:rsidRDefault="00122B6D" w:rsidP="003B09EE">
            <w:pPr>
              <w:jc w:val="center"/>
              <w:rPr>
                <w:sz w:val="18"/>
                <w:szCs w:val="18"/>
                <w:lang w:eastAsia="lt-LT"/>
              </w:rPr>
            </w:pPr>
          </w:p>
        </w:tc>
        <w:tc>
          <w:tcPr>
            <w:tcW w:w="851" w:type="pct"/>
            <w:vMerge/>
            <w:vAlign w:val="center"/>
          </w:tcPr>
          <w:p w14:paraId="7573306E" w14:textId="77777777" w:rsidR="00122B6D" w:rsidRPr="00A86117" w:rsidRDefault="00122B6D" w:rsidP="003B09EE">
            <w:pPr>
              <w:jc w:val="center"/>
              <w:rPr>
                <w:sz w:val="18"/>
                <w:szCs w:val="18"/>
                <w:lang w:eastAsia="lt-LT"/>
              </w:rPr>
            </w:pPr>
          </w:p>
        </w:tc>
        <w:tc>
          <w:tcPr>
            <w:tcW w:w="294" w:type="pct"/>
            <w:vMerge/>
            <w:shd w:val="clear" w:color="auto" w:fill="auto"/>
            <w:vAlign w:val="center"/>
          </w:tcPr>
          <w:p w14:paraId="5F15F53A" w14:textId="77777777" w:rsidR="00122B6D" w:rsidRPr="00A86117" w:rsidRDefault="00122B6D" w:rsidP="003B09EE">
            <w:pPr>
              <w:jc w:val="center"/>
              <w:rPr>
                <w:sz w:val="18"/>
                <w:szCs w:val="18"/>
                <w:lang w:eastAsia="lt-LT"/>
              </w:rPr>
            </w:pPr>
          </w:p>
        </w:tc>
        <w:tc>
          <w:tcPr>
            <w:tcW w:w="996" w:type="pct"/>
            <w:gridSpan w:val="2"/>
            <w:vMerge/>
            <w:shd w:val="clear" w:color="auto" w:fill="auto"/>
            <w:vAlign w:val="center"/>
          </w:tcPr>
          <w:p w14:paraId="686DA947" w14:textId="77777777" w:rsidR="00122B6D" w:rsidRPr="00A86117" w:rsidRDefault="00122B6D" w:rsidP="003B09EE">
            <w:pPr>
              <w:jc w:val="center"/>
              <w:rPr>
                <w:sz w:val="18"/>
                <w:szCs w:val="18"/>
                <w:lang w:eastAsia="lt-LT"/>
              </w:rPr>
            </w:pPr>
          </w:p>
        </w:tc>
        <w:tc>
          <w:tcPr>
            <w:tcW w:w="856" w:type="pct"/>
            <w:vMerge/>
            <w:vAlign w:val="center"/>
          </w:tcPr>
          <w:p w14:paraId="5204089F" w14:textId="77777777" w:rsidR="00122B6D" w:rsidRPr="00A86117" w:rsidRDefault="00122B6D" w:rsidP="003B09EE">
            <w:pPr>
              <w:jc w:val="center"/>
              <w:rPr>
                <w:sz w:val="18"/>
                <w:szCs w:val="18"/>
                <w:lang w:eastAsia="lt-LT"/>
              </w:rPr>
            </w:pPr>
          </w:p>
        </w:tc>
        <w:tc>
          <w:tcPr>
            <w:tcW w:w="1726" w:type="pct"/>
            <w:vMerge/>
            <w:vAlign w:val="center"/>
          </w:tcPr>
          <w:p w14:paraId="7FCB90F4" w14:textId="77777777" w:rsidR="00122B6D" w:rsidRPr="00A86117" w:rsidRDefault="00122B6D" w:rsidP="003B09EE">
            <w:pPr>
              <w:jc w:val="center"/>
              <w:rPr>
                <w:sz w:val="18"/>
                <w:szCs w:val="18"/>
                <w:lang w:eastAsia="lt-LT"/>
              </w:rPr>
            </w:pPr>
          </w:p>
        </w:tc>
        <w:tc>
          <w:tcPr>
            <w:tcW w:w="93" w:type="pct"/>
            <w:vMerge/>
          </w:tcPr>
          <w:p w14:paraId="3F84CEA3" w14:textId="77777777" w:rsidR="00122B6D" w:rsidRPr="00A86117" w:rsidRDefault="00122B6D" w:rsidP="003B09EE">
            <w:pPr>
              <w:jc w:val="center"/>
              <w:rPr>
                <w:sz w:val="18"/>
                <w:szCs w:val="18"/>
                <w:lang w:eastAsia="lt-LT"/>
              </w:rPr>
            </w:pPr>
          </w:p>
        </w:tc>
      </w:tr>
      <w:tr w:rsidR="00122B6D" w:rsidRPr="00A86117" w14:paraId="1BF123B2" w14:textId="77777777" w:rsidTr="00122B6D">
        <w:trPr>
          <w:trHeight w:val="485"/>
        </w:trPr>
        <w:tc>
          <w:tcPr>
            <w:tcW w:w="185" w:type="pct"/>
            <w:vMerge/>
            <w:tcBorders>
              <w:left w:val="single" w:sz="12" w:space="0" w:color="auto"/>
            </w:tcBorders>
            <w:vAlign w:val="center"/>
          </w:tcPr>
          <w:p w14:paraId="1B7A0B0A" w14:textId="77777777" w:rsidR="00122B6D" w:rsidRPr="00A86117" w:rsidRDefault="00122B6D" w:rsidP="003B09EE">
            <w:pPr>
              <w:jc w:val="center"/>
              <w:rPr>
                <w:sz w:val="18"/>
                <w:szCs w:val="18"/>
                <w:lang w:eastAsia="lt-LT"/>
              </w:rPr>
            </w:pPr>
          </w:p>
        </w:tc>
        <w:tc>
          <w:tcPr>
            <w:tcW w:w="851" w:type="pct"/>
            <w:vMerge/>
            <w:vAlign w:val="center"/>
          </w:tcPr>
          <w:p w14:paraId="34063E8C" w14:textId="77777777" w:rsidR="00122B6D" w:rsidRPr="00A86117" w:rsidRDefault="00122B6D" w:rsidP="003B09EE">
            <w:pPr>
              <w:jc w:val="center"/>
              <w:rPr>
                <w:sz w:val="18"/>
                <w:szCs w:val="18"/>
                <w:lang w:eastAsia="lt-LT"/>
              </w:rPr>
            </w:pPr>
          </w:p>
        </w:tc>
        <w:tc>
          <w:tcPr>
            <w:tcW w:w="294" w:type="pct"/>
            <w:vMerge/>
            <w:shd w:val="clear" w:color="auto" w:fill="auto"/>
            <w:vAlign w:val="center"/>
          </w:tcPr>
          <w:p w14:paraId="6E9A5860" w14:textId="77777777" w:rsidR="00122B6D" w:rsidRPr="00A86117" w:rsidRDefault="00122B6D" w:rsidP="003B09EE">
            <w:pPr>
              <w:jc w:val="center"/>
              <w:rPr>
                <w:b/>
                <w:sz w:val="18"/>
                <w:szCs w:val="18"/>
                <w:lang w:eastAsia="lt-LT"/>
              </w:rPr>
            </w:pPr>
          </w:p>
        </w:tc>
        <w:tc>
          <w:tcPr>
            <w:tcW w:w="447" w:type="pct"/>
            <w:shd w:val="clear" w:color="auto" w:fill="auto"/>
            <w:vAlign w:val="center"/>
          </w:tcPr>
          <w:p w14:paraId="323D3AB6" w14:textId="77777777" w:rsidR="00122B6D" w:rsidRPr="00A86117" w:rsidRDefault="00122B6D" w:rsidP="003B09EE">
            <w:pPr>
              <w:jc w:val="center"/>
              <w:rPr>
                <w:b/>
                <w:sz w:val="18"/>
                <w:szCs w:val="18"/>
                <w:lang w:eastAsia="lt-LT"/>
              </w:rPr>
            </w:pPr>
            <w:r w:rsidRPr="00A86117">
              <w:rPr>
                <w:b/>
                <w:sz w:val="18"/>
                <w:szCs w:val="18"/>
                <w:lang w:eastAsia="lt-LT"/>
              </w:rPr>
              <w:t>Atvykimas</w:t>
            </w:r>
          </w:p>
        </w:tc>
        <w:tc>
          <w:tcPr>
            <w:tcW w:w="550" w:type="pct"/>
            <w:shd w:val="clear" w:color="auto" w:fill="auto"/>
            <w:vAlign w:val="center"/>
          </w:tcPr>
          <w:p w14:paraId="720217E1" w14:textId="77777777" w:rsidR="00122B6D" w:rsidRPr="00A86117" w:rsidRDefault="00122B6D" w:rsidP="003B09EE">
            <w:pPr>
              <w:jc w:val="center"/>
              <w:rPr>
                <w:b/>
                <w:sz w:val="18"/>
                <w:szCs w:val="18"/>
                <w:lang w:eastAsia="lt-LT"/>
              </w:rPr>
            </w:pPr>
            <w:r w:rsidRPr="00A86117">
              <w:rPr>
                <w:b/>
                <w:sz w:val="18"/>
                <w:szCs w:val="18"/>
                <w:lang w:eastAsia="lt-LT"/>
              </w:rPr>
              <w:t>Išvykimas</w:t>
            </w:r>
          </w:p>
        </w:tc>
        <w:tc>
          <w:tcPr>
            <w:tcW w:w="856" w:type="pct"/>
            <w:vMerge/>
            <w:vAlign w:val="center"/>
          </w:tcPr>
          <w:p w14:paraId="555B02AE" w14:textId="77777777" w:rsidR="00122B6D" w:rsidRPr="00A86117" w:rsidRDefault="00122B6D" w:rsidP="003B09EE">
            <w:pPr>
              <w:jc w:val="center"/>
              <w:rPr>
                <w:sz w:val="18"/>
                <w:szCs w:val="18"/>
                <w:lang w:eastAsia="lt-LT"/>
              </w:rPr>
            </w:pPr>
          </w:p>
        </w:tc>
        <w:tc>
          <w:tcPr>
            <w:tcW w:w="1726" w:type="pct"/>
            <w:vMerge/>
            <w:vAlign w:val="center"/>
          </w:tcPr>
          <w:p w14:paraId="1F82B570" w14:textId="77777777" w:rsidR="00122B6D" w:rsidRPr="00A86117" w:rsidRDefault="00122B6D" w:rsidP="003B09EE">
            <w:pPr>
              <w:jc w:val="center"/>
              <w:rPr>
                <w:sz w:val="18"/>
                <w:szCs w:val="18"/>
                <w:lang w:eastAsia="lt-LT"/>
              </w:rPr>
            </w:pPr>
          </w:p>
        </w:tc>
        <w:tc>
          <w:tcPr>
            <w:tcW w:w="93" w:type="pct"/>
            <w:vMerge/>
          </w:tcPr>
          <w:p w14:paraId="74775690" w14:textId="77777777" w:rsidR="00122B6D" w:rsidRPr="00A86117" w:rsidRDefault="00122B6D" w:rsidP="003B09EE">
            <w:pPr>
              <w:jc w:val="center"/>
              <w:rPr>
                <w:sz w:val="18"/>
                <w:szCs w:val="18"/>
                <w:lang w:eastAsia="lt-LT"/>
              </w:rPr>
            </w:pPr>
          </w:p>
        </w:tc>
      </w:tr>
      <w:tr w:rsidR="00122B6D" w:rsidRPr="00A86117" w14:paraId="395BFB56" w14:textId="77777777" w:rsidTr="00122B6D">
        <w:tc>
          <w:tcPr>
            <w:tcW w:w="185" w:type="pct"/>
            <w:tcBorders>
              <w:left w:val="single" w:sz="12" w:space="0" w:color="auto"/>
            </w:tcBorders>
            <w:vAlign w:val="center"/>
          </w:tcPr>
          <w:p w14:paraId="4B2FCDDC" w14:textId="77777777" w:rsidR="00122B6D" w:rsidRPr="00A86117" w:rsidRDefault="00122B6D" w:rsidP="003B09EE">
            <w:pPr>
              <w:jc w:val="center"/>
              <w:rPr>
                <w:sz w:val="18"/>
                <w:szCs w:val="18"/>
                <w:lang w:eastAsia="lt-LT"/>
              </w:rPr>
            </w:pPr>
            <w:r w:rsidRPr="00A86117">
              <w:rPr>
                <w:sz w:val="18"/>
                <w:szCs w:val="18"/>
                <w:lang w:eastAsia="lt-LT"/>
              </w:rPr>
              <w:t>1.</w:t>
            </w:r>
          </w:p>
        </w:tc>
        <w:tc>
          <w:tcPr>
            <w:tcW w:w="851" w:type="pct"/>
            <w:vAlign w:val="center"/>
          </w:tcPr>
          <w:p w14:paraId="03F95208" w14:textId="77777777" w:rsidR="00122B6D" w:rsidRPr="00A86117" w:rsidRDefault="00122B6D" w:rsidP="003B09EE">
            <w:pPr>
              <w:jc w:val="center"/>
              <w:rPr>
                <w:sz w:val="18"/>
                <w:szCs w:val="18"/>
                <w:lang w:eastAsia="lt-LT"/>
              </w:rPr>
            </w:pPr>
          </w:p>
        </w:tc>
        <w:tc>
          <w:tcPr>
            <w:tcW w:w="294" w:type="pct"/>
            <w:shd w:val="clear" w:color="auto" w:fill="auto"/>
            <w:vAlign w:val="center"/>
          </w:tcPr>
          <w:p w14:paraId="0ECCBFF8" w14:textId="77777777" w:rsidR="00122B6D" w:rsidRPr="00A86117" w:rsidRDefault="00122B6D" w:rsidP="003B09EE">
            <w:pPr>
              <w:jc w:val="center"/>
              <w:rPr>
                <w:sz w:val="18"/>
                <w:szCs w:val="18"/>
                <w:lang w:eastAsia="lt-LT"/>
              </w:rPr>
            </w:pPr>
          </w:p>
        </w:tc>
        <w:tc>
          <w:tcPr>
            <w:tcW w:w="447" w:type="pct"/>
            <w:shd w:val="clear" w:color="auto" w:fill="auto"/>
            <w:vAlign w:val="center"/>
          </w:tcPr>
          <w:p w14:paraId="5FED565F" w14:textId="77777777" w:rsidR="00122B6D" w:rsidRPr="00A86117" w:rsidRDefault="00122B6D" w:rsidP="003B09EE">
            <w:pPr>
              <w:jc w:val="center"/>
              <w:rPr>
                <w:sz w:val="18"/>
                <w:szCs w:val="18"/>
                <w:lang w:eastAsia="lt-LT"/>
              </w:rPr>
            </w:pPr>
          </w:p>
        </w:tc>
        <w:tc>
          <w:tcPr>
            <w:tcW w:w="550" w:type="pct"/>
            <w:shd w:val="clear" w:color="auto" w:fill="auto"/>
            <w:vAlign w:val="center"/>
          </w:tcPr>
          <w:p w14:paraId="2F176D14" w14:textId="77777777" w:rsidR="00122B6D" w:rsidRPr="00A86117" w:rsidRDefault="00122B6D" w:rsidP="003B09EE">
            <w:pPr>
              <w:jc w:val="center"/>
              <w:rPr>
                <w:sz w:val="18"/>
                <w:szCs w:val="18"/>
                <w:lang w:eastAsia="lt-LT"/>
              </w:rPr>
            </w:pPr>
          </w:p>
        </w:tc>
        <w:tc>
          <w:tcPr>
            <w:tcW w:w="856" w:type="pct"/>
            <w:vAlign w:val="center"/>
          </w:tcPr>
          <w:p w14:paraId="30C067B1" w14:textId="77777777" w:rsidR="00122B6D" w:rsidRPr="00A86117" w:rsidRDefault="00122B6D" w:rsidP="003B09EE">
            <w:pPr>
              <w:jc w:val="center"/>
              <w:rPr>
                <w:sz w:val="18"/>
                <w:szCs w:val="18"/>
                <w:lang w:eastAsia="lt-LT"/>
              </w:rPr>
            </w:pPr>
          </w:p>
        </w:tc>
        <w:tc>
          <w:tcPr>
            <w:tcW w:w="1726" w:type="pct"/>
            <w:vAlign w:val="center"/>
          </w:tcPr>
          <w:p w14:paraId="6056B975" w14:textId="77777777" w:rsidR="00122B6D" w:rsidRPr="00A86117" w:rsidRDefault="00122B6D" w:rsidP="003B09EE">
            <w:pPr>
              <w:jc w:val="center"/>
              <w:rPr>
                <w:sz w:val="18"/>
                <w:szCs w:val="18"/>
                <w:lang w:eastAsia="lt-LT"/>
              </w:rPr>
            </w:pPr>
          </w:p>
        </w:tc>
        <w:tc>
          <w:tcPr>
            <w:tcW w:w="93" w:type="pct"/>
          </w:tcPr>
          <w:p w14:paraId="7A159445" w14:textId="77777777" w:rsidR="00122B6D" w:rsidRPr="00A86117" w:rsidRDefault="00122B6D" w:rsidP="003B09EE">
            <w:pPr>
              <w:jc w:val="center"/>
              <w:rPr>
                <w:sz w:val="18"/>
                <w:szCs w:val="18"/>
                <w:lang w:eastAsia="lt-LT"/>
              </w:rPr>
            </w:pPr>
          </w:p>
        </w:tc>
      </w:tr>
    </w:tbl>
    <w:p w14:paraId="1AE56387" w14:textId="77777777" w:rsidR="00122B6D" w:rsidRPr="00A86117" w:rsidRDefault="00122B6D" w:rsidP="00122B6D">
      <w:pPr>
        <w:jc w:val="center"/>
        <w:rPr>
          <w:lang w:eastAsia="lt-LT"/>
        </w:rPr>
      </w:pPr>
    </w:p>
    <w:p w14:paraId="6D27F7E0" w14:textId="77777777" w:rsidR="00122B6D" w:rsidRPr="00676420" w:rsidRDefault="00122B6D" w:rsidP="00122B6D">
      <w:pPr>
        <w:jc w:val="center"/>
        <w:rPr>
          <w:lang w:eastAsia="lt-LT"/>
        </w:rPr>
      </w:pPr>
      <w:r w:rsidRPr="00A86117">
        <w:rPr>
          <w:lang w:eastAsia="lt-LT"/>
        </w:rPr>
        <w:t>_____________</w:t>
      </w:r>
    </w:p>
    <w:p w14:paraId="21DCDE00" w14:textId="77777777" w:rsidR="00122B6D" w:rsidRPr="00142767" w:rsidRDefault="00122B6D" w:rsidP="00990278">
      <w:pPr>
        <w:ind w:firstLine="709"/>
      </w:pPr>
    </w:p>
    <w:sectPr w:rsidR="00122B6D" w:rsidRPr="00142767" w:rsidSect="00122B6D">
      <w:pgSz w:w="16839" w:h="11907" w:orient="landscape"/>
      <w:pgMar w:top="851" w:right="1134" w:bottom="170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898E" w14:textId="77777777" w:rsidR="004A3E53" w:rsidRDefault="004A3E53">
      <w:r>
        <w:separator/>
      </w:r>
    </w:p>
  </w:endnote>
  <w:endnote w:type="continuationSeparator" w:id="0">
    <w:p w14:paraId="0425F05C" w14:textId="77777777" w:rsidR="004A3E53" w:rsidRDefault="004A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Lohit Hindi">
    <w:altName w:val="MS Mincho"/>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80C8" w14:textId="77777777" w:rsidR="004A3E53" w:rsidRDefault="004A3E53">
      <w:r>
        <w:separator/>
      </w:r>
    </w:p>
  </w:footnote>
  <w:footnote w:type="continuationSeparator" w:id="0">
    <w:p w14:paraId="0D037C62" w14:textId="77777777" w:rsidR="004A3E53" w:rsidRDefault="004A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2C32" w14:textId="77777777" w:rsidR="00A32105" w:rsidRDefault="00122B6D" w:rsidP="00F3385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BC44458" w14:textId="77777777" w:rsidR="00A32105" w:rsidRPr="00A32105" w:rsidRDefault="004A3E53" w:rsidP="00A321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CB83" w14:textId="77777777" w:rsidR="00691660" w:rsidRDefault="00122B6D">
    <w:pPr>
      <w:pStyle w:val="Antrats"/>
      <w:jc w:val="center"/>
    </w:pPr>
    <w:r>
      <w:fldChar w:fldCharType="begin"/>
    </w:r>
    <w:r>
      <w:instrText>PAGE   \* MERGEFORMAT</w:instrText>
    </w:r>
    <w:r>
      <w:fldChar w:fldCharType="separate"/>
    </w:r>
    <w:r>
      <w:t>2</w:t>
    </w:r>
    <w:r>
      <w:fldChar w:fldCharType="end"/>
    </w:r>
  </w:p>
  <w:p w14:paraId="5A292D3D" w14:textId="77777777" w:rsidR="00802594" w:rsidRDefault="004A3E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7510E"/>
    <w:multiLevelType w:val="hybridMultilevel"/>
    <w:tmpl w:val="29DC407A"/>
    <w:lvl w:ilvl="0" w:tplc="50505DB8">
      <w:start w:val="1"/>
      <w:numFmt w:val="decimal"/>
      <w:lvlText w:val="%1."/>
      <w:lvlJc w:val="left"/>
      <w:pPr>
        <w:tabs>
          <w:tab w:val="num" w:pos="1920"/>
        </w:tabs>
        <w:ind w:left="1920" w:hanging="360"/>
      </w:pPr>
      <w:rPr>
        <w:strike w:val="0"/>
      </w:rPr>
    </w:lvl>
    <w:lvl w:ilvl="1" w:tplc="6030AA3C">
      <w:numFmt w:val="none"/>
      <w:lvlText w:val=""/>
      <w:lvlJc w:val="left"/>
      <w:pPr>
        <w:tabs>
          <w:tab w:val="num" w:pos="360"/>
        </w:tabs>
      </w:pPr>
    </w:lvl>
    <w:lvl w:ilvl="2" w:tplc="2CBEEEA6">
      <w:numFmt w:val="none"/>
      <w:lvlText w:val=""/>
      <w:lvlJc w:val="left"/>
      <w:pPr>
        <w:tabs>
          <w:tab w:val="num" w:pos="360"/>
        </w:tabs>
      </w:pPr>
    </w:lvl>
    <w:lvl w:ilvl="3" w:tplc="EAE4D2EA">
      <w:numFmt w:val="none"/>
      <w:lvlText w:val=""/>
      <w:lvlJc w:val="left"/>
      <w:pPr>
        <w:tabs>
          <w:tab w:val="num" w:pos="360"/>
        </w:tabs>
      </w:pPr>
    </w:lvl>
    <w:lvl w:ilvl="4" w:tplc="F3663818">
      <w:numFmt w:val="none"/>
      <w:lvlText w:val=""/>
      <w:lvlJc w:val="left"/>
      <w:pPr>
        <w:tabs>
          <w:tab w:val="num" w:pos="360"/>
        </w:tabs>
      </w:pPr>
    </w:lvl>
    <w:lvl w:ilvl="5" w:tplc="3E0A7922">
      <w:numFmt w:val="none"/>
      <w:lvlText w:val=""/>
      <w:lvlJc w:val="left"/>
      <w:pPr>
        <w:tabs>
          <w:tab w:val="num" w:pos="360"/>
        </w:tabs>
      </w:pPr>
    </w:lvl>
    <w:lvl w:ilvl="6" w:tplc="95CE98C0">
      <w:numFmt w:val="none"/>
      <w:lvlText w:val=""/>
      <w:lvlJc w:val="left"/>
      <w:pPr>
        <w:tabs>
          <w:tab w:val="num" w:pos="360"/>
        </w:tabs>
      </w:pPr>
    </w:lvl>
    <w:lvl w:ilvl="7" w:tplc="7AB00ED4">
      <w:numFmt w:val="none"/>
      <w:lvlText w:val=""/>
      <w:lvlJc w:val="left"/>
      <w:pPr>
        <w:tabs>
          <w:tab w:val="num" w:pos="360"/>
        </w:tabs>
      </w:pPr>
    </w:lvl>
    <w:lvl w:ilvl="8" w:tplc="1BEA36F6">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A9"/>
    <w:rsid w:val="000019DA"/>
    <w:rsid w:val="00023102"/>
    <w:rsid w:val="00024EC7"/>
    <w:rsid w:val="00025B5D"/>
    <w:rsid w:val="000319FB"/>
    <w:rsid w:val="00036F9F"/>
    <w:rsid w:val="0004180D"/>
    <w:rsid w:val="000646A7"/>
    <w:rsid w:val="00070A3C"/>
    <w:rsid w:val="000731E6"/>
    <w:rsid w:val="00082C64"/>
    <w:rsid w:val="00092C18"/>
    <w:rsid w:val="000949EB"/>
    <w:rsid w:val="000A3B78"/>
    <w:rsid w:val="000A6A3A"/>
    <w:rsid w:val="000B0AB6"/>
    <w:rsid w:val="000B6C96"/>
    <w:rsid w:val="000C1613"/>
    <w:rsid w:val="000C3D02"/>
    <w:rsid w:val="000D4F3F"/>
    <w:rsid w:val="00101A10"/>
    <w:rsid w:val="00102E07"/>
    <w:rsid w:val="001031AE"/>
    <w:rsid w:val="00117FE4"/>
    <w:rsid w:val="00122A4F"/>
    <w:rsid w:val="00122B6D"/>
    <w:rsid w:val="001338CD"/>
    <w:rsid w:val="00134C90"/>
    <w:rsid w:val="00142767"/>
    <w:rsid w:val="00145FD5"/>
    <w:rsid w:val="001522A8"/>
    <w:rsid w:val="0015797E"/>
    <w:rsid w:val="0016495D"/>
    <w:rsid w:val="00170532"/>
    <w:rsid w:val="00175BCE"/>
    <w:rsid w:val="00217F47"/>
    <w:rsid w:val="002245EB"/>
    <w:rsid w:val="00234D4F"/>
    <w:rsid w:val="002562C7"/>
    <w:rsid w:val="0028150C"/>
    <w:rsid w:val="00283141"/>
    <w:rsid w:val="00286087"/>
    <w:rsid w:val="0029329B"/>
    <w:rsid w:val="002A5ECA"/>
    <w:rsid w:val="002B5FA9"/>
    <w:rsid w:val="002C2187"/>
    <w:rsid w:val="002C2CFF"/>
    <w:rsid w:val="002E5FBC"/>
    <w:rsid w:val="002F5416"/>
    <w:rsid w:val="002F65B0"/>
    <w:rsid w:val="00312AA0"/>
    <w:rsid w:val="00315E34"/>
    <w:rsid w:val="00320CB1"/>
    <w:rsid w:val="00322CF9"/>
    <w:rsid w:val="003323A5"/>
    <w:rsid w:val="003660FB"/>
    <w:rsid w:val="00386312"/>
    <w:rsid w:val="00387F8C"/>
    <w:rsid w:val="00394002"/>
    <w:rsid w:val="003A4E8C"/>
    <w:rsid w:val="003B08C8"/>
    <w:rsid w:val="003B6D95"/>
    <w:rsid w:val="003C3D3B"/>
    <w:rsid w:val="003D56E7"/>
    <w:rsid w:val="003E137C"/>
    <w:rsid w:val="003E1964"/>
    <w:rsid w:val="003E665C"/>
    <w:rsid w:val="00401E7B"/>
    <w:rsid w:val="00411FC3"/>
    <w:rsid w:val="00435064"/>
    <w:rsid w:val="00444A12"/>
    <w:rsid w:val="00460B5E"/>
    <w:rsid w:val="00460CB6"/>
    <w:rsid w:val="00464CA9"/>
    <w:rsid w:val="004703CB"/>
    <w:rsid w:val="00485FB8"/>
    <w:rsid w:val="004939C9"/>
    <w:rsid w:val="004A3E53"/>
    <w:rsid w:val="004A75E3"/>
    <w:rsid w:val="004B78AC"/>
    <w:rsid w:val="004C5AB9"/>
    <w:rsid w:val="004C5D25"/>
    <w:rsid w:val="004E1F9D"/>
    <w:rsid w:val="00511AA5"/>
    <w:rsid w:val="00515B0E"/>
    <w:rsid w:val="0054737F"/>
    <w:rsid w:val="00564CC4"/>
    <w:rsid w:val="005655E3"/>
    <w:rsid w:val="005814CA"/>
    <w:rsid w:val="005851B6"/>
    <w:rsid w:val="00590EF2"/>
    <w:rsid w:val="00594C68"/>
    <w:rsid w:val="005A11C8"/>
    <w:rsid w:val="005B1B92"/>
    <w:rsid w:val="005E0752"/>
    <w:rsid w:val="005F3507"/>
    <w:rsid w:val="00604D9A"/>
    <w:rsid w:val="006357E5"/>
    <w:rsid w:val="00643F80"/>
    <w:rsid w:val="00645CF1"/>
    <w:rsid w:val="00655145"/>
    <w:rsid w:val="00657097"/>
    <w:rsid w:val="00661356"/>
    <w:rsid w:val="00661E60"/>
    <w:rsid w:val="006672E5"/>
    <w:rsid w:val="00690833"/>
    <w:rsid w:val="006A727E"/>
    <w:rsid w:val="006B38B2"/>
    <w:rsid w:val="006B4951"/>
    <w:rsid w:val="006B76D0"/>
    <w:rsid w:val="006C0F82"/>
    <w:rsid w:val="006C58FA"/>
    <w:rsid w:val="006D6652"/>
    <w:rsid w:val="006F322C"/>
    <w:rsid w:val="00700632"/>
    <w:rsid w:val="00701591"/>
    <w:rsid w:val="007050D8"/>
    <w:rsid w:val="00705FC1"/>
    <w:rsid w:val="007101B1"/>
    <w:rsid w:val="0071119F"/>
    <w:rsid w:val="007120F0"/>
    <w:rsid w:val="007224B6"/>
    <w:rsid w:val="007235B4"/>
    <w:rsid w:val="007474A5"/>
    <w:rsid w:val="007477B9"/>
    <w:rsid w:val="007513AC"/>
    <w:rsid w:val="00753DB7"/>
    <w:rsid w:val="0075644C"/>
    <w:rsid w:val="00763FE3"/>
    <w:rsid w:val="00773A5C"/>
    <w:rsid w:val="00780162"/>
    <w:rsid w:val="00783B54"/>
    <w:rsid w:val="0078565A"/>
    <w:rsid w:val="007864BC"/>
    <w:rsid w:val="00786D34"/>
    <w:rsid w:val="007A1DFC"/>
    <w:rsid w:val="007A2C52"/>
    <w:rsid w:val="007A501A"/>
    <w:rsid w:val="007B0DE1"/>
    <w:rsid w:val="007B5E5F"/>
    <w:rsid w:val="007C3F7F"/>
    <w:rsid w:val="007C4BD2"/>
    <w:rsid w:val="007D3C00"/>
    <w:rsid w:val="007D3C7E"/>
    <w:rsid w:val="007D513F"/>
    <w:rsid w:val="007D6916"/>
    <w:rsid w:val="007D6AAA"/>
    <w:rsid w:val="007E3299"/>
    <w:rsid w:val="00802149"/>
    <w:rsid w:val="008103B5"/>
    <w:rsid w:val="00811256"/>
    <w:rsid w:val="008152CE"/>
    <w:rsid w:val="00815C00"/>
    <w:rsid w:val="0083050B"/>
    <w:rsid w:val="00843093"/>
    <w:rsid w:val="00847DDB"/>
    <w:rsid w:val="00854E64"/>
    <w:rsid w:val="00862AF2"/>
    <w:rsid w:val="00865C6D"/>
    <w:rsid w:val="00871EB7"/>
    <w:rsid w:val="008824BC"/>
    <w:rsid w:val="008922A4"/>
    <w:rsid w:val="008A6275"/>
    <w:rsid w:val="008C16F5"/>
    <w:rsid w:val="008C7302"/>
    <w:rsid w:val="008D5416"/>
    <w:rsid w:val="008E2E79"/>
    <w:rsid w:val="00907614"/>
    <w:rsid w:val="00920295"/>
    <w:rsid w:val="00924DD8"/>
    <w:rsid w:val="009275FE"/>
    <w:rsid w:val="00937F04"/>
    <w:rsid w:val="009449B2"/>
    <w:rsid w:val="00945985"/>
    <w:rsid w:val="00946469"/>
    <w:rsid w:val="00954ADD"/>
    <w:rsid w:val="00963EBD"/>
    <w:rsid w:val="00972722"/>
    <w:rsid w:val="00974895"/>
    <w:rsid w:val="0097558A"/>
    <w:rsid w:val="00976A71"/>
    <w:rsid w:val="00990278"/>
    <w:rsid w:val="00991A89"/>
    <w:rsid w:val="009A2F99"/>
    <w:rsid w:val="009B25BA"/>
    <w:rsid w:val="009B7666"/>
    <w:rsid w:val="009B77A9"/>
    <w:rsid w:val="009D0C98"/>
    <w:rsid w:val="009E2178"/>
    <w:rsid w:val="009E47CC"/>
    <w:rsid w:val="009E53E8"/>
    <w:rsid w:val="009E77D1"/>
    <w:rsid w:val="009F50A5"/>
    <w:rsid w:val="00A062CF"/>
    <w:rsid w:val="00A53331"/>
    <w:rsid w:val="00A6383F"/>
    <w:rsid w:val="00A6554C"/>
    <w:rsid w:val="00A751D8"/>
    <w:rsid w:val="00A804DE"/>
    <w:rsid w:val="00A8283F"/>
    <w:rsid w:val="00A84E2D"/>
    <w:rsid w:val="00AA6427"/>
    <w:rsid w:val="00AB0002"/>
    <w:rsid w:val="00AC08D1"/>
    <w:rsid w:val="00AC4CB3"/>
    <w:rsid w:val="00AE2669"/>
    <w:rsid w:val="00AE560D"/>
    <w:rsid w:val="00B02BD9"/>
    <w:rsid w:val="00B13C7E"/>
    <w:rsid w:val="00B16BFF"/>
    <w:rsid w:val="00B21058"/>
    <w:rsid w:val="00B34915"/>
    <w:rsid w:val="00B3617D"/>
    <w:rsid w:val="00B366F4"/>
    <w:rsid w:val="00B43ECB"/>
    <w:rsid w:val="00B56BA4"/>
    <w:rsid w:val="00B64886"/>
    <w:rsid w:val="00B6675F"/>
    <w:rsid w:val="00B750E1"/>
    <w:rsid w:val="00B77F9D"/>
    <w:rsid w:val="00B822F4"/>
    <w:rsid w:val="00B826A8"/>
    <w:rsid w:val="00B84A96"/>
    <w:rsid w:val="00B9257B"/>
    <w:rsid w:val="00B92F16"/>
    <w:rsid w:val="00BA1806"/>
    <w:rsid w:val="00BB592E"/>
    <w:rsid w:val="00BC365D"/>
    <w:rsid w:val="00BD2CF0"/>
    <w:rsid w:val="00BD3D34"/>
    <w:rsid w:val="00BE0D7A"/>
    <w:rsid w:val="00BE1737"/>
    <w:rsid w:val="00BE66B9"/>
    <w:rsid w:val="00BF1374"/>
    <w:rsid w:val="00BF51F0"/>
    <w:rsid w:val="00C048F2"/>
    <w:rsid w:val="00C42161"/>
    <w:rsid w:val="00C427DA"/>
    <w:rsid w:val="00C53E26"/>
    <w:rsid w:val="00C611AC"/>
    <w:rsid w:val="00C66FDE"/>
    <w:rsid w:val="00C7018D"/>
    <w:rsid w:val="00C75B33"/>
    <w:rsid w:val="00C86085"/>
    <w:rsid w:val="00C96D55"/>
    <w:rsid w:val="00CA385E"/>
    <w:rsid w:val="00CB288A"/>
    <w:rsid w:val="00CC1427"/>
    <w:rsid w:val="00CC6435"/>
    <w:rsid w:val="00CC6B51"/>
    <w:rsid w:val="00CE0D97"/>
    <w:rsid w:val="00CE1804"/>
    <w:rsid w:val="00CE3706"/>
    <w:rsid w:val="00D01E58"/>
    <w:rsid w:val="00D14046"/>
    <w:rsid w:val="00D21727"/>
    <w:rsid w:val="00D353E6"/>
    <w:rsid w:val="00D36B93"/>
    <w:rsid w:val="00D4390D"/>
    <w:rsid w:val="00D43FB2"/>
    <w:rsid w:val="00D46D76"/>
    <w:rsid w:val="00D61FF8"/>
    <w:rsid w:val="00D65DF9"/>
    <w:rsid w:val="00D736E9"/>
    <w:rsid w:val="00D837B1"/>
    <w:rsid w:val="00D86D46"/>
    <w:rsid w:val="00D9218D"/>
    <w:rsid w:val="00D96C03"/>
    <w:rsid w:val="00DA3DED"/>
    <w:rsid w:val="00DB5C99"/>
    <w:rsid w:val="00DB6530"/>
    <w:rsid w:val="00DC0BCA"/>
    <w:rsid w:val="00DC29AB"/>
    <w:rsid w:val="00DC2ACC"/>
    <w:rsid w:val="00DD18C5"/>
    <w:rsid w:val="00DD38F6"/>
    <w:rsid w:val="00DD519E"/>
    <w:rsid w:val="00DD5DB1"/>
    <w:rsid w:val="00DD77D4"/>
    <w:rsid w:val="00DE7408"/>
    <w:rsid w:val="00E01CDA"/>
    <w:rsid w:val="00E05C7A"/>
    <w:rsid w:val="00E11585"/>
    <w:rsid w:val="00E13797"/>
    <w:rsid w:val="00E16EDA"/>
    <w:rsid w:val="00E25554"/>
    <w:rsid w:val="00E3304E"/>
    <w:rsid w:val="00E35434"/>
    <w:rsid w:val="00E37AC9"/>
    <w:rsid w:val="00E424B9"/>
    <w:rsid w:val="00E5285C"/>
    <w:rsid w:val="00E54AED"/>
    <w:rsid w:val="00E66F14"/>
    <w:rsid w:val="00E75631"/>
    <w:rsid w:val="00E76A4E"/>
    <w:rsid w:val="00E80276"/>
    <w:rsid w:val="00E910CD"/>
    <w:rsid w:val="00E918F8"/>
    <w:rsid w:val="00EB3DED"/>
    <w:rsid w:val="00EB6685"/>
    <w:rsid w:val="00EE014A"/>
    <w:rsid w:val="00EE4C35"/>
    <w:rsid w:val="00F02B74"/>
    <w:rsid w:val="00F12CDA"/>
    <w:rsid w:val="00F136CF"/>
    <w:rsid w:val="00F139E2"/>
    <w:rsid w:val="00F13F94"/>
    <w:rsid w:val="00F14C9C"/>
    <w:rsid w:val="00F2143E"/>
    <w:rsid w:val="00F2471C"/>
    <w:rsid w:val="00F50669"/>
    <w:rsid w:val="00F623D5"/>
    <w:rsid w:val="00F723AA"/>
    <w:rsid w:val="00F777FA"/>
    <w:rsid w:val="00FA5824"/>
    <w:rsid w:val="00FC0918"/>
    <w:rsid w:val="00FC43DC"/>
    <w:rsid w:val="00FD0C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B6589"/>
  <w15:chartTrackingRefBased/>
  <w15:docId w15:val="{69545D8D-9FE2-4A61-BB0D-3839EAA5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C0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96C0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96C03"/>
    <w:pPr>
      <w:tabs>
        <w:tab w:val="center" w:pos="4153"/>
        <w:tab w:val="right" w:pos="8306"/>
      </w:tabs>
    </w:pPr>
  </w:style>
  <w:style w:type="character" w:customStyle="1" w:styleId="AntratsDiagrama">
    <w:name w:val="Antraštės Diagrama"/>
    <w:basedOn w:val="Numatytasispastraiposriftas"/>
    <w:link w:val="Antrats"/>
    <w:uiPriority w:val="99"/>
    <w:rsid w:val="00D96C03"/>
    <w:rPr>
      <w:rFonts w:ascii="Times New Roman" w:eastAsia="Times New Roman" w:hAnsi="Times New Roman" w:cs="Times New Roman"/>
      <w:sz w:val="24"/>
      <w:szCs w:val="24"/>
    </w:rPr>
  </w:style>
  <w:style w:type="paragraph" w:styleId="Pavadinimas">
    <w:name w:val="Title"/>
    <w:basedOn w:val="Antrat1"/>
    <w:link w:val="PavadinimasDiagrama"/>
    <w:qFormat/>
    <w:rsid w:val="00D96C03"/>
    <w:pPr>
      <w:keepLines w:val="0"/>
      <w:spacing w:before="0"/>
      <w:ind w:left="1134" w:right="1134"/>
      <w:jc w:val="center"/>
    </w:pPr>
    <w:rPr>
      <w:rFonts w:ascii="Times New Roman" w:eastAsia="Times New Roman" w:hAnsi="Times New Roman" w:cs="Times New Roman"/>
      <w:b/>
      <w:bCs/>
      <w:caps/>
      <w:color w:val="auto"/>
      <w:sz w:val="26"/>
      <w:szCs w:val="24"/>
    </w:rPr>
  </w:style>
  <w:style w:type="character" w:customStyle="1" w:styleId="PavadinimasDiagrama">
    <w:name w:val="Pavadinimas Diagrama"/>
    <w:basedOn w:val="Numatytasispastraiposriftas"/>
    <w:link w:val="Pavadinimas"/>
    <w:rsid w:val="00D96C03"/>
    <w:rPr>
      <w:rFonts w:ascii="Times New Roman" w:eastAsia="Times New Roman" w:hAnsi="Times New Roman" w:cs="Times New Roman"/>
      <w:b/>
      <w:bCs/>
      <w:caps/>
      <w:sz w:val="26"/>
      <w:szCs w:val="24"/>
    </w:rPr>
  </w:style>
  <w:style w:type="paragraph" w:styleId="Data">
    <w:name w:val="Date"/>
    <w:basedOn w:val="Antrats"/>
    <w:link w:val="DataDiagrama"/>
    <w:rsid w:val="00D96C03"/>
    <w:pPr>
      <w:tabs>
        <w:tab w:val="clear" w:pos="4153"/>
        <w:tab w:val="clear" w:pos="8306"/>
      </w:tabs>
      <w:jc w:val="center"/>
    </w:pPr>
  </w:style>
  <w:style w:type="character" w:customStyle="1" w:styleId="DataDiagrama">
    <w:name w:val="Data Diagrama"/>
    <w:basedOn w:val="Numatytasispastraiposriftas"/>
    <w:link w:val="Data"/>
    <w:rsid w:val="00D96C03"/>
    <w:rPr>
      <w:rFonts w:ascii="Times New Roman" w:eastAsia="Times New Roman" w:hAnsi="Times New Roman" w:cs="Times New Roman"/>
      <w:sz w:val="24"/>
      <w:szCs w:val="24"/>
    </w:rPr>
  </w:style>
  <w:style w:type="paragraph" w:styleId="Pagrindinistekstas">
    <w:name w:val="Body Text"/>
    <w:basedOn w:val="prastasis"/>
    <w:link w:val="PagrindinistekstasDiagrama"/>
    <w:rsid w:val="00D96C03"/>
    <w:pPr>
      <w:spacing w:after="120"/>
    </w:pPr>
  </w:style>
  <w:style w:type="character" w:customStyle="1" w:styleId="PagrindinistekstasDiagrama">
    <w:name w:val="Pagrindinis tekstas Diagrama"/>
    <w:basedOn w:val="Numatytasispastraiposriftas"/>
    <w:link w:val="Pagrindinistekstas"/>
    <w:rsid w:val="00D96C03"/>
    <w:rPr>
      <w:rFonts w:ascii="Times New Roman" w:eastAsia="Times New Roman" w:hAnsi="Times New Roman" w:cs="Times New Roman"/>
      <w:sz w:val="24"/>
      <w:szCs w:val="24"/>
    </w:rPr>
  </w:style>
  <w:style w:type="character" w:styleId="Komentaronuoroda">
    <w:name w:val="annotation reference"/>
    <w:uiPriority w:val="99"/>
    <w:semiHidden/>
    <w:unhideWhenUsed/>
    <w:rsid w:val="00D96C03"/>
    <w:rPr>
      <w:sz w:val="16"/>
      <w:szCs w:val="16"/>
    </w:rPr>
  </w:style>
  <w:style w:type="paragraph" w:styleId="Komentarotekstas">
    <w:name w:val="annotation text"/>
    <w:basedOn w:val="prastasis"/>
    <w:link w:val="KomentarotekstasDiagrama"/>
    <w:uiPriority w:val="99"/>
    <w:unhideWhenUsed/>
    <w:rsid w:val="00D96C03"/>
    <w:rPr>
      <w:sz w:val="20"/>
      <w:szCs w:val="20"/>
    </w:rPr>
  </w:style>
  <w:style w:type="character" w:customStyle="1" w:styleId="KomentarotekstasDiagrama">
    <w:name w:val="Komentaro tekstas Diagrama"/>
    <w:basedOn w:val="Numatytasispastraiposriftas"/>
    <w:link w:val="Komentarotekstas"/>
    <w:uiPriority w:val="99"/>
    <w:rsid w:val="00D96C03"/>
    <w:rPr>
      <w:rFonts w:ascii="Times New Roman" w:eastAsia="Times New Roman" w:hAnsi="Times New Roman" w:cs="Times New Roman"/>
      <w:sz w:val="20"/>
      <w:szCs w:val="20"/>
    </w:rPr>
  </w:style>
  <w:style w:type="character" w:customStyle="1" w:styleId="Antrat1Diagrama">
    <w:name w:val="Antraštė 1 Diagrama"/>
    <w:basedOn w:val="Numatytasispastraiposriftas"/>
    <w:link w:val="Antrat1"/>
    <w:uiPriority w:val="9"/>
    <w:rsid w:val="00D96C03"/>
    <w:rPr>
      <w:rFonts w:asciiTheme="majorHAnsi" w:eastAsiaTheme="majorEastAsia" w:hAnsiTheme="majorHAnsi" w:cstheme="majorBidi"/>
      <w:color w:val="2F5496" w:themeColor="accent1" w:themeShade="BF"/>
      <w:sz w:val="32"/>
      <w:szCs w:val="32"/>
    </w:rPr>
  </w:style>
  <w:style w:type="character" w:styleId="Puslapionumeris">
    <w:name w:val="page number"/>
    <w:basedOn w:val="Numatytasispastraiposriftas"/>
    <w:rsid w:val="00142767"/>
  </w:style>
  <w:style w:type="paragraph" w:customStyle="1" w:styleId="tactin">
    <w:name w:val="tactin"/>
    <w:basedOn w:val="prastasis"/>
    <w:rsid w:val="00142767"/>
    <w:pPr>
      <w:widowControl w:val="0"/>
      <w:suppressAutoHyphens/>
      <w:spacing w:before="280" w:after="280"/>
    </w:pPr>
    <w:rPr>
      <w:rFonts w:ascii="Liberation Serif" w:hAnsi="Liberation Serif" w:cs="Lohit Hindi"/>
      <w:kern w:val="2"/>
      <w:lang w:val="en-US" w:eastAsia="zh-CN" w:bidi="hi-IN"/>
    </w:rPr>
  </w:style>
  <w:style w:type="paragraph" w:styleId="Komentarotema">
    <w:name w:val="annotation subject"/>
    <w:basedOn w:val="Komentarotekstas"/>
    <w:next w:val="Komentarotekstas"/>
    <w:link w:val="KomentarotemaDiagrama"/>
    <w:uiPriority w:val="99"/>
    <w:semiHidden/>
    <w:unhideWhenUsed/>
    <w:rsid w:val="0078565A"/>
    <w:rPr>
      <w:b/>
      <w:bCs/>
    </w:rPr>
  </w:style>
  <w:style w:type="character" w:customStyle="1" w:styleId="KomentarotemaDiagrama">
    <w:name w:val="Komentaro tema Diagrama"/>
    <w:basedOn w:val="KomentarotekstasDiagrama"/>
    <w:link w:val="Komentarotema"/>
    <w:uiPriority w:val="99"/>
    <w:semiHidden/>
    <w:rsid w:val="0078565A"/>
    <w:rPr>
      <w:rFonts w:ascii="Times New Roman" w:eastAsia="Times New Roman" w:hAnsi="Times New Roman" w:cs="Times New Roman"/>
      <w:b/>
      <w:bCs/>
      <w:sz w:val="20"/>
      <w:szCs w:val="20"/>
    </w:rPr>
  </w:style>
  <w:style w:type="paragraph" w:styleId="Pataisymai">
    <w:name w:val="Revision"/>
    <w:hidden/>
    <w:uiPriority w:val="99"/>
    <w:semiHidden/>
    <w:rsid w:val="00990278"/>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5145"/>
    <w:pPr>
      <w:ind w:left="720"/>
      <w:contextualSpacing/>
    </w:pPr>
  </w:style>
  <w:style w:type="paragraph" w:styleId="Porat">
    <w:name w:val="footer"/>
    <w:basedOn w:val="prastasis"/>
    <w:link w:val="PoratDiagrama"/>
    <w:uiPriority w:val="99"/>
    <w:unhideWhenUsed/>
    <w:rsid w:val="00460CB6"/>
    <w:pPr>
      <w:tabs>
        <w:tab w:val="center" w:pos="4819"/>
        <w:tab w:val="right" w:pos="9638"/>
      </w:tabs>
    </w:pPr>
  </w:style>
  <w:style w:type="character" w:customStyle="1" w:styleId="PoratDiagrama">
    <w:name w:val="Poraštė Diagrama"/>
    <w:basedOn w:val="Numatytasispastraiposriftas"/>
    <w:link w:val="Porat"/>
    <w:uiPriority w:val="99"/>
    <w:rsid w:val="00460C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91DA9-4685-4382-B241-78676338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11766</Words>
  <Characters>6708</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Pauliukaitė</dc:creator>
  <cp:keywords/>
  <dc:description/>
  <cp:lastModifiedBy>Company NTA</cp:lastModifiedBy>
  <cp:revision>11</cp:revision>
  <cp:lastPrinted>2021-12-20T07:32:00Z</cp:lastPrinted>
  <dcterms:created xsi:type="dcterms:W3CDTF">2021-12-16T09:13:00Z</dcterms:created>
  <dcterms:modified xsi:type="dcterms:W3CDTF">2021-12-21T07:15:00Z</dcterms:modified>
</cp:coreProperties>
</file>