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6333EF1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83B43">
        <w:rPr>
          <w:rFonts w:ascii="Times New Roman" w:hAnsi="Times New Roman"/>
          <w:sz w:val="24"/>
        </w:rPr>
        <w:t>AUŠRĄ BIELSKĘ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828DF34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483B43">
        <w:t>sausio 14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B16D0B">
        <w:t>14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E32E83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F25085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22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8E1601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83B43">
        <w:rPr>
          <w:rFonts w:ascii="Times New Roman" w:hAnsi="Times New Roman"/>
          <w:bCs/>
          <w:sz w:val="24"/>
        </w:rPr>
        <w:t>AUŠRĄ BIELSKĘ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4282" w14:textId="77777777" w:rsidR="00B85326" w:rsidRDefault="00B85326">
      <w:r>
        <w:separator/>
      </w:r>
    </w:p>
  </w:endnote>
  <w:endnote w:type="continuationSeparator" w:id="0">
    <w:p w14:paraId="6AF7A84B" w14:textId="77777777" w:rsidR="00B85326" w:rsidRDefault="00B8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FEEC" w14:textId="77777777" w:rsidR="00B85326" w:rsidRDefault="00B85326">
      <w:r>
        <w:separator/>
      </w:r>
    </w:p>
  </w:footnote>
  <w:footnote w:type="continuationSeparator" w:id="0">
    <w:p w14:paraId="447ED843" w14:textId="77777777" w:rsidR="00B85326" w:rsidRDefault="00B8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16D0B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85326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10</cp:revision>
  <cp:lastPrinted>2017-03-17T06:49:00Z</cp:lastPrinted>
  <dcterms:created xsi:type="dcterms:W3CDTF">2021-12-23T08:41:00Z</dcterms:created>
  <dcterms:modified xsi:type="dcterms:W3CDTF">2022-01-13T13:33:00Z</dcterms:modified>
</cp:coreProperties>
</file>