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32496ED6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APYLINKIŲ TEISMŲ TEISĖJŲ MOKYMO PROGRAM</w:t>
      </w:r>
      <w:r w:rsidR="00D73486">
        <w:rPr>
          <w:rFonts w:eastAsia="Calibri"/>
          <w:b/>
          <w:color w:val="000000"/>
          <w:lang w:eastAsia="en-US"/>
        </w:rPr>
        <w:t>A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5BB01DCD" w:rsidR="00206AE4" w:rsidRPr="008B6A7D" w:rsidRDefault="00D73486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BAUDŽIAMĄSIAS</w:t>
      </w:r>
      <w:r w:rsidR="00206AE4">
        <w:rPr>
          <w:rFonts w:eastAsia="Calibri"/>
          <w:b/>
          <w:color w:val="000000"/>
          <w:lang w:eastAsia="en-US"/>
        </w:rPr>
        <w:t xml:space="preserve"> BYLAS NAGRINĖJANTIEMS TEISĖJAMS</w:t>
      </w:r>
    </w:p>
    <w:p w14:paraId="6204C7AE" w14:textId="77777777" w:rsidR="00D73486" w:rsidRPr="00D73486" w:rsidRDefault="00D73486" w:rsidP="008B6A7D">
      <w:pPr>
        <w:pStyle w:val="western"/>
        <w:spacing w:before="0" w:beforeAutospacing="0" w:after="0" w:afterAutospacing="0"/>
        <w:rPr>
          <w:b/>
        </w:rPr>
      </w:pPr>
      <w:r w:rsidRPr="00D73486">
        <w:rPr>
          <w:b/>
        </w:rPr>
        <w:t>,,BAUDŽIAMASIS PROCESAS“</w:t>
      </w:r>
    </w:p>
    <w:p w14:paraId="02E3D2F3" w14:textId="343DB9A6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D73486">
        <w:rPr>
          <w:bCs/>
        </w:rPr>
        <w:t>B-I/BP</w:t>
      </w:r>
      <w:r w:rsidR="008B2A98">
        <w:rPr>
          <w:bCs/>
        </w:rPr>
        <w:t>-</w:t>
      </w:r>
      <w:r w:rsidR="00206AE4">
        <w:rPr>
          <w:bCs/>
        </w:rPr>
        <w:t>1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1008D937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206AE4">
        <w:t xml:space="preserve">gegužės </w:t>
      </w:r>
      <w:r w:rsidR="00D73486">
        <w:rPr>
          <w:lang w:val="en-GB"/>
        </w:rPr>
        <w:t>2-3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3112F345" w14:textId="77777777" w:rsidR="00D73486" w:rsidRDefault="00D73486" w:rsidP="00D7348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3F0B74E9" w14:textId="77777777" w:rsidR="00D73486" w:rsidRDefault="00D73486" w:rsidP="00D7348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3590D621" w14:textId="5E207069" w:rsidR="00D73486" w:rsidRDefault="00D73486" w:rsidP="00D7348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6C4063C4" w14:textId="40E19DDA" w:rsidR="00D73486" w:rsidRPr="00F54866" w:rsidRDefault="00D73486" w:rsidP="00D73486">
            <w:pPr>
              <w:rPr>
                <w:b/>
                <w:i/>
                <w:iCs/>
              </w:rPr>
            </w:pPr>
            <w:r w:rsidRPr="00F54866">
              <w:rPr>
                <w:b/>
                <w:i/>
                <w:iCs/>
              </w:rPr>
              <w:t xml:space="preserve">Doc. dr. Gabrielė Juodkaitė – </w:t>
            </w:r>
            <w:proofErr w:type="spellStart"/>
            <w:r w:rsidRPr="00F54866">
              <w:rPr>
                <w:b/>
                <w:i/>
                <w:iCs/>
              </w:rPr>
              <w:t>Granskienė</w:t>
            </w:r>
            <w:proofErr w:type="spellEnd"/>
          </w:p>
          <w:p w14:paraId="601DEF8E" w14:textId="58B07225" w:rsidR="00D73486" w:rsidRPr="00F54866" w:rsidRDefault="00D73486" w:rsidP="00D73486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54866">
              <w:rPr>
                <w:i/>
              </w:rPr>
              <w:t>Vilniaus universiteto Teisės fakulteto Baudžiamosios justicijos katedros docentė</w:t>
            </w:r>
          </w:p>
          <w:p w14:paraId="290C113F" w14:textId="6802C4A5" w:rsidR="00D73486" w:rsidRPr="00F54866" w:rsidRDefault="00D73486" w:rsidP="00D73486">
            <w:pPr>
              <w:ind w:right="-108"/>
              <w:jc w:val="both"/>
              <w:rPr>
                <w:i/>
                <w:iCs/>
              </w:rPr>
            </w:pPr>
            <w:r w:rsidRPr="00F54866">
              <w:rPr>
                <w:i/>
                <w:iCs/>
              </w:rPr>
              <w:t>Lietuvos Aukščiausiojo Teismo Baudžiamųjų bylų skyriaus teisėja</w:t>
            </w:r>
          </w:p>
          <w:p w14:paraId="42AB78B8" w14:textId="77777777" w:rsidR="00D73486" w:rsidRPr="00F54866" w:rsidRDefault="00D73486" w:rsidP="00D73486">
            <w:pPr>
              <w:rPr>
                <w:b/>
                <w:bCs/>
                <w:i/>
                <w:iCs/>
              </w:rPr>
            </w:pPr>
            <w:r w:rsidRPr="00F54866">
              <w:rPr>
                <w:b/>
                <w:bCs/>
                <w:i/>
                <w:iCs/>
              </w:rPr>
              <w:t>Dr. Ernestas Rimšelis</w:t>
            </w:r>
          </w:p>
          <w:p w14:paraId="4742FB64" w14:textId="77777777" w:rsidR="00D73486" w:rsidRPr="00F54866" w:rsidRDefault="00D73486" w:rsidP="00D73486">
            <w:pPr>
              <w:rPr>
                <w:i/>
                <w:iCs/>
              </w:rPr>
            </w:pPr>
            <w:r w:rsidRPr="00F54866">
              <w:rPr>
                <w:i/>
                <w:iCs/>
              </w:rPr>
              <w:t xml:space="preserve">Lietuvos apeliacinio teismo </w:t>
            </w:r>
            <w:r w:rsidRPr="00F54866">
              <w:rPr>
                <w:i/>
                <w:lang w:eastAsia="en-US"/>
              </w:rPr>
              <w:t>Baudžiamųjų bylų skyriaus teisėja</w:t>
            </w:r>
            <w:r w:rsidRPr="00F54866">
              <w:rPr>
                <w:i/>
                <w:iCs/>
              </w:rPr>
              <w:t>s</w:t>
            </w:r>
          </w:p>
          <w:p w14:paraId="143C990B" w14:textId="77777777" w:rsidR="00F2365B" w:rsidRPr="00F54866" w:rsidRDefault="00F2365B" w:rsidP="00F2365B">
            <w:pPr>
              <w:ind w:right="-1080"/>
              <w:jc w:val="both"/>
              <w:rPr>
                <w:b/>
                <w:i/>
              </w:rPr>
            </w:pPr>
            <w:r w:rsidRPr="00F54866">
              <w:rPr>
                <w:b/>
                <w:i/>
              </w:rPr>
              <w:t xml:space="preserve">Dr. Skirmantas </w:t>
            </w:r>
            <w:proofErr w:type="spellStart"/>
            <w:r w:rsidRPr="00F54866">
              <w:rPr>
                <w:b/>
                <w:i/>
              </w:rPr>
              <w:t>Bikelis</w:t>
            </w:r>
            <w:proofErr w:type="spellEnd"/>
            <w:r w:rsidRPr="00F54866">
              <w:rPr>
                <w:b/>
                <w:i/>
              </w:rPr>
              <w:t xml:space="preserve"> </w:t>
            </w:r>
          </w:p>
          <w:p w14:paraId="1D855605" w14:textId="0EEF5024" w:rsidR="00D73486" w:rsidRPr="00F2365B" w:rsidRDefault="00F2365B" w:rsidP="00F2365B">
            <w:pPr>
              <w:ind w:right="-1080"/>
              <w:jc w:val="both"/>
              <w:rPr>
                <w:i/>
              </w:rPr>
            </w:pPr>
            <w:r w:rsidRPr="00F54866">
              <w:rPr>
                <w:i/>
              </w:rPr>
              <w:t>Lietuvos teisės instituto</w:t>
            </w:r>
            <w:r w:rsidRPr="00F54866">
              <w:rPr>
                <w:b/>
                <w:i/>
              </w:rPr>
              <w:t xml:space="preserve"> </w:t>
            </w:r>
            <w:r w:rsidRPr="00F54866">
              <w:rPr>
                <w:i/>
              </w:rPr>
              <w:t>vyresnysis mokslo darbuotojas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FC73BF3" w14:textId="77777777" w:rsidR="00206AE4" w:rsidRDefault="00206AE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73051C64" w:rsidR="00101F13" w:rsidRPr="002A3798" w:rsidRDefault="00F2365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06AE4">
        <w:rPr>
          <w:u w:val="single"/>
        </w:rPr>
        <w:t xml:space="preserve">gegužės </w:t>
      </w:r>
      <w:r>
        <w:rPr>
          <w:u w:val="single"/>
          <w:lang w:val="en-GB"/>
        </w:rPr>
        <w:t>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1AEF4CBD" w:rsidR="00101F13" w:rsidRP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0AE084DC" w14:textId="77777777" w:rsidR="00F2365B" w:rsidRDefault="00F2365B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F2365B">
              <w:rPr>
                <w:b/>
                <w:lang w:eastAsia="en-US"/>
              </w:rPr>
              <w:t>Kaltinimo keitimas teisėjo iniciatyva. Veikos perkvalifikavimas ir esminių aplinkybių keitimo kaltinime problematika</w:t>
            </w:r>
            <w:r>
              <w:rPr>
                <w:b/>
                <w:lang w:eastAsia="en-US"/>
              </w:rPr>
              <w:t>.</w:t>
            </w:r>
          </w:p>
          <w:p w14:paraId="74FAC538" w14:textId="5296AF7A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F2365B">
              <w:rPr>
                <w:i/>
              </w:rPr>
              <w:t>ė</w:t>
            </w:r>
            <w:r>
              <w:rPr>
                <w:i/>
              </w:rPr>
              <w:t xml:space="preserve"> </w:t>
            </w:r>
            <w:r w:rsidR="00F2365B">
              <w:rPr>
                <w:i/>
              </w:rPr>
              <w:t>doc</w:t>
            </w:r>
            <w:r>
              <w:rPr>
                <w:i/>
              </w:rPr>
              <w:t xml:space="preserve">. dr. </w:t>
            </w:r>
            <w:r w:rsidR="00F2365B">
              <w:rPr>
                <w:i/>
              </w:rPr>
              <w:t xml:space="preserve">Gabrielė Juodkaitė – </w:t>
            </w:r>
            <w:proofErr w:type="spellStart"/>
            <w:r w:rsidR="00F2365B">
              <w:rPr>
                <w:i/>
              </w:rPr>
              <w:t>Granskienė</w:t>
            </w:r>
            <w:proofErr w:type="spellEnd"/>
            <w:r w:rsidR="00F2365B">
              <w:rPr>
                <w:i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3FD16E50" w14:textId="77777777" w:rsidR="00FA28F6" w:rsidRDefault="00F2365B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2365B">
              <w:rPr>
                <w:b/>
                <w:bCs/>
              </w:rPr>
              <w:t>Naujausių Baudžiamojo proceso kodekso pakeitimų aptarimai</w:t>
            </w:r>
            <w:r>
              <w:rPr>
                <w:b/>
                <w:bCs/>
              </w:rPr>
              <w:t>.</w:t>
            </w:r>
          </w:p>
          <w:p w14:paraId="7CC73D88" w14:textId="6D28DC66" w:rsidR="00F2365B" w:rsidRPr="00E2373C" w:rsidRDefault="00F2365B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ė doc. dr. Gabrielė Juodkaitė – </w:t>
            </w:r>
            <w:proofErr w:type="spellStart"/>
            <w:r>
              <w:rPr>
                <w:i/>
              </w:rPr>
              <w:t>Granskienė</w:t>
            </w:r>
            <w:proofErr w:type="spellEnd"/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DC723DE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D55DB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59D188E" w:rsidR="00FA28F6" w:rsidRPr="00FA28F6" w:rsidRDefault="00FA28F6" w:rsidP="00206AE4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4345CAB" w14:textId="77777777" w:rsidR="00F2365B" w:rsidRDefault="00F2365B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F2365B">
              <w:rPr>
                <w:rFonts w:eastAsia="Calibri"/>
                <w:b/>
                <w:bCs/>
                <w:lang w:eastAsia="en-US"/>
              </w:rPr>
              <w:t>Bylos perdavimas prokurorui dėl baudžiamojo proceso pažeidimų ar tyrimo papildymo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0D0295E" w14:textId="666727FD" w:rsidR="00206AE4" w:rsidRPr="008B6A7D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ius dr. </w:t>
            </w:r>
            <w:r w:rsidR="00F2365B">
              <w:rPr>
                <w:i/>
              </w:rPr>
              <w:t>Ernestas Rimšelis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26728E7D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5A3B8A82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6D974B1E" w14:textId="77777777" w:rsidR="00F2365B" w:rsidRDefault="00F2365B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2365B">
              <w:rPr>
                <w:b/>
                <w:bCs/>
              </w:rPr>
              <w:t>Turto konfiskavimas, išplėstinis turto konfiskavimas</w:t>
            </w:r>
            <w:r>
              <w:rPr>
                <w:b/>
                <w:bCs/>
              </w:rPr>
              <w:t>.</w:t>
            </w:r>
          </w:p>
          <w:p w14:paraId="1EB3F4D5" w14:textId="045B1B74" w:rsidR="00206AE4" w:rsidRPr="008B6A7D" w:rsidRDefault="00206AE4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ius dr. </w:t>
            </w:r>
            <w:r w:rsidR="00F2365B">
              <w:rPr>
                <w:i/>
              </w:rPr>
              <w:t xml:space="preserve">Skirmantas </w:t>
            </w:r>
            <w:proofErr w:type="spellStart"/>
            <w:r w:rsidR="00F2365B">
              <w:rPr>
                <w:i/>
              </w:rPr>
              <w:t>Bikelis</w:t>
            </w:r>
            <w:proofErr w:type="spellEnd"/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7C2CD09C" w:rsidR="00FA28F6" w:rsidRPr="008B6A7D" w:rsidRDefault="00231E98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F2365B" w:rsidRPr="003E5139" w14:paraId="47CE2CF1" w14:textId="77777777" w:rsidTr="00DF5C26">
        <w:tc>
          <w:tcPr>
            <w:tcW w:w="827" w:type="dxa"/>
          </w:tcPr>
          <w:p w14:paraId="12D35CC8" w14:textId="77777777" w:rsidR="00F2365B" w:rsidRPr="00F2365B" w:rsidRDefault="00F2365B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19B2458" w14:textId="77777777" w:rsidR="00F2365B" w:rsidRPr="00F2365B" w:rsidRDefault="00F2365B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2365B" w:rsidRPr="003E5139" w14:paraId="27745CBF" w14:textId="77777777" w:rsidTr="00DF5C26">
        <w:tc>
          <w:tcPr>
            <w:tcW w:w="827" w:type="dxa"/>
          </w:tcPr>
          <w:p w14:paraId="2451D19B" w14:textId="0366EA00" w:rsidR="00F2365B" w:rsidRPr="00F2365B" w:rsidRDefault="00F2365B" w:rsidP="00206AE4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16.30</w:t>
            </w:r>
          </w:p>
        </w:tc>
        <w:tc>
          <w:tcPr>
            <w:tcW w:w="8992" w:type="dxa"/>
          </w:tcPr>
          <w:p w14:paraId="71E2DE3A" w14:textId="284DAC67" w:rsidR="00F2365B" w:rsidRPr="00F2365B" w:rsidRDefault="00F2365B" w:rsidP="008B6A7D">
            <w:pPr>
              <w:tabs>
                <w:tab w:val="left" w:pos="-100"/>
              </w:tabs>
              <w:ind w:left="-35"/>
              <w:rPr>
                <w:b/>
                <w:bCs/>
                <w:iCs/>
              </w:rPr>
            </w:pPr>
            <w:r w:rsidRPr="00F2365B">
              <w:rPr>
                <w:b/>
                <w:bCs/>
                <w:iCs/>
              </w:rPr>
              <w:t>Paskaitos tęsinys.</w:t>
            </w:r>
          </w:p>
        </w:tc>
      </w:tr>
      <w:tr w:rsidR="00F2365B" w:rsidRPr="003E5139" w14:paraId="10E53CFC" w14:textId="77777777" w:rsidTr="00DF5C26">
        <w:tc>
          <w:tcPr>
            <w:tcW w:w="827" w:type="dxa"/>
          </w:tcPr>
          <w:p w14:paraId="27167EC5" w14:textId="77777777" w:rsidR="00F2365B" w:rsidRPr="00F2365B" w:rsidRDefault="00F2365B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50A22C9" w14:textId="77777777" w:rsidR="00F2365B" w:rsidRPr="00F2365B" w:rsidRDefault="00F2365B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2365B" w:rsidRPr="003E5139" w14:paraId="44C2B1F4" w14:textId="77777777" w:rsidTr="00DF5C26">
        <w:tc>
          <w:tcPr>
            <w:tcW w:w="827" w:type="dxa"/>
          </w:tcPr>
          <w:p w14:paraId="2AFE9719" w14:textId="78D30E67" w:rsidR="00F2365B" w:rsidRDefault="00F2365B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8992" w:type="dxa"/>
          </w:tcPr>
          <w:p w14:paraId="03F763F7" w14:textId="4BE8981D" w:rsidR="00F2365B" w:rsidRDefault="00F2365B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3AA0FA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69C5FF7C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1BEDB465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7DEAE69D" w14:textId="77777777" w:rsidR="00206AE4" w:rsidRDefault="00206AE4" w:rsidP="00F2365B">
      <w:pPr>
        <w:rPr>
          <w:color w:val="000000"/>
          <w:u w:val="single"/>
        </w:rPr>
      </w:pPr>
    </w:p>
    <w:p w14:paraId="4A4AB36F" w14:textId="77777777" w:rsidR="001D494E" w:rsidRDefault="001D494E" w:rsidP="00C86623">
      <w:pPr>
        <w:jc w:val="center"/>
        <w:rPr>
          <w:color w:val="000000"/>
          <w:u w:val="single"/>
        </w:rPr>
      </w:pPr>
    </w:p>
    <w:p w14:paraId="5CD0B5FF" w14:textId="77777777" w:rsidR="001D494E" w:rsidRDefault="001D494E" w:rsidP="00C86623">
      <w:pPr>
        <w:jc w:val="center"/>
        <w:rPr>
          <w:color w:val="000000"/>
          <w:u w:val="single"/>
        </w:rPr>
      </w:pPr>
    </w:p>
    <w:p w14:paraId="1B1D5796" w14:textId="4DE2EC99" w:rsidR="00B35DB0" w:rsidRDefault="00F2365B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06AE4">
        <w:rPr>
          <w:u w:val="single"/>
        </w:rPr>
        <w:t xml:space="preserve">gegužės </w:t>
      </w:r>
      <w:r>
        <w:rPr>
          <w:u w:val="single"/>
          <w:lang w:val="en-GB"/>
        </w:rPr>
        <w:t>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241DD2AD" w:rsidR="00D55DB6" w:rsidRPr="00D55DB6" w:rsidRDefault="00D55DB6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9073" w:type="dxa"/>
          </w:tcPr>
          <w:p w14:paraId="2F874F4D" w14:textId="0D29D416" w:rsidR="00E15989" w:rsidRPr="005F5AC0" w:rsidRDefault="00D55DB6" w:rsidP="00206AE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2843B6C3" w:rsidR="00D55DB6" w:rsidRDefault="00D55DB6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01DB1AE" w14:textId="77777777" w:rsidR="001D494E" w:rsidRDefault="001D494E" w:rsidP="001D494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3A35C6">
              <w:rPr>
                <w:rFonts w:eastAsia="Calibri"/>
                <w:b/>
                <w:bCs/>
                <w:lang w:eastAsia="en-US"/>
              </w:rPr>
              <w:t>Įrodymų gavimo ir panaudojimo leistinumas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1B90D337" w14:textId="06E0FB3F" w:rsidR="00D55DB6" w:rsidRPr="00D55DB6" w:rsidRDefault="001D494E" w:rsidP="001D494E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ė prof.  dr. Rima Ažubalytė</w:t>
            </w:r>
            <w:r w:rsidRPr="003A35C6">
              <w:rPr>
                <w:b/>
                <w:lang w:eastAsia="en-US"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536A6F7F" w:rsidR="00101F13" w:rsidRPr="001B2877" w:rsidRDefault="00101F13" w:rsidP="00E11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11195">
              <w:rPr>
                <w:b/>
              </w:rPr>
              <w:t>3</w:t>
            </w:r>
            <w:r>
              <w:rPr>
                <w:b/>
              </w:rPr>
              <w:t>.</w:t>
            </w:r>
            <w:r w:rsidR="00E11195">
              <w:rPr>
                <w:b/>
              </w:rPr>
              <w:t>0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43148A7F" w:rsidR="003A35C6" w:rsidRPr="00EA0D98" w:rsidRDefault="001D494E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15EA7E66" w:rsidR="00B35DB0" w:rsidRPr="00B35DB0" w:rsidRDefault="00B35DB0" w:rsidP="00E11195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E11195">
              <w:rPr>
                <w:i/>
              </w:rPr>
              <w:t>30</w:t>
            </w:r>
          </w:p>
        </w:tc>
        <w:tc>
          <w:tcPr>
            <w:tcW w:w="9073" w:type="dxa"/>
          </w:tcPr>
          <w:p w14:paraId="306FEC3D" w14:textId="445EDC4C" w:rsidR="00B35DB0" w:rsidRPr="00B35DB0" w:rsidRDefault="001D494E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AA3E31" w14:textId="0F20975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ECB88C" w14:textId="760255D8" w:rsidR="00206AE4" w:rsidRDefault="00206AE4" w:rsidP="00231E98">
      <w:pPr>
        <w:rPr>
          <w:rStyle w:val="Grietas"/>
          <w:bCs/>
          <w:color w:val="000000"/>
          <w:sz w:val="20"/>
          <w:szCs w:val="20"/>
        </w:rPr>
      </w:pPr>
    </w:p>
    <w:p w14:paraId="52A43B06" w14:textId="01794341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2415C193" w14:textId="71AFD747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01E2B0F3" w14:textId="70AB1698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6E8EA786" w14:textId="71BDBC95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16F8988B" w14:textId="5A00BC13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693C0BDA" w14:textId="3F9F9A10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68E638EB" w14:textId="632278CB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48F7DCCA" w14:textId="77777777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13ABA681" w14:textId="77777777" w:rsidR="00206AE4" w:rsidRPr="00E15989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55C3076E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463C7C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9037" w14:textId="77777777" w:rsidR="00463C7C" w:rsidRPr="00463C7C" w:rsidRDefault="00463C7C" w:rsidP="00463C7C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C7C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5D152EA" w14:textId="77777777" w:rsidR="00463C7C" w:rsidRPr="00463C7C" w:rsidRDefault="00463C7C" w:rsidP="00463C7C">
            <w:pPr>
              <w:jc w:val="center"/>
              <w:rPr>
                <w:color w:val="000000"/>
                <w:sz w:val="16"/>
                <w:szCs w:val="16"/>
              </w:rPr>
            </w:pPr>
            <w:r w:rsidRPr="00463C7C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463C7C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1650BD40" w14:textId="5A66D00B" w:rsidR="00E11195" w:rsidRPr="006C196B" w:rsidRDefault="00463C7C" w:rsidP="00463C7C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463C7C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463C7C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463C7C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494E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E9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7FD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5C6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C7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3486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8D1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365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866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365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58</cp:revision>
  <cp:lastPrinted>2015-07-08T07:49:00Z</cp:lastPrinted>
  <dcterms:created xsi:type="dcterms:W3CDTF">2017-01-06T07:57:00Z</dcterms:created>
  <dcterms:modified xsi:type="dcterms:W3CDTF">2022-03-30T10:00:00Z</dcterms:modified>
</cp:coreProperties>
</file>