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0899" w14:textId="4600992E" w:rsidR="003E4FD3" w:rsidRDefault="003E4FD3" w:rsidP="00034622">
      <w:pPr>
        <w:keepNext/>
        <w:ind w:firstLine="851"/>
        <w:jc w:val="center"/>
        <w:rPr>
          <w:b/>
          <w:szCs w:val="24"/>
        </w:rPr>
      </w:pPr>
    </w:p>
    <w:p w14:paraId="30C236D8" w14:textId="20015D4B" w:rsidR="003E4FD3" w:rsidRPr="0037456F" w:rsidRDefault="003E4FD3" w:rsidP="00034622">
      <w:pPr>
        <w:keepNext/>
        <w:ind w:firstLine="851"/>
        <w:jc w:val="center"/>
        <w:rPr>
          <w:b/>
          <w:szCs w:val="24"/>
        </w:rPr>
      </w:pPr>
      <w:r w:rsidRPr="0037456F">
        <w:rPr>
          <w:b/>
          <w:noProof/>
          <w:szCs w:val="24"/>
        </w:rPr>
        <w:drawing>
          <wp:anchor distT="0" distB="0" distL="114300" distR="114300" simplePos="0" relativeHeight="251658240" behindDoc="0" locked="0" layoutInCell="1" allowOverlap="1" wp14:anchorId="53F6D606" wp14:editId="3FFA2D5C">
            <wp:simplePos x="0" y="0"/>
            <wp:positionH relativeFrom="column">
              <wp:posOffset>2933700</wp:posOffset>
            </wp:positionH>
            <wp:positionV relativeFrom="paragraph">
              <wp:posOffset>27305</wp:posOffset>
            </wp:positionV>
            <wp:extent cx="734695" cy="76327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95"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AC5E7" w14:textId="1DFB262F" w:rsidR="003E4FD3" w:rsidRPr="0037456F" w:rsidRDefault="003E4FD3" w:rsidP="00034622">
      <w:pPr>
        <w:keepNext/>
        <w:ind w:firstLine="851"/>
        <w:jc w:val="center"/>
        <w:rPr>
          <w:b/>
          <w:caps/>
          <w:szCs w:val="24"/>
        </w:rPr>
      </w:pPr>
    </w:p>
    <w:p w14:paraId="0E48BE4D" w14:textId="13D17402" w:rsidR="003E4FD3" w:rsidRPr="0037456F" w:rsidRDefault="003E4FD3" w:rsidP="00034622">
      <w:pPr>
        <w:keepNext/>
        <w:ind w:firstLine="851"/>
        <w:jc w:val="center"/>
        <w:rPr>
          <w:b/>
          <w:caps/>
          <w:szCs w:val="24"/>
        </w:rPr>
      </w:pPr>
    </w:p>
    <w:p w14:paraId="4A596298" w14:textId="77777777" w:rsidR="003E4FD3" w:rsidRPr="0037456F" w:rsidRDefault="003E4FD3" w:rsidP="00034622">
      <w:pPr>
        <w:keepNext/>
        <w:ind w:firstLine="851"/>
        <w:jc w:val="center"/>
        <w:rPr>
          <w:b/>
          <w:caps/>
          <w:szCs w:val="24"/>
        </w:rPr>
      </w:pPr>
    </w:p>
    <w:p w14:paraId="13158364" w14:textId="77777777" w:rsidR="003E4FD3" w:rsidRPr="0037456F" w:rsidRDefault="003E4FD3" w:rsidP="00034622">
      <w:pPr>
        <w:keepNext/>
        <w:ind w:firstLine="851"/>
        <w:jc w:val="center"/>
        <w:rPr>
          <w:b/>
          <w:caps/>
          <w:szCs w:val="24"/>
        </w:rPr>
      </w:pPr>
    </w:p>
    <w:p w14:paraId="67EC8ED5" w14:textId="5D0139DC" w:rsidR="0008049A" w:rsidRPr="0037456F" w:rsidRDefault="007D5698" w:rsidP="00034622">
      <w:pPr>
        <w:keepNext/>
        <w:ind w:firstLine="851"/>
        <w:jc w:val="center"/>
        <w:rPr>
          <w:b/>
          <w:caps/>
          <w:szCs w:val="24"/>
        </w:rPr>
      </w:pPr>
      <w:r w:rsidRPr="0037456F">
        <w:rPr>
          <w:b/>
          <w:caps/>
          <w:szCs w:val="24"/>
        </w:rPr>
        <w:t>TEISĖJŲ TARYBA</w:t>
      </w:r>
    </w:p>
    <w:p w14:paraId="79306F5F" w14:textId="77777777" w:rsidR="0008049A" w:rsidRPr="0037456F" w:rsidRDefault="0008049A" w:rsidP="00034622">
      <w:pPr>
        <w:keepNext/>
        <w:ind w:firstLine="851"/>
        <w:jc w:val="center"/>
        <w:rPr>
          <w:b/>
          <w:caps/>
          <w:szCs w:val="24"/>
        </w:rPr>
      </w:pPr>
    </w:p>
    <w:p w14:paraId="522D823A" w14:textId="77777777" w:rsidR="0008049A" w:rsidRPr="0037456F" w:rsidRDefault="007D5698" w:rsidP="00034622">
      <w:pPr>
        <w:keepNext/>
        <w:ind w:firstLine="851"/>
        <w:jc w:val="center"/>
        <w:rPr>
          <w:b/>
          <w:caps/>
          <w:szCs w:val="24"/>
        </w:rPr>
      </w:pPr>
      <w:r w:rsidRPr="0037456F">
        <w:rPr>
          <w:b/>
          <w:caps/>
          <w:szCs w:val="24"/>
        </w:rPr>
        <w:t>NUTARIMAS</w:t>
      </w:r>
    </w:p>
    <w:p w14:paraId="36E9C882" w14:textId="2C14E194" w:rsidR="0008049A" w:rsidRPr="0037456F" w:rsidRDefault="007D5698" w:rsidP="00034622">
      <w:pPr>
        <w:ind w:firstLine="851"/>
        <w:jc w:val="center"/>
        <w:rPr>
          <w:b/>
          <w:caps/>
          <w:szCs w:val="24"/>
        </w:rPr>
      </w:pPr>
      <w:bookmarkStart w:id="0" w:name="_Hlk31014389"/>
      <w:r w:rsidRPr="0037456F">
        <w:rPr>
          <w:b/>
          <w:caps/>
          <w:szCs w:val="24"/>
        </w:rPr>
        <w:t>dėl TEISĖJŲ TARYBOS 20</w:t>
      </w:r>
      <w:r w:rsidR="00C76C83" w:rsidRPr="0037456F">
        <w:rPr>
          <w:b/>
          <w:caps/>
          <w:szCs w:val="24"/>
        </w:rPr>
        <w:t>21</w:t>
      </w:r>
      <w:r w:rsidRPr="0037456F">
        <w:rPr>
          <w:b/>
          <w:caps/>
          <w:szCs w:val="24"/>
        </w:rPr>
        <w:t xml:space="preserve"> m. gruodžio </w:t>
      </w:r>
      <w:r w:rsidR="00C76C83" w:rsidRPr="0037456F">
        <w:rPr>
          <w:b/>
          <w:caps/>
          <w:szCs w:val="24"/>
        </w:rPr>
        <w:t>2</w:t>
      </w:r>
      <w:r w:rsidR="00B52CB3">
        <w:rPr>
          <w:b/>
          <w:caps/>
          <w:szCs w:val="24"/>
        </w:rPr>
        <w:t>0</w:t>
      </w:r>
      <w:r w:rsidRPr="0037456F">
        <w:rPr>
          <w:b/>
          <w:caps/>
          <w:szCs w:val="24"/>
        </w:rPr>
        <w:t xml:space="preserve"> d. nutarim</w:t>
      </w:r>
      <w:r w:rsidR="00851ED0" w:rsidRPr="0037456F">
        <w:rPr>
          <w:b/>
          <w:caps/>
          <w:szCs w:val="24"/>
        </w:rPr>
        <w:t>o</w:t>
      </w:r>
      <w:r w:rsidRPr="0037456F">
        <w:rPr>
          <w:b/>
          <w:caps/>
          <w:szCs w:val="24"/>
        </w:rPr>
        <w:t xml:space="preserve"> Nr. 13P-</w:t>
      </w:r>
      <w:r w:rsidR="00C76C83" w:rsidRPr="0037456F">
        <w:rPr>
          <w:b/>
          <w:caps/>
          <w:szCs w:val="24"/>
        </w:rPr>
        <w:t>155-(7.1.2</w:t>
      </w:r>
      <w:r w:rsidR="00B51C7E">
        <w:rPr>
          <w:b/>
          <w:caps/>
          <w:szCs w:val="24"/>
        </w:rPr>
        <w:t>.</w:t>
      </w:r>
      <w:r w:rsidR="00C76C83" w:rsidRPr="0037456F">
        <w:rPr>
          <w:b/>
          <w:caps/>
          <w:szCs w:val="24"/>
        </w:rPr>
        <w:t xml:space="preserve">) </w:t>
      </w:r>
      <w:r w:rsidRPr="0037456F">
        <w:rPr>
          <w:b/>
          <w:caps/>
          <w:szCs w:val="24"/>
        </w:rPr>
        <w:t>„Dėl</w:t>
      </w:r>
      <w:r w:rsidR="00C76C83" w:rsidRPr="0037456F">
        <w:rPr>
          <w:b/>
          <w:caps/>
          <w:szCs w:val="24"/>
        </w:rPr>
        <w:t xml:space="preserve"> Mokėjimo už darbą ir budėjimą poilsio ir švenčių dienomis bei pavadavimą, priemokų už padidėjusį darbo krūvį skyrimo ir mokėjimo bendrosios kompetencijos ir specializuotų teismų teisėjams tvarkos aprašo patvirtinimo</w:t>
      </w:r>
      <w:r w:rsidRPr="0037456F">
        <w:rPr>
          <w:b/>
          <w:caps/>
          <w:szCs w:val="24"/>
        </w:rPr>
        <w:t>“ PAKEITIMO</w:t>
      </w:r>
    </w:p>
    <w:bookmarkEnd w:id="0"/>
    <w:p w14:paraId="41BDEA1C" w14:textId="77777777" w:rsidR="0008049A" w:rsidRPr="0037456F" w:rsidRDefault="0008049A" w:rsidP="00034622">
      <w:pPr>
        <w:ind w:firstLine="851"/>
        <w:jc w:val="center"/>
        <w:rPr>
          <w:bCs/>
          <w:szCs w:val="24"/>
        </w:rPr>
      </w:pPr>
    </w:p>
    <w:p w14:paraId="283F1E8F" w14:textId="1EFE38C1" w:rsidR="00B51C7E" w:rsidRDefault="00B51C7E" w:rsidP="00B51C7E">
      <w:pPr>
        <w:jc w:val="center"/>
      </w:pPr>
      <w:r>
        <w:t>202</w:t>
      </w:r>
      <w:r>
        <w:t>2</w:t>
      </w:r>
      <w:r>
        <w:t xml:space="preserve"> m. </w:t>
      </w:r>
      <w:r>
        <w:t>gegužės 12</w:t>
      </w:r>
      <w:r>
        <w:t xml:space="preserve"> d. Nr. 13P-1</w:t>
      </w:r>
      <w:r>
        <w:t>16</w:t>
      </w:r>
      <w:r>
        <w:t>-(7.1.2.)</w:t>
      </w:r>
    </w:p>
    <w:p w14:paraId="60EE25E2" w14:textId="77777777" w:rsidR="0008049A" w:rsidRPr="0037456F" w:rsidRDefault="007D5698" w:rsidP="00034622">
      <w:pPr>
        <w:ind w:firstLine="851"/>
        <w:jc w:val="center"/>
        <w:rPr>
          <w:bCs/>
          <w:szCs w:val="24"/>
        </w:rPr>
      </w:pPr>
      <w:r w:rsidRPr="0037456F">
        <w:rPr>
          <w:bCs/>
          <w:szCs w:val="24"/>
        </w:rPr>
        <w:t>Vilnius</w:t>
      </w:r>
    </w:p>
    <w:p w14:paraId="2B3031A2" w14:textId="77777777" w:rsidR="0008049A" w:rsidRPr="0037456F" w:rsidRDefault="0008049A" w:rsidP="00034622">
      <w:pPr>
        <w:ind w:firstLine="851"/>
        <w:jc w:val="center"/>
        <w:rPr>
          <w:bCs/>
          <w:szCs w:val="24"/>
        </w:rPr>
      </w:pPr>
    </w:p>
    <w:p w14:paraId="72ECE838" w14:textId="77777777" w:rsidR="007D5698" w:rsidRPr="0037456F" w:rsidRDefault="007D5698" w:rsidP="00034622">
      <w:pPr>
        <w:ind w:firstLine="851"/>
        <w:jc w:val="center"/>
        <w:rPr>
          <w:bCs/>
          <w:szCs w:val="24"/>
        </w:rPr>
      </w:pPr>
    </w:p>
    <w:p w14:paraId="05EC82D5" w14:textId="77777777" w:rsidR="00C76C83" w:rsidRPr="0037456F" w:rsidRDefault="003E5437" w:rsidP="00C76C83">
      <w:pPr>
        <w:ind w:firstLine="720"/>
        <w:jc w:val="both"/>
      </w:pPr>
      <w:r w:rsidRPr="0037456F">
        <w:rPr>
          <w:bCs/>
          <w:szCs w:val="24"/>
        </w:rPr>
        <w:t xml:space="preserve">Vadovaudamasi </w:t>
      </w:r>
      <w:r w:rsidR="00C76C83" w:rsidRPr="0037456F">
        <w:t>Lietuvos Respublikos teisėjų darbo apmokėjimo įstatymo 6 straipsnio 7 dalimi ir 7 straipsnio 2 dalimi, Lietuvos Respublikos teismų įstatymo 120 straipsnio 17 punktu, Teisėjų taryba n u t a r i a:</w:t>
      </w:r>
    </w:p>
    <w:p w14:paraId="28381860" w14:textId="381EA4C3" w:rsidR="00C76C83" w:rsidRPr="0037456F" w:rsidRDefault="003E5437" w:rsidP="00C76C83">
      <w:pPr>
        <w:ind w:firstLine="720"/>
        <w:jc w:val="both"/>
        <w:rPr>
          <w:bCs/>
          <w:szCs w:val="24"/>
        </w:rPr>
      </w:pPr>
      <w:r w:rsidRPr="0037456F">
        <w:rPr>
          <w:bCs/>
          <w:szCs w:val="24"/>
        </w:rPr>
        <w:t xml:space="preserve">Pakeisti </w:t>
      </w:r>
      <w:bookmarkStart w:id="1" w:name="_Hlk90449529"/>
      <w:bookmarkStart w:id="2" w:name="_Hlk95230819"/>
      <w:bookmarkStart w:id="3" w:name="_Hlk90449828"/>
      <w:r w:rsidR="006251B3" w:rsidRPr="0037456F">
        <w:rPr>
          <w:bCs/>
          <w:szCs w:val="24"/>
        </w:rPr>
        <w:t>Teisėjų tarybos 2021 m. gruodžio 2</w:t>
      </w:r>
      <w:r w:rsidR="00B52CB3">
        <w:rPr>
          <w:bCs/>
          <w:szCs w:val="24"/>
        </w:rPr>
        <w:t>0</w:t>
      </w:r>
      <w:r w:rsidR="006251B3" w:rsidRPr="0037456F">
        <w:rPr>
          <w:bCs/>
          <w:szCs w:val="24"/>
        </w:rPr>
        <w:t xml:space="preserve"> d. nutarimu Nr. 13P-155-(7.1.2</w:t>
      </w:r>
      <w:r w:rsidR="00B51C7E">
        <w:rPr>
          <w:bCs/>
          <w:szCs w:val="24"/>
        </w:rPr>
        <w:t>.</w:t>
      </w:r>
      <w:r w:rsidR="006251B3" w:rsidRPr="0037456F">
        <w:rPr>
          <w:bCs/>
          <w:szCs w:val="24"/>
        </w:rPr>
        <w:t xml:space="preserve">) „Dėl </w:t>
      </w:r>
      <w:r w:rsidR="006251B3" w:rsidRPr="0037456F">
        <w:rPr>
          <w:color w:val="000000"/>
        </w:rPr>
        <w:t xml:space="preserve">Mokėjimo </w:t>
      </w:r>
      <w:r w:rsidR="006251B3" w:rsidRPr="0037456F">
        <w:t>už darbą ir budėjimą poilsio ir švenčių dienomis bei pavadavimą, p</w:t>
      </w:r>
      <w:r w:rsidR="006251B3" w:rsidRPr="0037456F">
        <w:rPr>
          <w:color w:val="000000"/>
        </w:rPr>
        <w:t xml:space="preserve">riemokų už padidėjusį darbo krūvį skyrimo ir mokėjimo </w:t>
      </w:r>
      <w:r w:rsidR="006251B3" w:rsidRPr="0037456F">
        <w:t>bendrosios kompetencijos ir specializuotų teismų teisėjams tvarkos aprašo patvirtinimo</w:t>
      </w:r>
      <w:r w:rsidR="006251B3" w:rsidRPr="0037456F">
        <w:rPr>
          <w:bCs/>
          <w:szCs w:val="24"/>
        </w:rPr>
        <w:t xml:space="preserve">“ patvirtintą </w:t>
      </w:r>
      <w:r w:rsidR="00C76C83" w:rsidRPr="0037456F">
        <w:rPr>
          <w:color w:val="000000"/>
        </w:rPr>
        <w:t xml:space="preserve">Mokėjimo </w:t>
      </w:r>
      <w:r w:rsidR="00C76C83" w:rsidRPr="0037456F">
        <w:t>už darbą ir budėjimą poilsio ir švenčių dienomis bei pavadavimą, p</w:t>
      </w:r>
      <w:r w:rsidR="00C76C83" w:rsidRPr="0037456F">
        <w:rPr>
          <w:color w:val="000000"/>
        </w:rPr>
        <w:t xml:space="preserve">riemokų už padidėjusį darbo krūvį skyrimo ir mokėjimo </w:t>
      </w:r>
      <w:r w:rsidR="00C76C83" w:rsidRPr="0037456F">
        <w:t>bendrosios kompetencijos ir specializuotų teismų teisėjams tvarkos apraš</w:t>
      </w:r>
      <w:bookmarkEnd w:id="1"/>
      <w:r w:rsidR="00C76C83" w:rsidRPr="0037456F">
        <w:t>ą</w:t>
      </w:r>
      <w:bookmarkEnd w:id="2"/>
      <w:bookmarkEnd w:id="3"/>
      <w:r w:rsidRPr="0037456F">
        <w:rPr>
          <w:bCs/>
          <w:szCs w:val="24"/>
        </w:rPr>
        <w:t>:</w:t>
      </w:r>
    </w:p>
    <w:p w14:paraId="0838D954" w14:textId="77777777" w:rsidR="00FE24F0" w:rsidRPr="0037456F" w:rsidRDefault="00FE24F0" w:rsidP="00C76C83">
      <w:pPr>
        <w:ind w:firstLine="720"/>
        <w:jc w:val="both"/>
        <w:rPr>
          <w:bCs/>
          <w:szCs w:val="24"/>
        </w:rPr>
      </w:pPr>
    </w:p>
    <w:p w14:paraId="51C770B8" w14:textId="77777777" w:rsidR="003A5C66" w:rsidRPr="0037456F" w:rsidRDefault="00C76C83" w:rsidP="00C76C83">
      <w:pPr>
        <w:ind w:firstLine="720"/>
        <w:jc w:val="both"/>
        <w:rPr>
          <w:bCs/>
          <w:szCs w:val="24"/>
          <w:lang w:eastAsia="lt-LT"/>
        </w:rPr>
      </w:pPr>
      <w:r w:rsidRPr="0037456F">
        <w:rPr>
          <w:bCs/>
          <w:szCs w:val="24"/>
        </w:rPr>
        <w:t xml:space="preserve">1. </w:t>
      </w:r>
      <w:r w:rsidR="003E5437" w:rsidRPr="0037456F">
        <w:rPr>
          <w:bCs/>
          <w:szCs w:val="24"/>
          <w:lang w:eastAsia="lt-LT"/>
        </w:rPr>
        <w:t xml:space="preserve">Pakeisti </w:t>
      </w:r>
      <w:r w:rsidR="005877ED" w:rsidRPr="0037456F">
        <w:rPr>
          <w:bCs/>
          <w:szCs w:val="24"/>
          <w:lang w:eastAsia="lt-LT"/>
        </w:rPr>
        <w:t>2 punktą ir jį išdėstyti taip:</w:t>
      </w:r>
    </w:p>
    <w:p w14:paraId="645B61FC" w14:textId="01C3DB79" w:rsidR="008954DC" w:rsidRPr="0037456F" w:rsidRDefault="008954DC" w:rsidP="00C76C83">
      <w:pPr>
        <w:ind w:firstLine="720"/>
        <w:jc w:val="both"/>
      </w:pPr>
      <w:r w:rsidRPr="0037456F">
        <w:rPr>
          <w:bCs/>
          <w:szCs w:val="24"/>
          <w:lang w:val="en-US" w:eastAsia="lt-LT"/>
        </w:rPr>
        <w:t>“</w:t>
      </w:r>
      <w:r w:rsidR="005877ED" w:rsidRPr="0037456F">
        <w:rPr>
          <w:bCs/>
          <w:szCs w:val="24"/>
          <w:lang w:val="en-US" w:eastAsia="lt-LT"/>
        </w:rPr>
        <w:t xml:space="preserve">2. </w:t>
      </w:r>
      <w:bookmarkStart w:id="4" w:name="_Hlk95230920"/>
      <w:r w:rsidR="005877ED" w:rsidRPr="0037456F">
        <w:t>Aprašo nuostatos dėl priemokų mokėjimo</w:t>
      </w:r>
      <w:r w:rsidRPr="0037456F">
        <w:t xml:space="preserve"> ne</w:t>
      </w:r>
      <w:r w:rsidR="005877ED" w:rsidRPr="0037456F">
        <w:t>taikomos</w:t>
      </w:r>
      <w:r w:rsidRPr="0037456F">
        <w:t>, jeigu:</w:t>
      </w:r>
    </w:p>
    <w:p w14:paraId="3937D809" w14:textId="7D9656B4" w:rsidR="008954DC" w:rsidRPr="0037456F" w:rsidRDefault="008954DC" w:rsidP="00C76C83">
      <w:pPr>
        <w:ind w:firstLine="720"/>
        <w:jc w:val="both"/>
      </w:pPr>
      <w:r w:rsidRPr="0037456F">
        <w:t>2.1.</w:t>
      </w:r>
      <w:r w:rsidR="005877ED" w:rsidRPr="0037456F">
        <w:t xml:space="preserve"> darbo krūvi</w:t>
      </w:r>
      <w:r w:rsidRPr="0037456F">
        <w:t xml:space="preserve">s </w:t>
      </w:r>
      <w:bookmarkStart w:id="5" w:name="_Hlk102111319"/>
      <w:r w:rsidRPr="0037456F">
        <w:t>teisme galėjo (gali) būti</w:t>
      </w:r>
      <w:bookmarkEnd w:id="5"/>
      <w:r w:rsidR="005877ED" w:rsidRPr="0037456F">
        <w:t xml:space="preserve"> sureguliuot</w:t>
      </w:r>
      <w:r w:rsidRPr="0037456F">
        <w:t>as</w:t>
      </w:r>
      <w:r w:rsidR="005877ED" w:rsidRPr="0037456F">
        <w:t xml:space="preserve"> teisės aktuose nustatytomis administravimo teismuose ar kitomis priemonėmis (pavyzdžiui, perskirstant bylas tarp teismų (teismo rūmų), laikinai perkeliant teisėjus ir kt.)</w:t>
      </w:r>
      <w:r w:rsidRPr="0037456F">
        <w:t>;</w:t>
      </w:r>
    </w:p>
    <w:p w14:paraId="61C01880" w14:textId="12FB8F3C" w:rsidR="005877ED" w:rsidRPr="0037456F" w:rsidRDefault="008954DC" w:rsidP="00C76C83">
      <w:pPr>
        <w:ind w:firstLine="720"/>
        <w:jc w:val="both"/>
        <w:rPr>
          <w:bCs/>
          <w:szCs w:val="24"/>
          <w:lang w:val="en-US" w:eastAsia="lt-LT"/>
        </w:rPr>
      </w:pPr>
      <w:r w:rsidRPr="0037456F">
        <w:t>2.2.</w:t>
      </w:r>
      <w:bookmarkEnd w:id="4"/>
      <w:r w:rsidR="00E80760" w:rsidRPr="0037456F">
        <w:t xml:space="preserve"> </w:t>
      </w:r>
      <w:r w:rsidR="005877ED" w:rsidRPr="0037456F">
        <w:t>teisėjo darbo krūvis iki darbų masto padidėjimo buvo mažesnis nei vidutinis metinis teisėjo darbo krūvis tos pačios pakopos teismuose.</w:t>
      </w:r>
      <w:r w:rsidRPr="0037456F">
        <w:t>“</w:t>
      </w:r>
    </w:p>
    <w:p w14:paraId="5529FE33" w14:textId="77777777" w:rsidR="005877ED" w:rsidRPr="0037456F" w:rsidRDefault="005877ED" w:rsidP="00C76C83">
      <w:pPr>
        <w:ind w:firstLine="720"/>
        <w:jc w:val="both"/>
        <w:rPr>
          <w:bCs/>
          <w:szCs w:val="24"/>
          <w:lang w:eastAsia="lt-LT"/>
        </w:rPr>
      </w:pPr>
    </w:p>
    <w:p w14:paraId="039B4295" w14:textId="01BEE0D3" w:rsidR="003E5437" w:rsidRPr="0037456F" w:rsidRDefault="005877ED" w:rsidP="00C76C83">
      <w:pPr>
        <w:ind w:firstLine="720"/>
        <w:jc w:val="both"/>
        <w:rPr>
          <w:bCs/>
          <w:szCs w:val="24"/>
        </w:rPr>
      </w:pPr>
      <w:r w:rsidRPr="0037456F">
        <w:rPr>
          <w:bCs/>
          <w:szCs w:val="24"/>
          <w:lang w:eastAsia="lt-LT"/>
        </w:rPr>
        <w:t xml:space="preserve">2. Pakeisti </w:t>
      </w:r>
      <w:r w:rsidR="00F03066" w:rsidRPr="0037456F">
        <w:rPr>
          <w:bCs/>
          <w:szCs w:val="24"/>
          <w:lang w:eastAsia="lt-LT"/>
        </w:rPr>
        <w:t xml:space="preserve">4.4. papunktį </w:t>
      </w:r>
      <w:r w:rsidR="003E5437" w:rsidRPr="0037456F">
        <w:rPr>
          <w:bCs/>
          <w:szCs w:val="24"/>
          <w:lang w:eastAsia="lt-LT"/>
        </w:rPr>
        <w:t>ir jį išdėstyti taip:</w:t>
      </w:r>
    </w:p>
    <w:p w14:paraId="5AB8BC20" w14:textId="4E4AFDA7" w:rsidR="003B6A23" w:rsidRPr="0037456F" w:rsidRDefault="003B6A23" w:rsidP="003B6A23">
      <w:pPr>
        <w:tabs>
          <w:tab w:val="left" w:pos="709"/>
          <w:tab w:val="left" w:pos="1134"/>
        </w:tabs>
        <w:suppressAutoHyphens/>
        <w:autoSpaceDN w:val="0"/>
        <w:ind w:firstLine="709"/>
        <w:jc w:val="both"/>
        <w:textAlignment w:val="baseline"/>
        <w:rPr>
          <w:bCs/>
          <w:color w:val="000000"/>
        </w:rPr>
      </w:pPr>
      <w:r w:rsidRPr="0037456F">
        <w:rPr>
          <w:bCs/>
          <w:szCs w:val="24"/>
        </w:rPr>
        <w:t>„</w:t>
      </w:r>
      <w:r w:rsidRPr="0037456F">
        <w:rPr>
          <w:bCs/>
          <w:color w:val="000000"/>
        </w:rPr>
        <w:t xml:space="preserve">4.4. Žymus </w:t>
      </w:r>
      <w:bookmarkStart w:id="6" w:name="_Hlk95235303"/>
      <w:r w:rsidRPr="0037456F">
        <w:rPr>
          <w:bCs/>
          <w:color w:val="000000"/>
        </w:rPr>
        <w:t>bylų padaugėjimas – dėl iš anksto nenumatytų priežasčių teisme per mėnesį</w:t>
      </w:r>
      <w:r w:rsidR="00461A35">
        <w:rPr>
          <w:bCs/>
          <w:color w:val="000000"/>
        </w:rPr>
        <w:t xml:space="preserve"> </w:t>
      </w:r>
      <w:r w:rsidRPr="0037456F">
        <w:rPr>
          <w:bCs/>
          <w:color w:val="000000"/>
        </w:rPr>
        <w:t>išnagrinėtų tam tikros kategorijos bylų kiekio padidėjimas daugiau n</w:t>
      </w:r>
      <w:r w:rsidRPr="0037456F">
        <w:rPr>
          <w:bCs/>
        </w:rPr>
        <w:t>ei 20 procentų</w:t>
      </w:r>
      <w:bookmarkEnd w:id="6"/>
      <w:r w:rsidRPr="0037456F">
        <w:rPr>
          <w:bCs/>
        </w:rPr>
        <w:t xml:space="preserve">. </w:t>
      </w:r>
      <w:r w:rsidRPr="0037456F">
        <w:rPr>
          <w:bCs/>
          <w:color w:val="000000"/>
        </w:rPr>
        <w:t>Tuo atveju, kai teisme tam tikros kategorijos bylos anksčiau nebuvo nagrinėjamos, žymus išnagrinėtų tam tikros kategorijos bylų padaugėjimas fiksuojamas, kai tokios kategorijos bylų kiekis padidėja daugiau nei 20 procentų už vidutinį to bylos tipo, kuriam priskirtos atitinkamos kategorijos bylos, išnagrinėtų teisme bylų kiekį per praėjusius dvylika mėnesių.“</w:t>
      </w:r>
    </w:p>
    <w:p w14:paraId="59EE9789" w14:textId="31384EAB" w:rsidR="00C76C83" w:rsidRPr="0037456F" w:rsidRDefault="00C76C83" w:rsidP="006A7C44">
      <w:pPr>
        <w:tabs>
          <w:tab w:val="left" w:pos="990"/>
          <w:tab w:val="left" w:pos="1080"/>
        </w:tabs>
        <w:ind w:firstLine="680"/>
        <w:jc w:val="both"/>
        <w:rPr>
          <w:bCs/>
          <w:szCs w:val="24"/>
        </w:rPr>
      </w:pPr>
    </w:p>
    <w:p w14:paraId="5A5DA1F0" w14:textId="6437E16A" w:rsidR="003E5437" w:rsidRPr="0037456F" w:rsidRDefault="005877ED" w:rsidP="00C76C83">
      <w:pPr>
        <w:ind w:left="680"/>
        <w:jc w:val="both"/>
        <w:rPr>
          <w:bCs/>
          <w:szCs w:val="24"/>
          <w:lang w:eastAsia="lt-LT"/>
        </w:rPr>
      </w:pPr>
      <w:r w:rsidRPr="0037456F">
        <w:rPr>
          <w:bCs/>
          <w:szCs w:val="24"/>
          <w:lang w:eastAsia="lt-LT"/>
        </w:rPr>
        <w:t>3</w:t>
      </w:r>
      <w:r w:rsidR="00C76C83" w:rsidRPr="0037456F">
        <w:rPr>
          <w:bCs/>
          <w:szCs w:val="24"/>
          <w:lang w:eastAsia="lt-LT"/>
        </w:rPr>
        <w:t xml:space="preserve">. </w:t>
      </w:r>
      <w:r w:rsidR="003E5437" w:rsidRPr="0037456F">
        <w:rPr>
          <w:bCs/>
          <w:szCs w:val="24"/>
          <w:lang w:eastAsia="lt-LT"/>
        </w:rPr>
        <w:t xml:space="preserve">Pakeisti </w:t>
      </w:r>
      <w:r w:rsidR="00F03066" w:rsidRPr="0037456F">
        <w:rPr>
          <w:bCs/>
          <w:szCs w:val="24"/>
          <w:lang w:eastAsia="lt-LT"/>
        </w:rPr>
        <w:t xml:space="preserve">4.5. papunktį </w:t>
      </w:r>
      <w:r w:rsidR="003E5437" w:rsidRPr="0037456F">
        <w:rPr>
          <w:bCs/>
          <w:szCs w:val="24"/>
          <w:lang w:eastAsia="lt-LT"/>
        </w:rPr>
        <w:t>ir jį išdėstyti taip:</w:t>
      </w:r>
    </w:p>
    <w:p w14:paraId="2428F642" w14:textId="5FAE9AA6" w:rsidR="00553CA3" w:rsidRPr="0037456F" w:rsidRDefault="00553CA3" w:rsidP="00553CA3">
      <w:pPr>
        <w:tabs>
          <w:tab w:val="left" w:pos="709"/>
          <w:tab w:val="left" w:pos="1134"/>
        </w:tabs>
        <w:suppressAutoHyphens/>
        <w:autoSpaceDN w:val="0"/>
        <w:ind w:firstLine="709"/>
        <w:jc w:val="both"/>
        <w:textAlignment w:val="baseline"/>
        <w:rPr>
          <w:bCs/>
        </w:rPr>
      </w:pPr>
      <w:r w:rsidRPr="0037456F">
        <w:rPr>
          <w:bCs/>
          <w:color w:val="000000"/>
        </w:rPr>
        <w:t>„</w:t>
      </w:r>
      <w:bookmarkStart w:id="7" w:name="_Hlk102038157"/>
      <w:r w:rsidRPr="0037456F">
        <w:rPr>
          <w:bCs/>
          <w:color w:val="000000"/>
        </w:rPr>
        <w:t xml:space="preserve">4.5. </w:t>
      </w:r>
      <w:r w:rsidRPr="0037456F">
        <w:rPr>
          <w:bCs/>
        </w:rPr>
        <w:t>Padidėjęs darbo krūvis</w:t>
      </w:r>
      <w:r w:rsidRPr="0037456F">
        <w:rPr>
          <w:b/>
        </w:rPr>
        <w:t>:</w:t>
      </w:r>
    </w:p>
    <w:p w14:paraId="527C0590" w14:textId="66C0A9EF" w:rsidR="00553CA3" w:rsidRPr="0037456F" w:rsidRDefault="00553CA3" w:rsidP="00553CA3">
      <w:pPr>
        <w:tabs>
          <w:tab w:val="left" w:pos="709"/>
          <w:tab w:val="left" w:pos="1134"/>
        </w:tabs>
        <w:suppressAutoHyphens/>
        <w:autoSpaceDN w:val="0"/>
        <w:ind w:firstLine="709"/>
        <w:jc w:val="both"/>
        <w:textAlignment w:val="baseline"/>
        <w:rPr>
          <w:lang w:eastAsia="lt-LT"/>
        </w:rPr>
      </w:pPr>
      <w:r w:rsidRPr="0037456F">
        <w:rPr>
          <w:bCs/>
        </w:rPr>
        <w:t xml:space="preserve">4.5.1. teisėjo per 3 mėnesių laikotarpį išnagrinėtų bylų kiekio padidėjimas ne mažiau nei 20 procentų už vidutinį tos pačios pakopos teismų arba, atitinkamai, Lietuvos Aukščiausiojo Teismo, Lietuvos vyriausiojo administracinio teismo ar Lietuvos apeliacinio teismo vienam faktiškai dirbančiam teisėjui per tą patį laikotarpį tenkantį išnagrinėtų bylų kiekį dėl </w:t>
      </w:r>
      <w:r w:rsidRPr="0037456F">
        <w:rPr>
          <w:lang w:eastAsia="lt-LT"/>
        </w:rPr>
        <w:t>kito teisėjo funkcijų atlikimo arba;</w:t>
      </w:r>
    </w:p>
    <w:p w14:paraId="06A37E21" w14:textId="3B2CB859" w:rsidR="00553CA3" w:rsidRPr="0037456F" w:rsidRDefault="00553CA3" w:rsidP="00AA5619">
      <w:pPr>
        <w:tabs>
          <w:tab w:val="left" w:pos="709"/>
          <w:tab w:val="left" w:pos="1134"/>
        </w:tabs>
        <w:suppressAutoHyphens/>
        <w:autoSpaceDN w:val="0"/>
        <w:ind w:firstLine="709"/>
        <w:jc w:val="both"/>
        <w:textAlignment w:val="baseline"/>
        <w:rPr>
          <w:bCs/>
          <w:color w:val="000000"/>
        </w:rPr>
      </w:pPr>
      <w:r w:rsidRPr="0037456F">
        <w:rPr>
          <w:lang w:eastAsia="lt-LT"/>
        </w:rPr>
        <w:lastRenderedPageBreak/>
        <w:t xml:space="preserve">4.5.2. </w:t>
      </w:r>
      <w:r w:rsidRPr="0037456F">
        <w:t xml:space="preserve">teisėjo per mėnesį išnagrinėtų tam tikros kategorijos bylų kiekio padidėjimas </w:t>
      </w:r>
      <w:r w:rsidRPr="0037456F">
        <w:rPr>
          <w:color w:val="000000"/>
        </w:rPr>
        <w:t>daugiau n</w:t>
      </w:r>
      <w:r w:rsidRPr="0037456F">
        <w:t>ei 20 procentų, tačiau ne mažiau nei 10 išnagrinėtų tos kategorijos bylų, dėl žymaus bylų padaugėjimo. Tuo atveju, kai teisme yra nustatyta teisėjų specializacija, vertinant padidėjusio krūvio duomenis atsižvelgiama į teisėjo specializaciją.“</w:t>
      </w:r>
      <w:bookmarkEnd w:id="7"/>
    </w:p>
    <w:p w14:paraId="183F0DB0" w14:textId="77777777" w:rsidR="007F720B" w:rsidRPr="0037456F" w:rsidRDefault="007F720B" w:rsidP="00A43289">
      <w:pPr>
        <w:tabs>
          <w:tab w:val="left" w:pos="709"/>
          <w:tab w:val="left" w:pos="1134"/>
        </w:tabs>
        <w:suppressAutoHyphens/>
        <w:autoSpaceDN w:val="0"/>
        <w:ind w:firstLine="709"/>
        <w:jc w:val="both"/>
        <w:textAlignment w:val="baseline"/>
        <w:rPr>
          <w:bCs/>
        </w:rPr>
      </w:pPr>
    </w:p>
    <w:p w14:paraId="330524C1" w14:textId="5D2DC941" w:rsidR="005A711B" w:rsidRPr="0037456F" w:rsidRDefault="00D17C8B" w:rsidP="00D17C8B">
      <w:pPr>
        <w:pStyle w:val="Sraopastraipa"/>
        <w:ind w:left="680"/>
        <w:rPr>
          <w:bCs/>
          <w:szCs w:val="24"/>
          <w:lang w:eastAsia="lt-LT"/>
        </w:rPr>
      </w:pPr>
      <w:r w:rsidRPr="0037456F">
        <w:rPr>
          <w:bCs/>
          <w:szCs w:val="24"/>
          <w:lang w:val="en-US" w:eastAsia="lt-LT"/>
        </w:rPr>
        <w:t>4</w:t>
      </w:r>
      <w:r w:rsidR="00C76C83" w:rsidRPr="0037456F">
        <w:rPr>
          <w:bCs/>
          <w:szCs w:val="24"/>
          <w:lang w:eastAsia="lt-LT"/>
        </w:rPr>
        <w:t>.</w:t>
      </w:r>
      <w:r w:rsidR="003E4B24" w:rsidRPr="0037456F">
        <w:rPr>
          <w:bCs/>
          <w:szCs w:val="24"/>
          <w:lang w:eastAsia="lt-LT"/>
        </w:rPr>
        <w:t xml:space="preserve"> </w:t>
      </w:r>
      <w:r w:rsidR="00874128" w:rsidRPr="0037456F">
        <w:rPr>
          <w:bCs/>
          <w:szCs w:val="24"/>
          <w:lang w:eastAsia="lt-LT"/>
        </w:rPr>
        <w:t>Pakeisti 13 punktą ir jį išdėstyti taip:</w:t>
      </w:r>
    </w:p>
    <w:p w14:paraId="120E1997" w14:textId="1A57CD7C" w:rsidR="00874128" w:rsidRPr="0037456F" w:rsidRDefault="00874128" w:rsidP="005A711B">
      <w:pPr>
        <w:pStyle w:val="Sraopastraipa"/>
        <w:ind w:left="0" w:firstLine="680"/>
        <w:jc w:val="both"/>
        <w:rPr>
          <w:bCs/>
          <w:szCs w:val="24"/>
          <w:lang w:eastAsia="lt-LT"/>
        </w:rPr>
      </w:pPr>
      <w:r w:rsidRPr="0037456F">
        <w:rPr>
          <w:bCs/>
          <w:szCs w:val="24"/>
          <w:lang w:eastAsia="lt-LT"/>
        </w:rPr>
        <w:t xml:space="preserve">„13. </w:t>
      </w:r>
      <w:r w:rsidRPr="0037456F">
        <w:rPr>
          <w:bCs/>
        </w:rPr>
        <w:t>Tais atvejais, k</w:t>
      </w:r>
      <w:r w:rsidRPr="0037456F">
        <w:rPr>
          <w:bCs/>
          <w:shd w:val="clear" w:color="auto" w:fill="FFFFFF"/>
          <w:lang w:eastAsia="lt-LT"/>
        </w:rPr>
        <w:t>ai</w:t>
      </w:r>
      <w:r w:rsidRPr="0037456F">
        <w:rPr>
          <w:color w:val="000000"/>
          <w:lang w:eastAsia="lt-LT"/>
        </w:rPr>
        <w:t xml:space="preserve"> </w:t>
      </w:r>
      <w:r w:rsidRPr="0037456F">
        <w:rPr>
          <w:shd w:val="clear" w:color="auto" w:fill="FFFFFF"/>
          <w:lang w:eastAsia="lt-LT"/>
        </w:rPr>
        <w:t>b</w:t>
      </w:r>
      <w:r w:rsidRPr="0037456F">
        <w:rPr>
          <w:color w:val="000000"/>
          <w:lang w:eastAsia="lt-LT"/>
        </w:rPr>
        <w:t xml:space="preserve">endrosios kompetencijos ar specializuoto </w:t>
      </w:r>
      <w:r w:rsidRPr="0037456F">
        <w:rPr>
          <w:shd w:val="clear" w:color="auto" w:fill="FFFFFF"/>
          <w:lang w:eastAsia="lt-LT"/>
        </w:rPr>
        <w:t>teismo pirmininką, pirmininko pavaduotoją ar skyriaus pirmininką Teismų įstatymo 105 straipsnyje nustatyta tvarka pavaduoja</w:t>
      </w:r>
      <w:r w:rsidRPr="0037456F">
        <w:rPr>
          <w:color w:val="000000"/>
          <w:lang w:eastAsia="lt-LT"/>
        </w:rPr>
        <w:t xml:space="preserve"> atitinkamai skyriaus pirmininkas</w:t>
      </w:r>
      <w:r w:rsidR="009B3D3C" w:rsidRPr="0037456F">
        <w:rPr>
          <w:shd w:val="clear" w:color="auto" w:fill="FFFFFF"/>
          <w:lang w:eastAsia="lt-LT"/>
        </w:rPr>
        <w:t xml:space="preserve"> </w:t>
      </w:r>
      <w:r w:rsidRPr="0037456F">
        <w:rPr>
          <w:shd w:val="clear" w:color="auto" w:fill="FFFFFF"/>
          <w:lang w:eastAsia="lt-LT"/>
        </w:rPr>
        <w:t>ar</w:t>
      </w:r>
      <w:r w:rsidRPr="0037456F">
        <w:rPr>
          <w:lang w:eastAsia="lt-LT"/>
        </w:rPr>
        <w:t xml:space="preserve"> teisėjas,</w:t>
      </w:r>
      <w:r w:rsidRPr="0037456F">
        <w:rPr>
          <w:shd w:val="clear" w:color="auto" w:fill="FFFFFF"/>
          <w:lang w:eastAsia="lt-LT"/>
        </w:rPr>
        <w:t xml:space="preserve"> apskaičiuojant jo atlyginimą taikomas atitinkamo pavaduojamo teismo pareigūno pareiginės algos koeficientas, nustatytas Lietuvos Respublikos teisėjų darbo apmokėjimo įstatymo priedo II skyriuje.“</w:t>
      </w:r>
    </w:p>
    <w:p w14:paraId="5E12CEB2" w14:textId="77777777" w:rsidR="00D81BF3" w:rsidRPr="0037456F" w:rsidRDefault="00D81BF3" w:rsidP="006A7C44">
      <w:pPr>
        <w:ind w:firstLine="680"/>
        <w:jc w:val="both"/>
        <w:rPr>
          <w:bCs/>
          <w:szCs w:val="24"/>
          <w:lang w:eastAsia="lt-LT"/>
        </w:rPr>
      </w:pPr>
    </w:p>
    <w:p w14:paraId="4E3B1BC9" w14:textId="37BB2DDF" w:rsidR="00553CA3" w:rsidRPr="0037456F" w:rsidRDefault="002157C9" w:rsidP="003B5695">
      <w:pPr>
        <w:ind w:firstLine="680"/>
        <w:jc w:val="both"/>
        <w:rPr>
          <w:bCs/>
          <w:szCs w:val="24"/>
          <w:lang w:eastAsia="lt-LT"/>
        </w:rPr>
      </w:pPr>
      <w:r w:rsidRPr="0037456F">
        <w:rPr>
          <w:bCs/>
          <w:szCs w:val="24"/>
          <w:lang w:eastAsia="lt-LT"/>
        </w:rPr>
        <w:t>5</w:t>
      </w:r>
      <w:r w:rsidR="001D36F8" w:rsidRPr="0037456F">
        <w:rPr>
          <w:bCs/>
          <w:szCs w:val="24"/>
          <w:lang w:eastAsia="lt-LT"/>
        </w:rPr>
        <w:t>.</w:t>
      </w:r>
      <w:r w:rsidR="003E5437" w:rsidRPr="0037456F">
        <w:rPr>
          <w:bCs/>
          <w:szCs w:val="24"/>
          <w:lang w:eastAsia="lt-LT"/>
        </w:rPr>
        <w:t xml:space="preserve"> </w:t>
      </w:r>
      <w:bookmarkStart w:id="8" w:name="_Hlk31098718"/>
      <w:r w:rsidR="0079700B" w:rsidRPr="0037456F">
        <w:rPr>
          <w:bCs/>
          <w:szCs w:val="24"/>
          <w:lang w:eastAsia="lt-LT"/>
        </w:rPr>
        <w:t xml:space="preserve">Pakeisti </w:t>
      </w:r>
      <w:r w:rsidR="00553CA3" w:rsidRPr="0037456F">
        <w:rPr>
          <w:bCs/>
          <w:szCs w:val="24"/>
          <w:lang w:eastAsia="lt-LT"/>
        </w:rPr>
        <w:t>17 punktą ir jį išdėstyti taip:</w:t>
      </w:r>
    </w:p>
    <w:p w14:paraId="7E875FC4" w14:textId="32089833" w:rsidR="00AC28B9" w:rsidRPr="0037456F" w:rsidRDefault="00553CA3" w:rsidP="00AC28B9">
      <w:pPr>
        <w:ind w:firstLine="680"/>
        <w:jc w:val="both"/>
        <w:rPr>
          <w:bCs/>
          <w:szCs w:val="24"/>
          <w:lang w:eastAsia="lt-LT"/>
        </w:rPr>
      </w:pPr>
      <w:r w:rsidRPr="0037456F">
        <w:rPr>
          <w:bCs/>
          <w:szCs w:val="24"/>
          <w:lang w:eastAsia="lt-LT"/>
        </w:rPr>
        <w:t>„17.</w:t>
      </w:r>
      <w:r w:rsidR="00AC28B9" w:rsidRPr="0037456F">
        <w:rPr>
          <w:bCs/>
          <w:szCs w:val="24"/>
          <w:lang w:eastAsia="lt-LT"/>
        </w:rPr>
        <w:t xml:space="preserve"> </w:t>
      </w:r>
      <w:r w:rsidR="00AC28B9" w:rsidRPr="0037456F">
        <w:rPr>
          <w:bCs/>
        </w:rPr>
        <w:t xml:space="preserve">Padidėjęs darbo krūvis dėl </w:t>
      </w:r>
      <w:r w:rsidR="00AC28B9" w:rsidRPr="0037456F">
        <w:rPr>
          <w:lang w:eastAsia="lt-LT"/>
        </w:rPr>
        <w:t xml:space="preserve">kito teisėjo funkcijų atlikimo </w:t>
      </w:r>
      <w:r w:rsidR="00AC28B9" w:rsidRPr="0037456F">
        <w:rPr>
          <w:bCs/>
        </w:rPr>
        <w:t>nustatomas už praėjusių 3 mėnesių laikotarpį</w:t>
      </w:r>
      <w:r w:rsidR="00AC28B9" w:rsidRPr="0037456F">
        <w:rPr>
          <w:bCs/>
          <w:u w:val="single"/>
        </w:rPr>
        <w:t>,</w:t>
      </w:r>
      <w:r w:rsidR="00AC28B9" w:rsidRPr="0037456F">
        <w:rPr>
          <w:bCs/>
        </w:rPr>
        <w:t xml:space="preserve"> vertinant trijų mėnesių, duomenis apie teisėjo faktiškai išnagrinėtas bylas (ir lyginant šiuos duomenis su:</w:t>
      </w:r>
    </w:p>
    <w:p w14:paraId="2A71D751" w14:textId="77777777" w:rsidR="00AC28B9" w:rsidRPr="0037456F" w:rsidRDefault="00AC28B9" w:rsidP="00AC28B9">
      <w:pPr>
        <w:tabs>
          <w:tab w:val="left" w:pos="709"/>
          <w:tab w:val="left" w:pos="1134"/>
          <w:tab w:val="left" w:pos="2345"/>
        </w:tabs>
        <w:suppressAutoHyphens/>
        <w:autoSpaceDN w:val="0"/>
        <w:ind w:firstLine="709"/>
        <w:jc w:val="both"/>
        <w:textAlignment w:val="baseline"/>
        <w:rPr>
          <w:bCs/>
        </w:rPr>
      </w:pPr>
      <w:r w:rsidRPr="0037456F">
        <w:rPr>
          <w:bCs/>
        </w:rPr>
        <w:t>17.1. tų pačių trijų mėnesių vidutiniu apylinkių arba apygardų administracinių teismų vienam faktiškai dirbančiam teisėjui tenkančiu išnagrinėtų bylų kiekiu;</w:t>
      </w:r>
    </w:p>
    <w:p w14:paraId="6C5E14AA" w14:textId="77777777" w:rsidR="00AC28B9" w:rsidRPr="0037456F" w:rsidRDefault="00AC28B9" w:rsidP="00AC28B9">
      <w:pPr>
        <w:tabs>
          <w:tab w:val="left" w:pos="709"/>
          <w:tab w:val="left" w:pos="1134"/>
          <w:tab w:val="left" w:pos="2345"/>
        </w:tabs>
        <w:suppressAutoHyphens/>
        <w:autoSpaceDN w:val="0"/>
        <w:ind w:firstLine="709"/>
        <w:jc w:val="both"/>
        <w:textAlignment w:val="baseline"/>
        <w:rPr>
          <w:bCs/>
          <w:color w:val="000000"/>
        </w:rPr>
      </w:pPr>
      <w:r w:rsidRPr="0037456F">
        <w:rPr>
          <w:bCs/>
        </w:rPr>
        <w:t xml:space="preserve">17.2. tų pačių trijų mėnesių vidutiniu bendrosios kompetencijos apygardų teismų Civilinių arba Baudžiamųjų bylų skyriaus vienam faktiškai dirbančiam teisėjui tenkančiu išnagrinėtų bylų </w:t>
      </w:r>
      <w:r w:rsidRPr="0037456F">
        <w:rPr>
          <w:bCs/>
          <w:color w:val="000000"/>
        </w:rPr>
        <w:t>kiekiu;</w:t>
      </w:r>
    </w:p>
    <w:p w14:paraId="704BC094" w14:textId="4BAF212F" w:rsidR="00AC28B9" w:rsidRPr="0037456F" w:rsidRDefault="00AC28B9" w:rsidP="00AC28B9">
      <w:pPr>
        <w:tabs>
          <w:tab w:val="left" w:pos="709"/>
          <w:tab w:val="left" w:pos="1134"/>
          <w:tab w:val="left" w:pos="2345"/>
        </w:tabs>
        <w:suppressAutoHyphens/>
        <w:autoSpaceDN w:val="0"/>
        <w:ind w:firstLine="709"/>
        <w:jc w:val="both"/>
        <w:textAlignment w:val="baseline"/>
        <w:rPr>
          <w:bCs/>
          <w:color w:val="000000"/>
        </w:rPr>
      </w:pPr>
      <w:r w:rsidRPr="0037456F">
        <w:rPr>
          <w:bCs/>
          <w:color w:val="000000"/>
        </w:rPr>
        <w:t xml:space="preserve">17.3. </w:t>
      </w:r>
      <w:r w:rsidRPr="0037456F">
        <w:rPr>
          <w:bCs/>
        </w:rPr>
        <w:t xml:space="preserve">tų pačių trijų mėnesių </w:t>
      </w:r>
      <w:r w:rsidRPr="0037456F">
        <w:rPr>
          <w:bCs/>
          <w:color w:val="000000"/>
        </w:rPr>
        <w:t>vidutiniu Lietuvos Aukščiausiojo Teismo ir Lietuvos apeliacinio teismo Civilinių arba Baudžiamųjų bylų skyriaus, Lietuvos vyriausiajame administraciniame teisme – viso teismo vienam faktiškai dirbančiam teisėjui tenkančiu išnagrinėtų bylų kiekiu.</w:t>
      </w:r>
      <w:r w:rsidR="009A11F7" w:rsidRPr="0037456F">
        <w:rPr>
          <w:bCs/>
          <w:color w:val="000000"/>
        </w:rPr>
        <w:t>“</w:t>
      </w:r>
    </w:p>
    <w:p w14:paraId="1898DDB8" w14:textId="587B2E25" w:rsidR="009A11F7" w:rsidRPr="0037456F" w:rsidRDefault="009A11F7" w:rsidP="00AC28B9">
      <w:pPr>
        <w:tabs>
          <w:tab w:val="left" w:pos="709"/>
          <w:tab w:val="left" w:pos="1134"/>
          <w:tab w:val="left" w:pos="2345"/>
        </w:tabs>
        <w:suppressAutoHyphens/>
        <w:autoSpaceDN w:val="0"/>
        <w:ind w:firstLine="709"/>
        <w:jc w:val="both"/>
        <w:textAlignment w:val="baseline"/>
        <w:rPr>
          <w:bCs/>
          <w:color w:val="000000"/>
        </w:rPr>
      </w:pPr>
    </w:p>
    <w:p w14:paraId="19990626" w14:textId="31032E52" w:rsidR="009A11F7" w:rsidRPr="0037456F" w:rsidRDefault="009A11F7" w:rsidP="009A11F7">
      <w:pPr>
        <w:ind w:firstLine="680"/>
        <w:jc w:val="both"/>
        <w:rPr>
          <w:bCs/>
          <w:szCs w:val="24"/>
          <w:lang w:eastAsia="lt-LT"/>
        </w:rPr>
      </w:pPr>
      <w:r w:rsidRPr="0037456F">
        <w:rPr>
          <w:bCs/>
          <w:color w:val="000000"/>
        </w:rPr>
        <w:t xml:space="preserve">6. </w:t>
      </w:r>
      <w:r w:rsidRPr="0037456F">
        <w:rPr>
          <w:bCs/>
          <w:szCs w:val="24"/>
          <w:lang w:eastAsia="lt-LT"/>
        </w:rPr>
        <w:t>Pakeisti 18 punktą ir jį išdėstyti taip:</w:t>
      </w:r>
    </w:p>
    <w:p w14:paraId="2B6B0FC3" w14:textId="05E942C8" w:rsidR="009A11F7" w:rsidRPr="0037456F" w:rsidRDefault="009A11F7" w:rsidP="009A11F7">
      <w:pPr>
        <w:tabs>
          <w:tab w:val="left" w:pos="709"/>
          <w:tab w:val="left" w:pos="1134"/>
          <w:tab w:val="left" w:pos="2345"/>
        </w:tabs>
        <w:suppressAutoHyphens/>
        <w:autoSpaceDN w:val="0"/>
        <w:ind w:firstLine="709"/>
        <w:jc w:val="both"/>
        <w:textAlignment w:val="baseline"/>
        <w:rPr>
          <w:bCs/>
        </w:rPr>
      </w:pPr>
      <w:r w:rsidRPr="0037456F">
        <w:rPr>
          <w:bCs/>
          <w:szCs w:val="24"/>
          <w:lang w:eastAsia="lt-LT"/>
        </w:rPr>
        <w:t>„18.</w:t>
      </w:r>
      <w:r w:rsidRPr="0037456F">
        <w:rPr>
          <w:bCs/>
        </w:rPr>
        <w:t xml:space="preserve"> Padidėjęs darbo krūvis konstatuojamas, jeigu teisėjo išnagrinėtų bylų kiekis per tris mėnesius, buvusius iki atliekamo darbo krūvio padidėjimo vertinimo, yra ne mažiau nei 20 procentų didesnis </w:t>
      </w:r>
      <w:r w:rsidRPr="0037456F">
        <w:rPr>
          <w:bCs/>
          <w:color w:val="000000"/>
        </w:rPr>
        <w:t>už vidutinį vienam faktiškai dirbančiam teisėjui tenkantį išnagrinėtų bylų kiekį, kaip tai nurodyta šio Aprašo 17.1–17.3 papunkčiuose</w:t>
      </w:r>
      <w:r w:rsidRPr="0037456F">
        <w:rPr>
          <w:bCs/>
        </w:rPr>
        <w:t>.“</w:t>
      </w:r>
    </w:p>
    <w:p w14:paraId="6214C7CB" w14:textId="45486B01" w:rsidR="009A11F7" w:rsidRPr="0037456F" w:rsidRDefault="009A11F7" w:rsidP="009A11F7">
      <w:pPr>
        <w:ind w:firstLine="680"/>
        <w:jc w:val="both"/>
        <w:rPr>
          <w:bCs/>
          <w:szCs w:val="24"/>
          <w:lang w:eastAsia="lt-LT"/>
        </w:rPr>
      </w:pPr>
    </w:p>
    <w:p w14:paraId="7A041800" w14:textId="5309FEF2" w:rsidR="009A11F7" w:rsidRPr="0037456F" w:rsidRDefault="009A11F7" w:rsidP="009A11F7">
      <w:pPr>
        <w:tabs>
          <w:tab w:val="left" w:pos="709"/>
          <w:tab w:val="left" w:pos="1134"/>
          <w:tab w:val="left" w:pos="2345"/>
        </w:tabs>
        <w:suppressAutoHyphens/>
        <w:autoSpaceDN w:val="0"/>
        <w:ind w:firstLine="709"/>
        <w:jc w:val="both"/>
        <w:textAlignment w:val="baseline"/>
        <w:rPr>
          <w:bCs/>
          <w:szCs w:val="24"/>
          <w:lang w:eastAsia="lt-LT"/>
        </w:rPr>
      </w:pPr>
      <w:r w:rsidRPr="0037456F">
        <w:rPr>
          <w:bCs/>
          <w:color w:val="000000"/>
        </w:rPr>
        <w:t xml:space="preserve">7. Pakeisti </w:t>
      </w:r>
      <w:r w:rsidRPr="0037456F">
        <w:rPr>
          <w:bCs/>
          <w:szCs w:val="24"/>
          <w:lang w:eastAsia="lt-LT"/>
        </w:rPr>
        <w:t>21 punktą ir jį išdėstyti taip:</w:t>
      </w:r>
    </w:p>
    <w:p w14:paraId="27AAD002" w14:textId="6C99EAA2" w:rsidR="009A11F7" w:rsidRPr="0037456F" w:rsidRDefault="009A11F7" w:rsidP="009A11F7">
      <w:pPr>
        <w:tabs>
          <w:tab w:val="left" w:pos="709"/>
          <w:tab w:val="left" w:pos="1134"/>
          <w:tab w:val="left" w:pos="2345"/>
        </w:tabs>
        <w:suppressAutoHyphens/>
        <w:autoSpaceDN w:val="0"/>
        <w:ind w:firstLine="709"/>
        <w:jc w:val="both"/>
        <w:textAlignment w:val="baseline"/>
        <w:rPr>
          <w:bCs/>
          <w:color w:val="000000"/>
        </w:rPr>
      </w:pPr>
      <w:r w:rsidRPr="0037456F">
        <w:rPr>
          <w:bCs/>
          <w:szCs w:val="24"/>
          <w:lang w:eastAsia="lt-LT"/>
        </w:rPr>
        <w:t xml:space="preserve">„21. </w:t>
      </w:r>
      <w:r w:rsidRPr="0037456F">
        <w:rPr>
          <w:bCs/>
        </w:rPr>
        <w:t xml:space="preserve">Žymaus bylų padaugėjimo pradžia laikomas pirmasis mėnuo, per kurį teisme išnagrinėjamų </w:t>
      </w:r>
      <w:bookmarkStart w:id="9" w:name="_Hlk95467753"/>
      <w:r w:rsidRPr="0037456F">
        <w:rPr>
          <w:bCs/>
        </w:rPr>
        <w:t xml:space="preserve">tam tikros kategorijos bylų </w:t>
      </w:r>
      <w:bookmarkEnd w:id="9"/>
      <w:r w:rsidRPr="0037456F">
        <w:rPr>
          <w:bCs/>
        </w:rPr>
        <w:t xml:space="preserve">skaičius padidėjo daugiau nei 20 procentų lyginant su praėjusio mėnesio tam tikros kategorijos bylų skaičiumi. Nustačius žymaus bylų padaugėjimo pradžią, vėliau kas mėnesį teisme </w:t>
      </w:r>
      <w:bookmarkStart w:id="10" w:name="_Hlk85787227"/>
      <w:r w:rsidRPr="0037456F">
        <w:rPr>
          <w:bCs/>
        </w:rPr>
        <w:t xml:space="preserve">išnagrinėjamų tam tikros kategorijos bylų skaičius lyginamas su praėjusių dvylikos mėnesių, buvusių iki žymaus bylų padaugėjimo pradžios, vidutiniu teisme išnagrinėtų šios kategorijos bylų skaičiumi per mėnesį (krūvio rodikliu). </w:t>
      </w:r>
      <w:bookmarkEnd w:id="10"/>
      <w:r w:rsidRPr="0037456F">
        <w:rPr>
          <w:bCs/>
        </w:rPr>
        <w:t>Tuo atveju, kai teisme išnagrinėtų tam tikros kategorijos bylų skaičius padidėja dėl to, kad tokios bylos perduotos nagrinėti iš kito teismo, išnagrinėtų tam tikros kategorijos bylų skaičius lyginamas su to teismo, iš kurio perduotos bylos, praėjusių dvylikos mėnesių, buvusių iki žymaus bylų padaugėjimo pradžios, vidutiniu teisme išnagrinė</w:t>
      </w:r>
      <w:r w:rsidR="00BB1DDF" w:rsidRPr="0037456F">
        <w:rPr>
          <w:bCs/>
        </w:rPr>
        <w:t>tų</w:t>
      </w:r>
      <w:r w:rsidRPr="0037456F">
        <w:rPr>
          <w:bCs/>
        </w:rPr>
        <w:t xml:space="preserve"> šios kategorijos bylų skaičiumi per mėnesį (krūvio rodikliu).</w:t>
      </w:r>
      <w:r w:rsidR="00337C4C" w:rsidRPr="0037456F">
        <w:rPr>
          <w:bCs/>
        </w:rPr>
        <w:t>“</w:t>
      </w:r>
    </w:p>
    <w:p w14:paraId="74FAC375" w14:textId="77777777" w:rsidR="009A11F7" w:rsidRPr="0037456F" w:rsidRDefault="009A11F7" w:rsidP="009A11F7">
      <w:pPr>
        <w:tabs>
          <w:tab w:val="left" w:pos="709"/>
          <w:tab w:val="left" w:pos="1134"/>
          <w:tab w:val="left" w:pos="2345"/>
        </w:tabs>
        <w:suppressAutoHyphens/>
        <w:autoSpaceDN w:val="0"/>
        <w:ind w:firstLine="709"/>
        <w:jc w:val="both"/>
        <w:textAlignment w:val="baseline"/>
        <w:rPr>
          <w:bCs/>
          <w:color w:val="000000"/>
        </w:rPr>
      </w:pPr>
    </w:p>
    <w:p w14:paraId="5E1BE0B1" w14:textId="7804AE44" w:rsidR="009A11F7" w:rsidRPr="0037456F" w:rsidRDefault="009A11F7" w:rsidP="009A11F7">
      <w:pPr>
        <w:tabs>
          <w:tab w:val="left" w:pos="709"/>
          <w:tab w:val="left" w:pos="1134"/>
          <w:tab w:val="left" w:pos="2345"/>
        </w:tabs>
        <w:suppressAutoHyphens/>
        <w:autoSpaceDN w:val="0"/>
        <w:ind w:firstLine="709"/>
        <w:jc w:val="both"/>
        <w:textAlignment w:val="baseline"/>
        <w:rPr>
          <w:bCs/>
          <w:szCs w:val="24"/>
          <w:lang w:eastAsia="lt-LT"/>
        </w:rPr>
      </w:pPr>
      <w:r w:rsidRPr="0037456F">
        <w:rPr>
          <w:bCs/>
          <w:color w:val="000000"/>
        </w:rPr>
        <w:t xml:space="preserve">8. Pakeisti </w:t>
      </w:r>
      <w:r w:rsidR="0079700B" w:rsidRPr="0037456F">
        <w:rPr>
          <w:bCs/>
          <w:szCs w:val="24"/>
          <w:lang w:eastAsia="lt-LT"/>
        </w:rPr>
        <w:t>23 punktą ir jį išdėstyti taip:</w:t>
      </w:r>
    </w:p>
    <w:p w14:paraId="0917526D" w14:textId="743B52A5" w:rsidR="00337C4C" w:rsidRPr="0037456F" w:rsidRDefault="00337C4C" w:rsidP="00337C4C">
      <w:pPr>
        <w:tabs>
          <w:tab w:val="left" w:pos="709"/>
          <w:tab w:val="left" w:pos="1134"/>
          <w:tab w:val="left" w:pos="2345"/>
        </w:tabs>
        <w:suppressAutoHyphens/>
        <w:autoSpaceDN w:val="0"/>
        <w:ind w:firstLine="709"/>
        <w:jc w:val="both"/>
        <w:textAlignment w:val="baseline"/>
        <w:rPr>
          <w:bCs/>
        </w:rPr>
      </w:pPr>
      <w:r w:rsidRPr="0037456F">
        <w:rPr>
          <w:bCs/>
          <w:szCs w:val="24"/>
          <w:lang w:eastAsia="lt-LT"/>
        </w:rPr>
        <w:t>„</w:t>
      </w:r>
      <w:r w:rsidRPr="0037456F">
        <w:rPr>
          <w:bCs/>
        </w:rPr>
        <w:t>23. Padidėjęs darbo krūvis nustatomas už praėjusį mėnesį, vertinant viso praėjusio mėnesio duomenis apie teisėjo išnagrinėtas</w:t>
      </w:r>
      <w:r w:rsidRPr="0037456F">
        <w:rPr>
          <w:b/>
        </w:rPr>
        <w:t xml:space="preserve"> </w:t>
      </w:r>
      <w:r w:rsidRPr="0037456F">
        <w:rPr>
          <w:bCs/>
        </w:rPr>
        <w:t>tam tikros kategorijos bylas. Vertinant padidėjusį teisėjo darbo krūvį turi būti atsižvelgta ir į teisėjo teisėto nebuvimo darbe laikotarpius. Darbo krūvio duomenys lyginami su praėjusių dvylikos mėnesių, buvusių iki žymaus bylų padaugėjimo pradžios, vidutiniu šio teisėjo išnagrinėtų šios kategorijos bylų skaičiumi per mėnesį.</w:t>
      </w:r>
    </w:p>
    <w:p w14:paraId="5EC1C955" w14:textId="3B18CC2D" w:rsidR="00337C4C" w:rsidRPr="0037456F" w:rsidRDefault="00337C4C" w:rsidP="00337C4C">
      <w:pPr>
        <w:tabs>
          <w:tab w:val="left" w:pos="709"/>
          <w:tab w:val="left" w:pos="1134"/>
          <w:tab w:val="left" w:pos="2345"/>
        </w:tabs>
        <w:suppressAutoHyphens/>
        <w:autoSpaceDN w:val="0"/>
        <w:ind w:firstLine="709"/>
        <w:jc w:val="both"/>
        <w:textAlignment w:val="baseline"/>
        <w:rPr>
          <w:bCs/>
        </w:rPr>
      </w:pPr>
      <w:r w:rsidRPr="0037456F">
        <w:rPr>
          <w:bCs/>
        </w:rPr>
        <w:t>Tuo atveju, kai teisme tam tikros kategorijos bylos anksčiau nebuvo nagrinėjamos, padidėjęs darbo krūvis nustatomas, kai teisėjo išnagrinėtų</w:t>
      </w:r>
      <w:r w:rsidRPr="0037456F">
        <w:rPr>
          <w:b/>
        </w:rPr>
        <w:t xml:space="preserve"> </w:t>
      </w:r>
      <w:r w:rsidRPr="0037456F">
        <w:rPr>
          <w:bCs/>
        </w:rPr>
        <w:t>tam tikros kategorijos bylų kiekis padidėja daugiau nei 20 procentų,</w:t>
      </w:r>
      <w:r w:rsidRPr="0037456F">
        <w:rPr>
          <w:b/>
        </w:rPr>
        <w:t xml:space="preserve"> </w:t>
      </w:r>
      <w:r w:rsidRPr="0037456F">
        <w:rPr>
          <w:bCs/>
        </w:rPr>
        <w:t xml:space="preserve">tačiau ne mažiau nei 10 išnagrinėtų tos kategorijos bylų, lyginant su vidutiniu to </w:t>
      </w:r>
      <w:r w:rsidRPr="0037456F">
        <w:rPr>
          <w:bCs/>
        </w:rPr>
        <w:lastRenderedPageBreak/>
        <w:t>bylos tipo, kuriam priskirtos atitinkamos kategorijos bylos, per mėnesį teisėjo išnagrinėtų bylų kiekiu per praėjusius dvylika mėnesių.</w:t>
      </w:r>
    </w:p>
    <w:p w14:paraId="4B55A263" w14:textId="142EB95E" w:rsidR="00337C4C" w:rsidRPr="0037456F" w:rsidRDefault="00337C4C" w:rsidP="00337C4C">
      <w:pPr>
        <w:tabs>
          <w:tab w:val="left" w:pos="709"/>
          <w:tab w:val="left" w:pos="1134"/>
          <w:tab w:val="left" w:pos="2345"/>
        </w:tabs>
        <w:suppressAutoHyphens/>
        <w:autoSpaceDN w:val="0"/>
        <w:ind w:firstLine="709"/>
        <w:jc w:val="both"/>
        <w:textAlignment w:val="baseline"/>
      </w:pPr>
      <w:r w:rsidRPr="0037456F">
        <w:t>Tuo atveju, kai teisėjas iki žymaus bylų padaugėjimo pradžios teisme nedirbo ir/arba tam tikros kategorijos bylų anksčiau nenagrinėjo, padidėjęs darbo krūvis nustatomas, kai teisėjo išnagrinėtų tam tikros kategorijos bylų kiekis per mėnesį padidėja daugiau nei 20 procentų, tačiau ne mažiau nei 10 bylų, lyginant su praėjusių dvylikos mėnesių, buvusių iki žymaus bylų padaugėjimo pradžios, vidutiniu to teismo teisėjui tenkančiu išnagrinėtų šios kategorijos bylų skaičiumi per mėnesį.“</w:t>
      </w:r>
    </w:p>
    <w:p w14:paraId="5F89F448" w14:textId="0F1F508F" w:rsidR="00D00B7E" w:rsidRPr="0037456F" w:rsidRDefault="00D00B7E" w:rsidP="00337C4C">
      <w:pPr>
        <w:tabs>
          <w:tab w:val="left" w:pos="709"/>
          <w:tab w:val="left" w:pos="1134"/>
          <w:tab w:val="left" w:pos="2345"/>
        </w:tabs>
        <w:suppressAutoHyphens/>
        <w:autoSpaceDN w:val="0"/>
        <w:ind w:firstLine="709"/>
        <w:jc w:val="both"/>
        <w:textAlignment w:val="baseline"/>
      </w:pPr>
    </w:p>
    <w:p w14:paraId="363706F3" w14:textId="1838AAC4" w:rsidR="00D00B7E" w:rsidRPr="0037456F" w:rsidRDefault="00A6533C" w:rsidP="00D00B7E">
      <w:pPr>
        <w:tabs>
          <w:tab w:val="left" w:pos="709"/>
          <w:tab w:val="left" w:pos="1134"/>
          <w:tab w:val="left" w:pos="2345"/>
        </w:tabs>
        <w:suppressAutoHyphens/>
        <w:autoSpaceDN w:val="0"/>
        <w:ind w:firstLine="709"/>
        <w:jc w:val="both"/>
        <w:textAlignment w:val="baseline"/>
        <w:rPr>
          <w:bCs/>
          <w:szCs w:val="24"/>
          <w:lang w:eastAsia="lt-LT"/>
        </w:rPr>
      </w:pPr>
      <w:r>
        <w:rPr>
          <w:bCs/>
          <w:color w:val="000000"/>
        </w:rPr>
        <w:t>9</w:t>
      </w:r>
      <w:r w:rsidR="00D00B7E" w:rsidRPr="0037456F">
        <w:rPr>
          <w:bCs/>
          <w:color w:val="000000"/>
        </w:rPr>
        <w:t xml:space="preserve">. Pakeisti </w:t>
      </w:r>
      <w:r w:rsidR="00D00B7E" w:rsidRPr="0037456F">
        <w:rPr>
          <w:bCs/>
          <w:szCs w:val="24"/>
          <w:lang w:eastAsia="lt-LT"/>
        </w:rPr>
        <w:t>26 punktą ir jį išdėstyti taip:</w:t>
      </w:r>
    </w:p>
    <w:p w14:paraId="4EF36894" w14:textId="3975F2F0" w:rsidR="00D00B7E" w:rsidRPr="0037456F" w:rsidRDefault="00D00B7E" w:rsidP="00D00B7E">
      <w:pPr>
        <w:tabs>
          <w:tab w:val="left" w:pos="851"/>
        </w:tabs>
        <w:suppressAutoHyphens/>
        <w:autoSpaceDN w:val="0"/>
        <w:ind w:firstLine="709"/>
        <w:jc w:val="both"/>
        <w:textAlignment w:val="baseline"/>
      </w:pPr>
      <w:r w:rsidRPr="0037456F">
        <w:rPr>
          <w:bCs/>
          <w:szCs w:val="24"/>
          <w:lang w:eastAsia="lt-LT"/>
        </w:rPr>
        <w:t>„</w:t>
      </w:r>
      <w:r w:rsidRPr="0037456F">
        <w:t>26. Priemokos už</w:t>
      </w:r>
      <w:r w:rsidRPr="0037456F">
        <w:rPr>
          <w:b/>
          <w:color w:val="000000"/>
        </w:rPr>
        <w:t xml:space="preserve"> </w:t>
      </w:r>
      <w:r w:rsidRPr="0037456F">
        <w:rPr>
          <w:bCs/>
          <w:color w:val="000000"/>
        </w:rPr>
        <w:t xml:space="preserve">padidėjusį teisėjo darbo krūvį </w:t>
      </w:r>
      <w:r w:rsidRPr="0037456F">
        <w:rPr>
          <w:bCs/>
          <w:color w:val="000000"/>
          <w:lang w:eastAsia="lt-LT"/>
        </w:rPr>
        <w:t xml:space="preserve">atliekant </w:t>
      </w:r>
      <w:r w:rsidRPr="0037456F">
        <w:rPr>
          <w:lang w:eastAsia="lt-LT"/>
        </w:rPr>
        <w:t xml:space="preserve">kito teisėjo funkcijas arba kai </w:t>
      </w:r>
      <w:r w:rsidRPr="0037456F">
        <w:rPr>
          <w:bCs/>
          <w:color w:val="000000"/>
        </w:rPr>
        <w:t>dėl iš anksto nenumatytų priežasčių žymiai padaugėj</w:t>
      </w:r>
      <w:r w:rsidR="00E96776">
        <w:rPr>
          <w:bCs/>
          <w:color w:val="000000"/>
        </w:rPr>
        <w:t>a</w:t>
      </w:r>
      <w:r w:rsidRPr="0037456F">
        <w:rPr>
          <w:bCs/>
          <w:color w:val="000000"/>
        </w:rPr>
        <w:t xml:space="preserve"> išnagrinėtų tam tikros kategorijos bylų per mėnesį</w:t>
      </w:r>
      <w:r w:rsidRPr="0037456F">
        <w:t xml:space="preserve"> dydis nustatomas remiantis šiais kriterijais: </w:t>
      </w:r>
    </w:p>
    <w:p w14:paraId="6AFFD885" w14:textId="77777777" w:rsidR="00D00B7E" w:rsidRPr="0037456F" w:rsidRDefault="00D00B7E" w:rsidP="00D00B7E">
      <w:pPr>
        <w:tabs>
          <w:tab w:val="left" w:pos="851"/>
        </w:tabs>
        <w:suppressAutoHyphens/>
        <w:autoSpaceDN w:val="0"/>
        <w:ind w:firstLine="709"/>
        <w:jc w:val="both"/>
        <w:textAlignment w:val="baseline"/>
      </w:pPr>
      <w:r w:rsidRPr="0037456F">
        <w:t xml:space="preserve">26.1. kai darbo krūvis padidėja nuo 20 iki 30 procentų skiriama 10 </w:t>
      </w:r>
      <w:r w:rsidRPr="0037456F">
        <w:rPr>
          <w:color w:val="000000"/>
        </w:rPr>
        <w:t xml:space="preserve">procentų teisėjo </w:t>
      </w:r>
      <w:r w:rsidRPr="0037456F">
        <w:t>pareiginės algos dydžio</w:t>
      </w:r>
      <w:r w:rsidRPr="0037456F">
        <w:rPr>
          <w:color w:val="000000"/>
        </w:rPr>
        <w:t xml:space="preserve"> priemoka;</w:t>
      </w:r>
    </w:p>
    <w:p w14:paraId="74224F96" w14:textId="77777777" w:rsidR="00D00B7E" w:rsidRPr="0037456F" w:rsidRDefault="00D00B7E" w:rsidP="00D00B7E">
      <w:pPr>
        <w:tabs>
          <w:tab w:val="left" w:pos="851"/>
        </w:tabs>
        <w:suppressAutoHyphens/>
        <w:autoSpaceDN w:val="0"/>
        <w:ind w:firstLine="709"/>
        <w:jc w:val="both"/>
        <w:textAlignment w:val="baseline"/>
      </w:pPr>
      <w:r w:rsidRPr="0037456F">
        <w:rPr>
          <w:color w:val="000000"/>
        </w:rPr>
        <w:t xml:space="preserve">26.2. </w:t>
      </w:r>
      <w:r w:rsidRPr="0037456F">
        <w:t xml:space="preserve">kai darbo krūvis padidėja nuo 30 iki 40 procentų skiriama 15 </w:t>
      </w:r>
      <w:r w:rsidRPr="0037456F">
        <w:rPr>
          <w:color w:val="000000"/>
        </w:rPr>
        <w:t xml:space="preserve">procentų teisėjo </w:t>
      </w:r>
      <w:r w:rsidRPr="0037456F">
        <w:t>pareiginės algos dydžio</w:t>
      </w:r>
      <w:r w:rsidRPr="0037456F">
        <w:rPr>
          <w:color w:val="000000"/>
        </w:rPr>
        <w:t xml:space="preserve"> priemoka;</w:t>
      </w:r>
    </w:p>
    <w:p w14:paraId="635435A3" w14:textId="77777777" w:rsidR="00D00B7E" w:rsidRPr="0037456F" w:rsidRDefault="00D00B7E" w:rsidP="00D00B7E">
      <w:pPr>
        <w:tabs>
          <w:tab w:val="left" w:pos="851"/>
        </w:tabs>
        <w:suppressAutoHyphens/>
        <w:autoSpaceDN w:val="0"/>
        <w:ind w:firstLine="709"/>
        <w:jc w:val="both"/>
        <w:textAlignment w:val="baseline"/>
      </w:pPr>
      <w:r w:rsidRPr="0037456F">
        <w:rPr>
          <w:color w:val="000000"/>
        </w:rPr>
        <w:t xml:space="preserve">26.3. </w:t>
      </w:r>
      <w:r w:rsidRPr="0037456F">
        <w:t xml:space="preserve">kai darbo krūvis padidėja nuo 40 iki 50 procentų skiriama 20 </w:t>
      </w:r>
      <w:r w:rsidRPr="0037456F">
        <w:rPr>
          <w:color w:val="000000"/>
        </w:rPr>
        <w:t xml:space="preserve">procentų teisėjo </w:t>
      </w:r>
      <w:r w:rsidRPr="0037456F">
        <w:t>pareiginės algos dydžio</w:t>
      </w:r>
      <w:r w:rsidRPr="0037456F">
        <w:rPr>
          <w:color w:val="000000"/>
        </w:rPr>
        <w:t xml:space="preserve"> priemoka;</w:t>
      </w:r>
    </w:p>
    <w:p w14:paraId="309A89B4" w14:textId="77777777" w:rsidR="00D00B7E" w:rsidRPr="0037456F" w:rsidRDefault="00D00B7E" w:rsidP="00D00B7E">
      <w:pPr>
        <w:tabs>
          <w:tab w:val="left" w:pos="851"/>
        </w:tabs>
        <w:suppressAutoHyphens/>
        <w:autoSpaceDN w:val="0"/>
        <w:ind w:firstLine="709"/>
        <w:jc w:val="both"/>
        <w:textAlignment w:val="baseline"/>
      </w:pPr>
      <w:r w:rsidRPr="0037456F">
        <w:rPr>
          <w:color w:val="000000"/>
        </w:rPr>
        <w:t xml:space="preserve">26.4. </w:t>
      </w:r>
      <w:r w:rsidRPr="0037456F">
        <w:t xml:space="preserve">kai darbo krūvis padidėja nuo 50 iki 60 procentų skiriama 25 </w:t>
      </w:r>
      <w:r w:rsidRPr="0037456F">
        <w:rPr>
          <w:color w:val="000000"/>
        </w:rPr>
        <w:t xml:space="preserve">procentų teisėjo </w:t>
      </w:r>
      <w:r w:rsidRPr="0037456F">
        <w:t>pareiginės algos dydžio</w:t>
      </w:r>
      <w:r w:rsidRPr="0037456F">
        <w:rPr>
          <w:color w:val="000000"/>
        </w:rPr>
        <w:t xml:space="preserve"> priemoka;</w:t>
      </w:r>
    </w:p>
    <w:p w14:paraId="33A18FEA" w14:textId="4D2EA858" w:rsidR="00D00B7E" w:rsidRPr="0037456F" w:rsidRDefault="00D00B7E" w:rsidP="00D00B7E">
      <w:pPr>
        <w:tabs>
          <w:tab w:val="left" w:pos="851"/>
        </w:tabs>
        <w:suppressAutoHyphens/>
        <w:autoSpaceDN w:val="0"/>
        <w:ind w:firstLine="709"/>
        <w:jc w:val="both"/>
        <w:textAlignment w:val="baseline"/>
        <w:rPr>
          <w:color w:val="000000"/>
        </w:rPr>
      </w:pPr>
      <w:r w:rsidRPr="0037456F">
        <w:rPr>
          <w:color w:val="000000"/>
        </w:rPr>
        <w:t xml:space="preserve">26.5. </w:t>
      </w:r>
      <w:r w:rsidRPr="0037456F">
        <w:t xml:space="preserve">kai darbo krūvis padidėja 60 ir daugiau procentų skiriama 30 </w:t>
      </w:r>
      <w:r w:rsidRPr="0037456F">
        <w:rPr>
          <w:color w:val="000000"/>
        </w:rPr>
        <w:t xml:space="preserve">procentų teisėjo </w:t>
      </w:r>
      <w:r w:rsidRPr="0037456F">
        <w:t>pareiginės algos dydžio</w:t>
      </w:r>
      <w:r w:rsidRPr="0037456F">
        <w:rPr>
          <w:color w:val="000000"/>
        </w:rPr>
        <w:t xml:space="preserve"> priemoka.“</w:t>
      </w:r>
    </w:p>
    <w:p w14:paraId="51AE4761" w14:textId="11889B4C" w:rsidR="00337C4C" w:rsidRPr="0037456F" w:rsidRDefault="00337C4C" w:rsidP="009A11F7">
      <w:pPr>
        <w:tabs>
          <w:tab w:val="left" w:pos="709"/>
          <w:tab w:val="left" w:pos="1134"/>
          <w:tab w:val="left" w:pos="2345"/>
        </w:tabs>
        <w:suppressAutoHyphens/>
        <w:autoSpaceDN w:val="0"/>
        <w:ind w:firstLine="709"/>
        <w:jc w:val="both"/>
        <w:textAlignment w:val="baseline"/>
        <w:rPr>
          <w:bCs/>
          <w:szCs w:val="24"/>
          <w:lang w:eastAsia="lt-LT"/>
        </w:rPr>
      </w:pPr>
    </w:p>
    <w:bookmarkEnd w:id="8"/>
    <w:p w14:paraId="2F3673EB" w14:textId="77777777" w:rsidR="006A7C44" w:rsidRPr="0037456F" w:rsidRDefault="006A7C44" w:rsidP="006A7C44">
      <w:pPr>
        <w:jc w:val="both"/>
        <w:rPr>
          <w:bCs/>
          <w:szCs w:val="24"/>
        </w:rPr>
      </w:pPr>
    </w:p>
    <w:p w14:paraId="4E1D3E2E" w14:textId="559B5C2E" w:rsidR="007D5698" w:rsidRPr="0037456F" w:rsidRDefault="007D5698" w:rsidP="00034622">
      <w:pPr>
        <w:tabs>
          <w:tab w:val="left" w:pos="7230"/>
        </w:tabs>
        <w:rPr>
          <w:bCs/>
          <w:color w:val="000000"/>
          <w:szCs w:val="24"/>
        </w:rPr>
      </w:pPr>
      <w:r w:rsidRPr="0037456F">
        <w:rPr>
          <w:rFonts w:eastAsia="Calibri"/>
          <w:bCs/>
          <w:color w:val="000000"/>
          <w:szCs w:val="24"/>
        </w:rPr>
        <w:t>Pirminink</w:t>
      </w:r>
      <w:r w:rsidR="003E4FD3" w:rsidRPr="0037456F">
        <w:rPr>
          <w:rFonts w:eastAsia="Calibri"/>
          <w:bCs/>
          <w:color w:val="000000"/>
          <w:szCs w:val="24"/>
        </w:rPr>
        <w:t>ė</w:t>
      </w:r>
      <w:r w:rsidRPr="0037456F">
        <w:rPr>
          <w:rFonts w:eastAsia="Calibri"/>
          <w:bCs/>
          <w:color w:val="000000"/>
          <w:szCs w:val="24"/>
        </w:rPr>
        <w:t xml:space="preserve"> </w:t>
      </w:r>
      <w:r w:rsidR="003E4FD3" w:rsidRPr="0037456F">
        <w:rPr>
          <w:rFonts w:eastAsia="Calibri"/>
          <w:bCs/>
          <w:color w:val="000000"/>
          <w:szCs w:val="24"/>
        </w:rPr>
        <w:tab/>
      </w:r>
      <w:r w:rsidR="003E4FD3" w:rsidRPr="0037456F">
        <w:rPr>
          <w:rFonts w:eastAsia="Calibri"/>
          <w:bCs/>
          <w:color w:val="000000"/>
          <w:szCs w:val="24"/>
        </w:rPr>
        <w:tab/>
        <w:t xml:space="preserve">Sigita </w:t>
      </w:r>
      <w:proofErr w:type="spellStart"/>
      <w:r w:rsidR="003E4FD3" w:rsidRPr="0037456F">
        <w:rPr>
          <w:rFonts w:eastAsia="Calibri"/>
          <w:bCs/>
          <w:color w:val="000000"/>
          <w:szCs w:val="24"/>
        </w:rPr>
        <w:t>Rudėnaitė</w:t>
      </w:r>
      <w:proofErr w:type="spellEnd"/>
      <w:r w:rsidRPr="0037456F">
        <w:rPr>
          <w:bCs/>
          <w:color w:val="000000"/>
          <w:szCs w:val="24"/>
        </w:rPr>
        <w:tab/>
      </w:r>
    </w:p>
    <w:p w14:paraId="5FD97E61" w14:textId="47BB1433" w:rsidR="007D5698" w:rsidRPr="0037456F" w:rsidRDefault="007D5698" w:rsidP="00034622">
      <w:pPr>
        <w:tabs>
          <w:tab w:val="left" w:pos="7230"/>
        </w:tabs>
        <w:ind w:firstLine="851"/>
        <w:rPr>
          <w:rFonts w:eastAsia="Calibri"/>
          <w:bCs/>
          <w:color w:val="000000"/>
          <w:szCs w:val="24"/>
        </w:rPr>
      </w:pPr>
    </w:p>
    <w:p w14:paraId="6F02BB2C" w14:textId="77777777" w:rsidR="00FE24F0" w:rsidRPr="0037456F" w:rsidRDefault="00FE24F0" w:rsidP="00034622">
      <w:pPr>
        <w:tabs>
          <w:tab w:val="left" w:pos="7230"/>
        </w:tabs>
        <w:ind w:firstLine="851"/>
        <w:rPr>
          <w:rFonts w:eastAsia="Calibri"/>
          <w:bCs/>
          <w:color w:val="000000"/>
          <w:szCs w:val="24"/>
        </w:rPr>
      </w:pPr>
    </w:p>
    <w:p w14:paraId="35D23990" w14:textId="664680EC" w:rsidR="0008049A" w:rsidRPr="006A7C44" w:rsidRDefault="007D5698" w:rsidP="00034622">
      <w:pPr>
        <w:tabs>
          <w:tab w:val="left" w:pos="7230"/>
        </w:tabs>
        <w:rPr>
          <w:bCs/>
          <w:szCs w:val="24"/>
        </w:rPr>
      </w:pPr>
      <w:r w:rsidRPr="0037456F">
        <w:rPr>
          <w:rFonts w:eastAsia="Calibri"/>
          <w:bCs/>
          <w:color w:val="000000"/>
          <w:szCs w:val="24"/>
        </w:rPr>
        <w:t>Sekretori</w:t>
      </w:r>
      <w:r w:rsidR="008F2AE5" w:rsidRPr="0037456F">
        <w:rPr>
          <w:rFonts w:eastAsia="Calibri"/>
          <w:bCs/>
          <w:color w:val="000000"/>
          <w:szCs w:val="24"/>
        </w:rPr>
        <w:t>us</w:t>
      </w:r>
      <w:r w:rsidR="003E4FD3" w:rsidRPr="0037456F">
        <w:rPr>
          <w:rFonts w:eastAsia="Calibri"/>
          <w:bCs/>
          <w:color w:val="000000"/>
          <w:szCs w:val="24"/>
        </w:rPr>
        <w:tab/>
        <w:t>Ramūnas Gadliauskas</w:t>
      </w:r>
    </w:p>
    <w:sectPr w:rsidR="0008049A" w:rsidRPr="006A7C44" w:rsidSect="004B758E">
      <w:headerReference w:type="default" r:id="rId9"/>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327C" w14:textId="77777777" w:rsidR="00E578F2" w:rsidRDefault="00E578F2">
      <w:pPr>
        <w:rPr>
          <w:szCs w:val="24"/>
        </w:rPr>
      </w:pPr>
      <w:r>
        <w:rPr>
          <w:szCs w:val="24"/>
        </w:rPr>
        <w:separator/>
      </w:r>
    </w:p>
  </w:endnote>
  <w:endnote w:type="continuationSeparator" w:id="0">
    <w:p w14:paraId="0CA9694C" w14:textId="77777777" w:rsidR="00E578F2" w:rsidRDefault="00E578F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8902" w14:textId="77777777" w:rsidR="00E578F2" w:rsidRDefault="00E578F2">
      <w:pPr>
        <w:rPr>
          <w:szCs w:val="24"/>
        </w:rPr>
      </w:pPr>
      <w:r>
        <w:rPr>
          <w:szCs w:val="24"/>
        </w:rPr>
        <w:separator/>
      </w:r>
    </w:p>
  </w:footnote>
  <w:footnote w:type="continuationSeparator" w:id="0">
    <w:p w14:paraId="26E7B255" w14:textId="77777777" w:rsidR="00E578F2" w:rsidRDefault="00E578F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97658"/>
      <w:docPartObj>
        <w:docPartGallery w:val="Page Numbers (Top of Page)"/>
        <w:docPartUnique/>
      </w:docPartObj>
    </w:sdtPr>
    <w:sdtEndPr/>
    <w:sdtContent>
      <w:p w14:paraId="5DAE0482" w14:textId="77777777" w:rsidR="006A5989" w:rsidRDefault="0076397E">
        <w:pPr>
          <w:pStyle w:val="Antrats"/>
          <w:jc w:val="center"/>
        </w:pPr>
        <w:r>
          <w:fldChar w:fldCharType="begin"/>
        </w:r>
        <w:r>
          <w:instrText>PAGE   \* MERGEFORMAT</w:instrText>
        </w:r>
        <w:r>
          <w:fldChar w:fldCharType="separate"/>
        </w:r>
        <w:r w:rsidR="00851ED0">
          <w:rPr>
            <w:noProof/>
          </w:rPr>
          <w:t>2</w:t>
        </w:r>
        <w:r>
          <w:rPr>
            <w:noProof/>
          </w:rPr>
          <w:fldChar w:fldCharType="end"/>
        </w:r>
      </w:p>
    </w:sdtContent>
  </w:sdt>
  <w:p w14:paraId="77EFD606" w14:textId="77777777" w:rsidR="006A5989" w:rsidRDefault="006A59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F20"/>
    <w:multiLevelType w:val="multilevel"/>
    <w:tmpl w:val="896A47CA"/>
    <w:lvl w:ilvl="0">
      <w:start w:val="1"/>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4B2748BD"/>
    <w:multiLevelType w:val="hybridMultilevel"/>
    <w:tmpl w:val="4F5CD522"/>
    <w:lvl w:ilvl="0" w:tplc="CADE4B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2134168">
    <w:abstractNumId w:val="0"/>
  </w:num>
  <w:num w:numId="2" w16cid:durableId="767043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54"/>
    <w:rsid w:val="00007C7A"/>
    <w:rsid w:val="00013B8A"/>
    <w:rsid w:val="00014563"/>
    <w:rsid w:val="00027680"/>
    <w:rsid w:val="00032BD6"/>
    <w:rsid w:val="00034622"/>
    <w:rsid w:val="00041E51"/>
    <w:rsid w:val="0008049A"/>
    <w:rsid w:val="000860DD"/>
    <w:rsid w:val="0009084C"/>
    <w:rsid w:val="000A1E58"/>
    <w:rsid w:val="000B118B"/>
    <w:rsid w:val="000B2316"/>
    <w:rsid w:val="000E4FD4"/>
    <w:rsid w:val="00142C5F"/>
    <w:rsid w:val="00142E83"/>
    <w:rsid w:val="00164BB9"/>
    <w:rsid w:val="00177D39"/>
    <w:rsid w:val="00180987"/>
    <w:rsid w:val="00191B9A"/>
    <w:rsid w:val="00195A18"/>
    <w:rsid w:val="001A027D"/>
    <w:rsid w:val="001C0B1D"/>
    <w:rsid w:val="001D196E"/>
    <w:rsid w:val="001D36F8"/>
    <w:rsid w:val="001D76FA"/>
    <w:rsid w:val="001E5A2D"/>
    <w:rsid w:val="00205FB5"/>
    <w:rsid w:val="002157C9"/>
    <w:rsid w:val="00233EC8"/>
    <w:rsid w:val="002639F9"/>
    <w:rsid w:val="00263C6B"/>
    <w:rsid w:val="002666F8"/>
    <w:rsid w:val="0028651B"/>
    <w:rsid w:val="00297EF7"/>
    <w:rsid w:val="002C4719"/>
    <w:rsid w:val="002E4454"/>
    <w:rsid w:val="0031738E"/>
    <w:rsid w:val="003262EF"/>
    <w:rsid w:val="00337C4C"/>
    <w:rsid w:val="00340E84"/>
    <w:rsid w:val="00355443"/>
    <w:rsid w:val="00374305"/>
    <w:rsid w:val="0037456F"/>
    <w:rsid w:val="003750BA"/>
    <w:rsid w:val="0038332D"/>
    <w:rsid w:val="0038491A"/>
    <w:rsid w:val="00387496"/>
    <w:rsid w:val="003A5C66"/>
    <w:rsid w:val="003B5695"/>
    <w:rsid w:val="003B6A23"/>
    <w:rsid w:val="003B6E0A"/>
    <w:rsid w:val="003E10E6"/>
    <w:rsid w:val="003E4B24"/>
    <w:rsid w:val="003E4FD3"/>
    <w:rsid w:val="003E5437"/>
    <w:rsid w:val="00403F3B"/>
    <w:rsid w:val="00416368"/>
    <w:rsid w:val="00420C63"/>
    <w:rsid w:val="00455644"/>
    <w:rsid w:val="00461A35"/>
    <w:rsid w:val="00475583"/>
    <w:rsid w:val="00477A8F"/>
    <w:rsid w:val="004B758E"/>
    <w:rsid w:val="004C6D3D"/>
    <w:rsid w:val="004F0062"/>
    <w:rsid w:val="00514F5D"/>
    <w:rsid w:val="00530AF6"/>
    <w:rsid w:val="00536208"/>
    <w:rsid w:val="00536367"/>
    <w:rsid w:val="00553CA3"/>
    <w:rsid w:val="00560D71"/>
    <w:rsid w:val="00561844"/>
    <w:rsid w:val="00566519"/>
    <w:rsid w:val="00567456"/>
    <w:rsid w:val="005736A6"/>
    <w:rsid w:val="00580EF5"/>
    <w:rsid w:val="005877ED"/>
    <w:rsid w:val="005A2645"/>
    <w:rsid w:val="005A2DDD"/>
    <w:rsid w:val="005A4FA8"/>
    <w:rsid w:val="005A711B"/>
    <w:rsid w:val="005B24EF"/>
    <w:rsid w:val="005C0F9B"/>
    <w:rsid w:val="005D350C"/>
    <w:rsid w:val="005D3754"/>
    <w:rsid w:val="005F143A"/>
    <w:rsid w:val="00606199"/>
    <w:rsid w:val="00623D0E"/>
    <w:rsid w:val="006251B3"/>
    <w:rsid w:val="00631817"/>
    <w:rsid w:val="00633EB8"/>
    <w:rsid w:val="00643D1E"/>
    <w:rsid w:val="00651F89"/>
    <w:rsid w:val="00655293"/>
    <w:rsid w:val="00656B2D"/>
    <w:rsid w:val="00666CAA"/>
    <w:rsid w:val="0066729C"/>
    <w:rsid w:val="00675FAD"/>
    <w:rsid w:val="00680827"/>
    <w:rsid w:val="00685513"/>
    <w:rsid w:val="006A5989"/>
    <w:rsid w:val="006A7C44"/>
    <w:rsid w:val="006B6B77"/>
    <w:rsid w:val="006B7445"/>
    <w:rsid w:val="006E7F37"/>
    <w:rsid w:val="0070198E"/>
    <w:rsid w:val="00703D50"/>
    <w:rsid w:val="00717EB9"/>
    <w:rsid w:val="00721C3F"/>
    <w:rsid w:val="00722AC1"/>
    <w:rsid w:val="00723CC8"/>
    <w:rsid w:val="007310B5"/>
    <w:rsid w:val="00743BBE"/>
    <w:rsid w:val="0076397E"/>
    <w:rsid w:val="00787AFD"/>
    <w:rsid w:val="0079296B"/>
    <w:rsid w:val="0079700B"/>
    <w:rsid w:val="007A07DB"/>
    <w:rsid w:val="007A300D"/>
    <w:rsid w:val="007D24BA"/>
    <w:rsid w:val="007D3535"/>
    <w:rsid w:val="007D5698"/>
    <w:rsid w:val="007D5A70"/>
    <w:rsid w:val="007F5079"/>
    <w:rsid w:val="007F720B"/>
    <w:rsid w:val="0080334E"/>
    <w:rsid w:val="008168F5"/>
    <w:rsid w:val="00822BED"/>
    <w:rsid w:val="008324C1"/>
    <w:rsid w:val="00842E24"/>
    <w:rsid w:val="00851ED0"/>
    <w:rsid w:val="00855800"/>
    <w:rsid w:val="00864F15"/>
    <w:rsid w:val="00871DE3"/>
    <w:rsid w:val="00874128"/>
    <w:rsid w:val="00877A96"/>
    <w:rsid w:val="00880ACD"/>
    <w:rsid w:val="00887495"/>
    <w:rsid w:val="008879CC"/>
    <w:rsid w:val="00891CEC"/>
    <w:rsid w:val="0089447A"/>
    <w:rsid w:val="008954DC"/>
    <w:rsid w:val="008A00F9"/>
    <w:rsid w:val="008A1789"/>
    <w:rsid w:val="008B21BA"/>
    <w:rsid w:val="008B35AC"/>
    <w:rsid w:val="008C261C"/>
    <w:rsid w:val="008D5C03"/>
    <w:rsid w:val="008F2AE5"/>
    <w:rsid w:val="008F4CF6"/>
    <w:rsid w:val="009012A4"/>
    <w:rsid w:val="0090438C"/>
    <w:rsid w:val="009075D3"/>
    <w:rsid w:val="009217A5"/>
    <w:rsid w:val="009458D3"/>
    <w:rsid w:val="00947848"/>
    <w:rsid w:val="00950019"/>
    <w:rsid w:val="009528D0"/>
    <w:rsid w:val="00954485"/>
    <w:rsid w:val="009622EE"/>
    <w:rsid w:val="0096594E"/>
    <w:rsid w:val="00970524"/>
    <w:rsid w:val="009706CC"/>
    <w:rsid w:val="00976F0E"/>
    <w:rsid w:val="00977EB9"/>
    <w:rsid w:val="009A11F7"/>
    <w:rsid w:val="009A1960"/>
    <w:rsid w:val="009B3D3C"/>
    <w:rsid w:val="009C43A6"/>
    <w:rsid w:val="009C7CD0"/>
    <w:rsid w:val="009D4B32"/>
    <w:rsid w:val="009E2D51"/>
    <w:rsid w:val="009F1318"/>
    <w:rsid w:val="00A0217D"/>
    <w:rsid w:val="00A07056"/>
    <w:rsid w:val="00A15020"/>
    <w:rsid w:val="00A15FEF"/>
    <w:rsid w:val="00A20E7D"/>
    <w:rsid w:val="00A22849"/>
    <w:rsid w:val="00A43289"/>
    <w:rsid w:val="00A60CD9"/>
    <w:rsid w:val="00A6533C"/>
    <w:rsid w:val="00A664E8"/>
    <w:rsid w:val="00A73E16"/>
    <w:rsid w:val="00A81448"/>
    <w:rsid w:val="00A94A0D"/>
    <w:rsid w:val="00A96970"/>
    <w:rsid w:val="00AA5619"/>
    <w:rsid w:val="00AC1C93"/>
    <w:rsid w:val="00AC28B9"/>
    <w:rsid w:val="00AC3BB7"/>
    <w:rsid w:val="00AC654E"/>
    <w:rsid w:val="00AD23DD"/>
    <w:rsid w:val="00AF2ED4"/>
    <w:rsid w:val="00AF3154"/>
    <w:rsid w:val="00B07A20"/>
    <w:rsid w:val="00B11A1E"/>
    <w:rsid w:val="00B14F19"/>
    <w:rsid w:val="00B27482"/>
    <w:rsid w:val="00B3390A"/>
    <w:rsid w:val="00B34EB8"/>
    <w:rsid w:val="00B36D1D"/>
    <w:rsid w:val="00B41303"/>
    <w:rsid w:val="00B51C7E"/>
    <w:rsid w:val="00B51EC7"/>
    <w:rsid w:val="00B52CB3"/>
    <w:rsid w:val="00B748F0"/>
    <w:rsid w:val="00B75187"/>
    <w:rsid w:val="00B846FD"/>
    <w:rsid w:val="00B86B4E"/>
    <w:rsid w:val="00B9066F"/>
    <w:rsid w:val="00B91BB6"/>
    <w:rsid w:val="00BB12A6"/>
    <w:rsid w:val="00BB1DDF"/>
    <w:rsid w:val="00BB352D"/>
    <w:rsid w:val="00BC04A4"/>
    <w:rsid w:val="00BC2243"/>
    <w:rsid w:val="00BD3424"/>
    <w:rsid w:val="00BD3BE6"/>
    <w:rsid w:val="00BD64CA"/>
    <w:rsid w:val="00C1025C"/>
    <w:rsid w:val="00C17AE5"/>
    <w:rsid w:val="00C324F0"/>
    <w:rsid w:val="00C34804"/>
    <w:rsid w:val="00C733FB"/>
    <w:rsid w:val="00C73E99"/>
    <w:rsid w:val="00C76C83"/>
    <w:rsid w:val="00C7747C"/>
    <w:rsid w:val="00C80527"/>
    <w:rsid w:val="00C83018"/>
    <w:rsid w:val="00C83A90"/>
    <w:rsid w:val="00C96E5B"/>
    <w:rsid w:val="00CB07E5"/>
    <w:rsid w:val="00CC00B8"/>
    <w:rsid w:val="00CC424C"/>
    <w:rsid w:val="00CC5E5E"/>
    <w:rsid w:val="00D00B7E"/>
    <w:rsid w:val="00D0108C"/>
    <w:rsid w:val="00D0273B"/>
    <w:rsid w:val="00D03188"/>
    <w:rsid w:val="00D17C8B"/>
    <w:rsid w:val="00D272AC"/>
    <w:rsid w:val="00D41677"/>
    <w:rsid w:val="00D81BF3"/>
    <w:rsid w:val="00D872A8"/>
    <w:rsid w:val="00DC522D"/>
    <w:rsid w:val="00DD57C3"/>
    <w:rsid w:val="00DE7BB4"/>
    <w:rsid w:val="00DF267E"/>
    <w:rsid w:val="00DF4304"/>
    <w:rsid w:val="00E019DB"/>
    <w:rsid w:val="00E0313B"/>
    <w:rsid w:val="00E10CA9"/>
    <w:rsid w:val="00E14432"/>
    <w:rsid w:val="00E373A0"/>
    <w:rsid w:val="00E55746"/>
    <w:rsid w:val="00E578F2"/>
    <w:rsid w:val="00E61132"/>
    <w:rsid w:val="00E633EE"/>
    <w:rsid w:val="00E66278"/>
    <w:rsid w:val="00E7719B"/>
    <w:rsid w:val="00E80760"/>
    <w:rsid w:val="00E846DE"/>
    <w:rsid w:val="00E96776"/>
    <w:rsid w:val="00EA46AD"/>
    <w:rsid w:val="00EB09A8"/>
    <w:rsid w:val="00EB0A55"/>
    <w:rsid w:val="00EB3209"/>
    <w:rsid w:val="00EB3520"/>
    <w:rsid w:val="00EC317F"/>
    <w:rsid w:val="00ED3B3A"/>
    <w:rsid w:val="00EF7364"/>
    <w:rsid w:val="00F03066"/>
    <w:rsid w:val="00F053F3"/>
    <w:rsid w:val="00F06260"/>
    <w:rsid w:val="00F147A4"/>
    <w:rsid w:val="00F15C18"/>
    <w:rsid w:val="00F27C21"/>
    <w:rsid w:val="00F64C5C"/>
    <w:rsid w:val="00F85358"/>
    <w:rsid w:val="00FA59BA"/>
    <w:rsid w:val="00FB309F"/>
    <w:rsid w:val="00FC133B"/>
    <w:rsid w:val="00FC77CE"/>
    <w:rsid w:val="00FD1CB2"/>
    <w:rsid w:val="00FE21E8"/>
    <w:rsid w:val="00FE24F0"/>
    <w:rsid w:val="00FE7060"/>
    <w:rsid w:val="00FF0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61BA"/>
  <w15:docId w15:val="{5258AF8C-9C32-42B0-A8AC-A8E7A0B3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5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B3520"/>
    <w:rPr>
      <w:rFonts w:ascii="Tahoma" w:hAnsi="Tahoma" w:cs="Tahoma"/>
      <w:sz w:val="16"/>
      <w:szCs w:val="16"/>
    </w:rPr>
  </w:style>
  <w:style w:type="character" w:customStyle="1" w:styleId="DebesliotekstasDiagrama">
    <w:name w:val="Debesėlio tekstas Diagrama"/>
    <w:basedOn w:val="Numatytasispastraiposriftas"/>
    <w:link w:val="Debesliotekstas"/>
    <w:rsid w:val="00EB3520"/>
    <w:rPr>
      <w:rFonts w:ascii="Tahoma" w:hAnsi="Tahoma" w:cs="Tahoma"/>
      <w:sz w:val="16"/>
      <w:szCs w:val="16"/>
    </w:rPr>
  </w:style>
  <w:style w:type="paragraph" w:styleId="Antrats">
    <w:name w:val="header"/>
    <w:basedOn w:val="prastasis"/>
    <w:link w:val="AntratsDiagrama"/>
    <w:uiPriority w:val="99"/>
    <w:rsid w:val="007D5698"/>
    <w:pPr>
      <w:tabs>
        <w:tab w:val="center" w:pos="4819"/>
        <w:tab w:val="right" w:pos="9638"/>
      </w:tabs>
    </w:pPr>
  </w:style>
  <w:style w:type="character" w:customStyle="1" w:styleId="AntratsDiagrama">
    <w:name w:val="Antraštės Diagrama"/>
    <w:basedOn w:val="Numatytasispastraiposriftas"/>
    <w:link w:val="Antrats"/>
    <w:uiPriority w:val="99"/>
    <w:rsid w:val="007D5698"/>
  </w:style>
  <w:style w:type="paragraph" w:styleId="Porat">
    <w:name w:val="footer"/>
    <w:basedOn w:val="prastasis"/>
    <w:link w:val="PoratDiagrama"/>
    <w:rsid w:val="007D5698"/>
    <w:pPr>
      <w:tabs>
        <w:tab w:val="center" w:pos="4819"/>
        <w:tab w:val="right" w:pos="9638"/>
      </w:tabs>
    </w:pPr>
  </w:style>
  <w:style w:type="character" w:customStyle="1" w:styleId="PoratDiagrama">
    <w:name w:val="Poraštė Diagrama"/>
    <w:basedOn w:val="Numatytasispastraiposriftas"/>
    <w:link w:val="Porat"/>
    <w:rsid w:val="007D5698"/>
  </w:style>
  <w:style w:type="character" w:styleId="Vietosrezervavimoenklotekstas">
    <w:name w:val="Placeholder Text"/>
    <w:basedOn w:val="Numatytasispastraiposriftas"/>
    <w:rsid w:val="007D5698"/>
    <w:rPr>
      <w:color w:val="808080"/>
    </w:rPr>
  </w:style>
  <w:style w:type="character" w:styleId="Komentaronuoroda">
    <w:name w:val="annotation reference"/>
    <w:basedOn w:val="Numatytasispastraiposriftas"/>
    <w:uiPriority w:val="99"/>
    <w:rsid w:val="001E5A2D"/>
    <w:rPr>
      <w:sz w:val="16"/>
      <w:szCs w:val="16"/>
    </w:rPr>
  </w:style>
  <w:style w:type="paragraph" w:styleId="Komentarotekstas">
    <w:name w:val="annotation text"/>
    <w:basedOn w:val="prastasis"/>
    <w:link w:val="KomentarotekstasDiagrama"/>
    <w:uiPriority w:val="99"/>
    <w:rsid w:val="001E5A2D"/>
    <w:rPr>
      <w:sz w:val="20"/>
    </w:rPr>
  </w:style>
  <w:style w:type="character" w:customStyle="1" w:styleId="KomentarotekstasDiagrama">
    <w:name w:val="Komentaro tekstas Diagrama"/>
    <w:basedOn w:val="Numatytasispastraiposriftas"/>
    <w:link w:val="Komentarotekstas"/>
    <w:uiPriority w:val="99"/>
    <w:rsid w:val="001E5A2D"/>
    <w:rPr>
      <w:sz w:val="20"/>
    </w:rPr>
  </w:style>
  <w:style w:type="paragraph" w:styleId="Komentarotema">
    <w:name w:val="annotation subject"/>
    <w:basedOn w:val="Komentarotekstas"/>
    <w:next w:val="Komentarotekstas"/>
    <w:link w:val="KomentarotemaDiagrama"/>
    <w:rsid w:val="00AC3BB7"/>
    <w:rPr>
      <w:b/>
      <w:bCs/>
    </w:rPr>
  </w:style>
  <w:style w:type="character" w:customStyle="1" w:styleId="KomentarotemaDiagrama">
    <w:name w:val="Komentaro tema Diagrama"/>
    <w:basedOn w:val="KomentarotekstasDiagrama"/>
    <w:link w:val="Komentarotema"/>
    <w:rsid w:val="00AC3BB7"/>
    <w:rPr>
      <w:b/>
      <w:bCs/>
      <w:sz w:val="20"/>
    </w:rPr>
  </w:style>
  <w:style w:type="paragraph" w:styleId="Sraopastraipa">
    <w:name w:val="List Paragraph"/>
    <w:basedOn w:val="prastasis"/>
    <w:qFormat/>
    <w:rsid w:val="00ED3B3A"/>
    <w:pPr>
      <w:ind w:left="720"/>
      <w:contextualSpacing/>
    </w:pPr>
  </w:style>
  <w:style w:type="paragraph" w:styleId="Puslapioinaostekstas">
    <w:name w:val="footnote text"/>
    <w:basedOn w:val="prastasis"/>
    <w:link w:val="PuslapioinaostekstasDiagrama"/>
    <w:unhideWhenUsed/>
    <w:rsid w:val="000B118B"/>
    <w:rPr>
      <w:rFonts w:eastAsiaTheme="minorHAnsi"/>
      <w:sz w:val="20"/>
    </w:rPr>
  </w:style>
  <w:style w:type="character" w:customStyle="1" w:styleId="PuslapioinaostekstasDiagrama">
    <w:name w:val="Puslapio išnašos tekstas Diagrama"/>
    <w:basedOn w:val="Numatytasispastraiposriftas"/>
    <w:link w:val="Puslapioinaostekstas"/>
    <w:rsid w:val="000B118B"/>
    <w:rPr>
      <w:rFonts w:eastAsiaTheme="minorHAnsi"/>
      <w:sz w:val="20"/>
    </w:rPr>
  </w:style>
  <w:style w:type="character" w:styleId="Puslapioinaosnuoroda">
    <w:name w:val="footnote reference"/>
    <w:basedOn w:val="Numatytasispastraiposriftas"/>
    <w:unhideWhenUsed/>
    <w:rsid w:val="000B118B"/>
    <w:rPr>
      <w:vertAlign w:val="superscript"/>
    </w:rPr>
  </w:style>
  <w:style w:type="paragraph" w:styleId="Pataisymai">
    <w:name w:val="Revision"/>
    <w:hidden/>
    <w:semiHidden/>
    <w:rsid w:val="001D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633297837">
              <w:marLeft w:val="0"/>
              <w:marRight w:val="0"/>
              <w:marTop w:val="0"/>
              <w:marBottom w:val="0"/>
              <w:divBdr>
                <w:top w:val="none" w:sz="0" w:space="0" w:color="auto"/>
                <w:left w:val="none" w:sz="0" w:space="0" w:color="auto"/>
                <w:bottom w:val="none" w:sz="0" w:space="0" w:color="auto"/>
                <w:right w:val="none" w:sz="0" w:space="0" w:color="auto"/>
              </w:divBdr>
            </w:div>
            <w:div w:id="469830849">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064869675">
      <w:bodyDiv w:val="1"/>
      <w:marLeft w:val="0"/>
      <w:marRight w:val="0"/>
      <w:marTop w:val="0"/>
      <w:marBottom w:val="0"/>
      <w:divBdr>
        <w:top w:val="none" w:sz="0" w:space="0" w:color="auto"/>
        <w:left w:val="none" w:sz="0" w:space="0" w:color="auto"/>
        <w:bottom w:val="none" w:sz="0" w:space="0" w:color="auto"/>
        <w:right w:val="none" w:sz="0" w:space="0" w:color="auto"/>
      </w:divBdr>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32377A3-1AEE-4353-B616-A57A7406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5144</Words>
  <Characters>2933</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8061</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Company NTA</cp:lastModifiedBy>
  <cp:revision>22</cp:revision>
  <cp:lastPrinted>2015-12-15T12:32:00Z</cp:lastPrinted>
  <dcterms:created xsi:type="dcterms:W3CDTF">2022-05-11T07:23:00Z</dcterms:created>
  <dcterms:modified xsi:type="dcterms:W3CDTF">2022-05-16T11:31:00Z</dcterms:modified>
</cp:coreProperties>
</file>