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C8D0" w14:textId="48FC571F" w:rsidR="005F5AC0" w:rsidRDefault="008B6A7D" w:rsidP="00E15989">
      <w:pPr>
        <w:jc w:val="center"/>
        <w:rPr>
          <w:rFonts w:eastAsia="Calibri"/>
          <w:b/>
          <w:color w:val="000000"/>
          <w:lang w:eastAsia="en-US"/>
        </w:rPr>
      </w:pPr>
      <w:r w:rsidRPr="008B6A7D">
        <w:rPr>
          <w:rFonts w:eastAsia="Calibri"/>
          <w:b/>
          <w:color w:val="000000"/>
          <w:lang w:eastAsia="en-US"/>
        </w:rPr>
        <w:t>APY</w:t>
      </w:r>
      <w:r w:rsidR="009C3518">
        <w:rPr>
          <w:rFonts w:eastAsia="Calibri"/>
          <w:b/>
          <w:color w:val="000000"/>
          <w:lang w:eastAsia="en-US"/>
        </w:rPr>
        <w:t>GARDŲ</w:t>
      </w:r>
      <w:r w:rsidRPr="008B6A7D">
        <w:rPr>
          <w:rFonts w:eastAsia="Calibri"/>
          <w:b/>
          <w:color w:val="000000"/>
          <w:lang w:eastAsia="en-US"/>
        </w:rPr>
        <w:t xml:space="preserve"> TEISMŲ TEISĖJŲ MOKYMO PROGRAM</w:t>
      </w:r>
      <w:r w:rsidR="00D73486">
        <w:rPr>
          <w:rFonts w:eastAsia="Calibri"/>
          <w:b/>
          <w:color w:val="000000"/>
          <w:lang w:eastAsia="en-US"/>
        </w:rPr>
        <w:t>A</w:t>
      </w:r>
    </w:p>
    <w:p w14:paraId="33646F79" w14:textId="2BA48B82" w:rsidR="008B6A7D" w:rsidRDefault="00206AE4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6288C694" w14:textId="604FE74A" w:rsidR="00206AE4" w:rsidRPr="008B6A7D" w:rsidRDefault="009C3518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CIVILINES</w:t>
      </w:r>
      <w:r w:rsidR="00206AE4">
        <w:rPr>
          <w:rFonts w:eastAsia="Calibri"/>
          <w:b/>
          <w:color w:val="000000"/>
          <w:lang w:eastAsia="en-US"/>
        </w:rPr>
        <w:t xml:space="preserve"> BYLAS NAGRINĖJANTIEMS TEISĖJAMS</w:t>
      </w:r>
    </w:p>
    <w:p w14:paraId="6204C7AE" w14:textId="37CDB145" w:rsidR="00D73486" w:rsidRPr="00D73486" w:rsidRDefault="00D73486" w:rsidP="008B6A7D">
      <w:pPr>
        <w:pStyle w:val="western"/>
        <w:spacing w:before="0" w:beforeAutospacing="0" w:after="0" w:afterAutospacing="0"/>
        <w:rPr>
          <w:b/>
        </w:rPr>
      </w:pPr>
      <w:r w:rsidRPr="00D73486">
        <w:rPr>
          <w:b/>
        </w:rPr>
        <w:t>,,</w:t>
      </w:r>
      <w:r w:rsidR="0060675B">
        <w:rPr>
          <w:b/>
        </w:rPr>
        <w:t>CIVILINIS PROCESAS</w:t>
      </w:r>
      <w:r w:rsidRPr="00D73486">
        <w:rPr>
          <w:b/>
        </w:rPr>
        <w:t>“</w:t>
      </w:r>
    </w:p>
    <w:p w14:paraId="02E3D2F3" w14:textId="52B017DA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F759DF">
        <w:rPr>
          <w:bCs/>
        </w:rPr>
        <w:t>C-II</w:t>
      </w:r>
      <w:r w:rsidR="00D73486">
        <w:rPr>
          <w:bCs/>
        </w:rPr>
        <w:t>/</w:t>
      </w:r>
      <w:r w:rsidR="00F759DF">
        <w:rPr>
          <w:bCs/>
        </w:rPr>
        <w:t>C</w:t>
      </w:r>
      <w:r w:rsidR="0060675B">
        <w:rPr>
          <w:bCs/>
        </w:rPr>
        <w:t>P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E15989" w:rsidRDefault="00101F13" w:rsidP="00265A1A">
      <w:pPr>
        <w:jc w:val="center"/>
        <w:rPr>
          <w:bCs/>
          <w:sz w:val="4"/>
          <w:szCs w:val="4"/>
        </w:rPr>
      </w:pPr>
    </w:p>
    <w:p w14:paraId="3FFA6E57" w14:textId="77777777" w:rsidR="00206AE4" w:rsidRDefault="00206AE4" w:rsidP="00A60FD9">
      <w:pPr>
        <w:jc w:val="center"/>
      </w:pPr>
    </w:p>
    <w:p w14:paraId="5644E5E4" w14:textId="2EB0C1A7" w:rsidR="00101F13" w:rsidRDefault="00101F13" w:rsidP="00A60FD9">
      <w:pPr>
        <w:jc w:val="center"/>
      </w:pPr>
      <w:r w:rsidRPr="0033192F">
        <w:t>20</w:t>
      </w:r>
      <w:r w:rsidR="008B6A7D">
        <w:t>2</w:t>
      </w:r>
      <w:r w:rsidR="00206AE4">
        <w:t>2</w:t>
      </w:r>
      <w:r w:rsidRPr="0033192F">
        <w:t xml:space="preserve"> m. </w:t>
      </w:r>
      <w:r w:rsidR="0060675B">
        <w:t>rugsėjo 12-13</w:t>
      </w:r>
      <w:r w:rsidRPr="0033192F">
        <w:t xml:space="preserve"> d.</w:t>
      </w:r>
    </w:p>
    <w:p w14:paraId="1D24DF64" w14:textId="77777777" w:rsidR="00206AE4" w:rsidRDefault="00206AE4" w:rsidP="00A60FD9">
      <w:pPr>
        <w:jc w:val="center"/>
      </w:pP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2474CBF2" w14:textId="77777777" w:rsidR="0060675B" w:rsidRDefault="0060675B" w:rsidP="0060675B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Doc. dr. Goda </w:t>
            </w:r>
            <w:proofErr w:type="spellStart"/>
            <w:r>
              <w:rPr>
                <w:b/>
                <w:i/>
                <w:iCs/>
              </w:rPr>
              <w:t>Ambrasaitė</w:t>
            </w:r>
            <w:proofErr w:type="spellEnd"/>
            <w:r>
              <w:rPr>
                <w:b/>
                <w:i/>
                <w:iCs/>
              </w:rPr>
              <w:t xml:space="preserve"> - Balynienė</w:t>
            </w:r>
          </w:p>
          <w:p w14:paraId="2FC0BDCF" w14:textId="77777777" w:rsidR="0060675B" w:rsidRDefault="0060675B" w:rsidP="0060675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Privatinės teisės instituto docentė</w:t>
            </w:r>
          </w:p>
          <w:p w14:paraId="103E7F33" w14:textId="77777777" w:rsidR="0060675B" w:rsidRPr="003F4222" w:rsidRDefault="0060675B" w:rsidP="0060675B">
            <w:pPr>
              <w:ind w:right="-108"/>
              <w:jc w:val="both"/>
              <w:rPr>
                <w:i/>
                <w:iCs/>
              </w:rPr>
            </w:pPr>
            <w:r w:rsidRPr="003F4222">
              <w:rPr>
                <w:i/>
                <w:iCs/>
              </w:rPr>
              <w:t>Lietuvos Aukščiausiojo Teismo Civilinių bylų skyriaus teisėja</w:t>
            </w:r>
          </w:p>
          <w:p w14:paraId="48A28891" w14:textId="77777777" w:rsidR="0060675B" w:rsidRPr="003F4222" w:rsidRDefault="0060675B" w:rsidP="0060675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3F4222">
              <w:rPr>
                <w:b/>
                <w:i/>
              </w:rPr>
              <w:t xml:space="preserve">Doc. dr. Žilvinas </w:t>
            </w:r>
            <w:proofErr w:type="spellStart"/>
            <w:r w:rsidRPr="003F4222">
              <w:rPr>
                <w:b/>
                <w:i/>
              </w:rPr>
              <w:t>Terebeiza</w:t>
            </w:r>
            <w:proofErr w:type="spellEnd"/>
          </w:p>
          <w:p w14:paraId="1E5DEFA1" w14:textId="77777777" w:rsidR="0060675B" w:rsidRPr="003F4222" w:rsidRDefault="0060675B" w:rsidP="0060675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3F4222">
              <w:rPr>
                <w:i/>
              </w:rPr>
              <w:t>Mykolo Romerio universiteto Mykolo Romerio teisės mokyklos Privatinės teisės instituto partnerystės docentas</w:t>
            </w:r>
          </w:p>
          <w:p w14:paraId="14BEBBDF" w14:textId="3702849F" w:rsidR="0060675B" w:rsidRDefault="0060675B" w:rsidP="0060675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3F4222">
              <w:rPr>
                <w:i/>
              </w:rPr>
              <w:t>Lietuvos apeliacinio teismo Civilinių bylų skyriaus teisėjas</w:t>
            </w:r>
          </w:p>
          <w:p w14:paraId="76A68EB7" w14:textId="1C8C00AE" w:rsidR="0060675B" w:rsidRDefault="0060675B" w:rsidP="0060675B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 w:rsidRPr="0060675B">
              <w:rPr>
                <w:b/>
                <w:bCs/>
                <w:i/>
              </w:rPr>
              <w:t>Dr. Remigijus Jokubauskas</w:t>
            </w:r>
          </w:p>
          <w:p w14:paraId="6D800EFC" w14:textId="77777777" w:rsidR="0060675B" w:rsidRPr="00F759DF" w:rsidRDefault="0060675B" w:rsidP="0060675B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F759DF">
              <w:rPr>
                <w:i/>
                <w:bdr w:val="none" w:sz="0" w:space="0" w:color="auto" w:frame="1"/>
              </w:rPr>
              <w:t xml:space="preserve">Mykolo Romerio universiteto Teisės mokyklos Privatinės teisės instituto </w:t>
            </w:r>
            <w:r>
              <w:rPr>
                <w:i/>
                <w:bdr w:val="none" w:sz="0" w:space="0" w:color="auto" w:frame="1"/>
              </w:rPr>
              <w:t>lektorius</w:t>
            </w:r>
          </w:p>
          <w:p w14:paraId="4202D5E6" w14:textId="64CBBFD2" w:rsidR="0060675B" w:rsidRPr="0060675B" w:rsidRDefault="0060675B" w:rsidP="0060675B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>
              <w:rPr>
                <w:i/>
                <w:iCs/>
              </w:rPr>
              <w:t>Lietuvos Aukščiausiojo Teismo konsultantas</w:t>
            </w:r>
          </w:p>
          <w:p w14:paraId="743A1F51" w14:textId="77777777" w:rsidR="0060675B" w:rsidRDefault="0060675B" w:rsidP="0060675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Asta Pikelienė</w:t>
            </w:r>
          </w:p>
          <w:p w14:paraId="74D0674D" w14:textId="77777777" w:rsidR="0060675B" w:rsidRDefault="0060675B" w:rsidP="0060675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Tarptautinės ir Europos sąjungos teisės instituto lektorė</w:t>
            </w:r>
          </w:p>
          <w:p w14:paraId="19AB46F8" w14:textId="697B971E" w:rsidR="00ED6B23" w:rsidRPr="003439A0" w:rsidRDefault="0060675B" w:rsidP="003439A0">
            <w:pPr>
              <w:rPr>
                <w:i/>
              </w:rPr>
            </w:pPr>
            <w:r>
              <w:rPr>
                <w:i/>
              </w:rPr>
              <w:t>Vilniaus apygardos teismo Civilinių bylų skyriaus teisėja</w:t>
            </w: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FC73BF3" w14:textId="77777777" w:rsidR="00206AE4" w:rsidRDefault="00206AE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57AA9C0F" w:rsidR="00101F13" w:rsidRPr="002A3798" w:rsidRDefault="00F2365B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3439A0">
        <w:rPr>
          <w:u w:val="single"/>
        </w:rPr>
        <w:t>rugsėjo 12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206AE4">
        <w:trPr>
          <w:trHeight w:val="216"/>
        </w:trPr>
        <w:tc>
          <w:tcPr>
            <w:tcW w:w="827" w:type="dxa"/>
          </w:tcPr>
          <w:p w14:paraId="3437E627" w14:textId="53838CC2" w:rsidR="00101F13" w:rsidRPr="00D55DB6" w:rsidRDefault="003439A0" w:rsidP="00206A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6A7D">
              <w:rPr>
                <w:color w:val="000000"/>
              </w:rPr>
              <w:t>.</w:t>
            </w:r>
            <w:r>
              <w:rPr>
                <w:color w:val="000000"/>
              </w:rPr>
              <w:t>30</w:t>
            </w:r>
          </w:p>
        </w:tc>
        <w:tc>
          <w:tcPr>
            <w:tcW w:w="8992" w:type="dxa"/>
          </w:tcPr>
          <w:p w14:paraId="71A89DB6" w14:textId="73A989DE" w:rsidR="00E15989" w:rsidRPr="00206AE4" w:rsidRDefault="00D55DB6" w:rsidP="00EA00B1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206AE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57E9729F" w:rsidR="00D55DB6" w:rsidRDefault="003439A0" w:rsidP="00206A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D55DB6" w:rsidRPr="003E5139"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0</w:t>
            </w:r>
            <w:r w:rsidR="00D55DB6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6CFC576C" w14:textId="77777777" w:rsidR="003439A0" w:rsidRDefault="003439A0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3439A0">
              <w:rPr>
                <w:b/>
                <w:lang w:eastAsia="en-US"/>
              </w:rPr>
              <w:t>Tarptautinio teismingumo taisyklių praktinio taikymo aspektai</w:t>
            </w:r>
            <w:r>
              <w:rPr>
                <w:b/>
                <w:lang w:eastAsia="en-US"/>
              </w:rPr>
              <w:t>.</w:t>
            </w:r>
          </w:p>
          <w:p w14:paraId="74FAC538" w14:textId="3B4E98A4" w:rsidR="00D55DB6" w:rsidRPr="00206AE4" w:rsidRDefault="00D55DB6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 w:rsidR="003439A0">
              <w:rPr>
                <w:i/>
              </w:rPr>
              <w:t>ė Asta Pikelienė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65A9FD75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759DF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211E58B" w:rsidR="00101F13" w:rsidRPr="00201491" w:rsidRDefault="00101F13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759D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19CA09FD" w:rsidR="00F2365B" w:rsidRPr="00E2373C" w:rsidRDefault="00F759DF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3D79EA80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759DF">
              <w:rPr>
                <w:i/>
                <w:color w:val="000000"/>
                <w:lang w:val="en-GB"/>
              </w:rPr>
              <w:t>2</w:t>
            </w:r>
            <w:r>
              <w:rPr>
                <w:i/>
                <w:color w:val="000000"/>
              </w:rPr>
              <w:t>.</w:t>
            </w:r>
            <w:r w:rsidR="00F759D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4940CA9" w14:textId="6CEB595E" w:rsidR="00101F13" w:rsidRPr="00E11195" w:rsidRDefault="00FA28F6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E11195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7605D6CB" w:rsidR="00FA28F6" w:rsidRPr="00FA28F6" w:rsidRDefault="00F759DF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</w:t>
            </w:r>
          </w:p>
        </w:tc>
        <w:tc>
          <w:tcPr>
            <w:tcW w:w="8992" w:type="dxa"/>
          </w:tcPr>
          <w:p w14:paraId="7E19D77E" w14:textId="77777777" w:rsidR="003439A0" w:rsidRDefault="003439A0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3439A0">
              <w:rPr>
                <w:rFonts w:eastAsia="Calibri"/>
                <w:b/>
                <w:bCs/>
                <w:lang w:eastAsia="en-US"/>
              </w:rPr>
              <w:t>Aktyvus teismo vaidmuo civiliniame procese, įrodinėjimo ypatumai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40D0295E" w14:textId="28E657D0" w:rsidR="00206AE4" w:rsidRPr="008B6A7D" w:rsidRDefault="00206AE4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EF22D6">
              <w:rPr>
                <w:i/>
              </w:rPr>
              <w:t xml:space="preserve">Lektorius </w:t>
            </w:r>
            <w:r w:rsidR="00F759DF" w:rsidRPr="00EF22D6">
              <w:rPr>
                <w:i/>
              </w:rPr>
              <w:t xml:space="preserve">doc. </w:t>
            </w:r>
            <w:r w:rsidRPr="00EF22D6">
              <w:rPr>
                <w:i/>
              </w:rPr>
              <w:t xml:space="preserve">dr. </w:t>
            </w:r>
            <w:r w:rsidR="003439A0">
              <w:rPr>
                <w:i/>
              </w:rPr>
              <w:t xml:space="preserve">Žilvinas </w:t>
            </w:r>
            <w:proofErr w:type="spellStart"/>
            <w:r w:rsidR="003439A0">
              <w:rPr>
                <w:i/>
              </w:rPr>
              <w:t>Terebeiza</w:t>
            </w:r>
            <w:proofErr w:type="spellEnd"/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1032396D" w:rsidR="008B6A7D" w:rsidRPr="008B6A7D" w:rsidRDefault="008B6A7D" w:rsidP="00206AE4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F759DF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</w:t>
            </w:r>
            <w:r w:rsidR="00F759DF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0A85B9A3" w:rsidR="008B6A7D" w:rsidRPr="008B6A7D" w:rsidRDefault="008B6A7D" w:rsidP="00206AE4">
            <w:pPr>
              <w:jc w:val="center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4</w:t>
            </w:r>
            <w:r w:rsidRPr="008B6A7D">
              <w:rPr>
                <w:b/>
                <w:color w:val="000000"/>
              </w:rPr>
              <w:t>.</w:t>
            </w:r>
            <w:r w:rsidR="00F759DF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14:paraId="5B28092A" w14:textId="77777777" w:rsidR="00206AE4" w:rsidRDefault="0078217B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78217B">
              <w:rPr>
                <w:b/>
                <w:bCs/>
              </w:rPr>
              <w:t>Įrodinėjimo naštos paskirstymo civiliniame procese aktualijos</w:t>
            </w:r>
            <w:r>
              <w:rPr>
                <w:b/>
                <w:bCs/>
              </w:rPr>
              <w:t>.</w:t>
            </w:r>
          </w:p>
          <w:p w14:paraId="1EB3F4D5" w14:textId="1B9EBF32" w:rsidR="0078217B" w:rsidRPr="008B6A7D" w:rsidRDefault="0078217B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EF22D6">
              <w:rPr>
                <w:i/>
              </w:rPr>
              <w:t xml:space="preserve">Lektorius doc. dr. </w:t>
            </w:r>
            <w:r>
              <w:rPr>
                <w:i/>
              </w:rPr>
              <w:t xml:space="preserve">Žilvinas </w:t>
            </w:r>
            <w:proofErr w:type="spellStart"/>
            <w:r>
              <w:rPr>
                <w:i/>
              </w:rPr>
              <w:t>Terebeiza</w:t>
            </w:r>
            <w:proofErr w:type="spellEnd"/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74BA287B" w:rsidR="00FA28F6" w:rsidRDefault="00FA28F6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8217B">
              <w:rPr>
                <w:i/>
                <w:color w:val="000000"/>
              </w:rPr>
              <w:t>7.00</w:t>
            </w:r>
          </w:p>
        </w:tc>
        <w:tc>
          <w:tcPr>
            <w:tcW w:w="8992" w:type="dxa"/>
          </w:tcPr>
          <w:p w14:paraId="2DBC39E3" w14:textId="02D7EFC5" w:rsidR="00FA28F6" w:rsidRPr="008B6A7D" w:rsidRDefault="00F759DF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0B3AA0FA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69C5FF7C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1BEDB465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7DEAE69D" w14:textId="77777777" w:rsidR="00206AE4" w:rsidRDefault="00206AE4" w:rsidP="00F2365B">
      <w:pPr>
        <w:rPr>
          <w:color w:val="000000"/>
          <w:u w:val="single"/>
        </w:rPr>
      </w:pPr>
    </w:p>
    <w:p w14:paraId="1AE7327E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43BBE4CF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7F683300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5DE06342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2EFFF550" w14:textId="77777777" w:rsidR="009C3518" w:rsidRDefault="009C3518" w:rsidP="0078217B">
      <w:pPr>
        <w:rPr>
          <w:color w:val="000000"/>
          <w:u w:val="single"/>
        </w:rPr>
      </w:pPr>
    </w:p>
    <w:p w14:paraId="4D0B0801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1B1D5796" w14:textId="26067632" w:rsidR="00B35DB0" w:rsidRDefault="00F2365B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78217B">
        <w:rPr>
          <w:u w:val="single"/>
        </w:rPr>
        <w:t>rugsėjo 13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1F8ADE4" w14:textId="77777777" w:rsidR="00E11195" w:rsidRPr="00E11195" w:rsidRDefault="00E11195" w:rsidP="00C86623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55DB6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241DD2AD" w:rsidR="00D55DB6" w:rsidRPr="00D55DB6" w:rsidRDefault="00D55DB6" w:rsidP="009C3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9073" w:type="dxa"/>
          </w:tcPr>
          <w:p w14:paraId="2F874F4D" w14:textId="28EE7DDF" w:rsidR="00E15989" w:rsidRPr="005F5AC0" w:rsidRDefault="003F1DF6" w:rsidP="00206AE4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  <w:r w:rsidR="00D55DB6">
              <w:rPr>
                <w:bCs/>
                <w:i/>
              </w:rPr>
              <w:t>Dalyvių registracija.</w:t>
            </w:r>
          </w:p>
        </w:tc>
      </w:tr>
      <w:tr w:rsidR="00D55DB6" w:rsidRPr="003E5139" w14:paraId="69337EF0" w14:textId="77777777" w:rsidTr="00EF630B">
        <w:trPr>
          <w:cantSplit/>
        </w:trPr>
        <w:tc>
          <w:tcPr>
            <w:tcW w:w="827" w:type="dxa"/>
          </w:tcPr>
          <w:p w14:paraId="5D504BE1" w14:textId="77777777" w:rsidR="00D55DB6" w:rsidRPr="00D55DB6" w:rsidRDefault="00D55DB6" w:rsidP="009C351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7BECAC" w14:textId="77777777" w:rsidR="00D55DB6" w:rsidRPr="00D55DB6" w:rsidRDefault="00D55DB6" w:rsidP="00D55DB6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55DB6" w:rsidRPr="003E5139" w14:paraId="1E03B0A9" w14:textId="77777777" w:rsidTr="00EF630B">
        <w:trPr>
          <w:cantSplit/>
        </w:trPr>
        <w:tc>
          <w:tcPr>
            <w:tcW w:w="827" w:type="dxa"/>
          </w:tcPr>
          <w:p w14:paraId="3CDA3E32" w14:textId="2843B6C3" w:rsidR="00D55DB6" w:rsidRDefault="00D55DB6" w:rsidP="009C3518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D6A858A" w14:textId="77777777" w:rsidR="003F4222" w:rsidRDefault="003F4222" w:rsidP="003F422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78217B">
              <w:rPr>
                <w:rFonts w:eastAsia="Calibri"/>
                <w:b/>
                <w:bCs/>
                <w:lang w:eastAsia="en-US"/>
              </w:rPr>
              <w:t>Skundų dėl antstolių veiksmų (neveikimo) nagrinėjimo ypatumai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1B90D337" w14:textId="796EC1A1" w:rsidR="00D55DB6" w:rsidRPr="00D55DB6" w:rsidRDefault="003F4222" w:rsidP="003F4222">
            <w:pPr>
              <w:ind w:left="-35"/>
              <w:jc w:val="both"/>
              <w:rPr>
                <w:b/>
                <w:lang w:eastAsia="en-US"/>
              </w:rPr>
            </w:pPr>
            <w:r w:rsidRPr="00EF22D6">
              <w:rPr>
                <w:i/>
              </w:rPr>
              <w:t>Lektor</w:t>
            </w:r>
            <w:r>
              <w:rPr>
                <w:i/>
              </w:rPr>
              <w:t>ius dr. Remigijus Jokubauskas</w:t>
            </w:r>
            <w:r w:rsidRPr="0078217B">
              <w:rPr>
                <w:b/>
                <w:lang w:eastAsia="en-US"/>
              </w:rPr>
              <w:t xml:space="preserve">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5425D6E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0563043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78217B">
              <w:rPr>
                <w:i/>
              </w:rPr>
              <w:t>1</w:t>
            </w:r>
            <w:r>
              <w:rPr>
                <w:i/>
              </w:rPr>
              <w:t>.</w:t>
            </w:r>
            <w:r w:rsidR="0078217B">
              <w:rPr>
                <w:i/>
              </w:rPr>
              <w:t>30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EF22D6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4A556063" w:rsidR="00101F13" w:rsidRPr="001B2877" w:rsidRDefault="00101F13" w:rsidP="00E111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78217B">
              <w:rPr>
                <w:b/>
              </w:rPr>
              <w:t>2</w:t>
            </w:r>
            <w:r>
              <w:rPr>
                <w:b/>
              </w:rPr>
              <w:t>.</w:t>
            </w:r>
            <w:r w:rsidR="0078217B">
              <w:rPr>
                <w:b/>
              </w:rPr>
              <w:t>15</w:t>
            </w:r>
          </w:p>
        </w:tc>
        <w:tc>
          <w:tcPr>
            <w:tcW w:w="9073" w:type="dxa"/>
          </w:tcPr>
          <w:p w14:paraId="329D6507" w14:textId="77777777" w:rsidR="003F4222" w:rsidRDefault="003F4222" w:rsidP="003F4222">
            <w:pPr>
              <w:ind w:left="-35"/>
              <w:jc w:val="both"/>
              <w:rPr>
                <w:b/>
                <w:lang w:eastAsia="en-US"/>
              </w:rPr>
            </w:pPr>
            <w:r w:rsidRPr="0078217B">
              <w:rPr>
                <w:b/>
                <w:lang w:eastAsia="en-US"/>
              </w:rPr>
              <w:t>Apeliacinis procesas: žodinio ir rašytinio proceso principų derinimas, naujų įrodymų priėmimas</w:t>
            </w:r>
            <w:r>
              <w:rPr>
                <w:b/>
                <w:lang w:eastAsia="en-US"/>
              </w:rPr>
              <w:t>.</w:t>
            </w:r>
          </w:p>
          <w:p w14:paraId="21395C71" w14:textId="5B399B6D" w:rsidR="003A35C6" w:rsidRPr="00EF22D6" w:rsidRDefault="003F4222" w:rsidP="003F422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EF22D6">
              <w:rPr>
                <w:i/>
              </w:rPr>
              <w:t>Lektor</w:t>
            </w:r>
            <w:r>
              <w:rPr>
                <w:i/>
              </w:rPr>
              <w:t xml:space="preserve">ė doc. dr. Goda </w:t>
            </w:r>
            <w:proofErr w:type="spellStart"/>
            <w:r>
              <w:rPr>
                <w:i/>
              </w:rPr>
              <w:t>Ambrasaitė</w:t>
            </w:r>
            <w:proofErr w:type="spellEnd"/>
            <w:r>
              <w:rPr>
                <w:i/>
              </w:rPr>
              <w:t xml:space="preserve"> - Balynienė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74F86E9F" w:rsidR="00B35DB0" w:rsidRPr="00B35DB0" w:rsidRDefault="0078217B" w:rsidP="00E11195">
            <w:pPr>
              <w:jc w:val="both"/>
              <w:rPr>
                <w:i/>
              </w:rPr>
            </w:pPr>
            <w:r>
              <w:rPr>
                <w:i/>
              </w:rPr>
              <w:t>14.30</w:t>
            </w:r>
          </w:p>
        </w:tc>
        <w:tc>
          <w:tcPr>
            <w:tcW w:w="9073" w:type="dxa"/>
          </w:tcPr>
          <w:p w14:paraId="306FEC3D" w14:textId="04302136" w:rsidR="00B35DB0" w:rsidRPr="00B35DB0" w:rsidRDefault="0078217B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7878C90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CCCA9DD" w14:textId="521A1621" w:rsidR="00E11195" w:rsidRDefault="00101F13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DCFCC73" w14:textId="37E3372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2C80281" w14:textId="6E14C3D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9D2B1" w14:textId="6704A42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A0319" w14:textId="58F59FE3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39E15" w14:textId="3FD4649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22FFD1" w14:textId="23BCD96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ED3483" w14:textId="0D04553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46E238" w14:textId="0C616F1D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06D40" w14:textId="729BEF3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3F474" w14:textId="5B35F54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0ECD21" w14:textId="12E030E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C0AD17" w14:textId="23BD146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C4DDCF" w14:textId="467E039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5DD828" w14:textId="0A3A57D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499153" w14:textId="5059076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7DC3C7" w14:textId="2DCC561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0FEEC1" w14:textId="65471B4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E89B2" w14:textId="21256B2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8B6F09" w14:textId="072F7FE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4A1C94" w14:textId="6A372F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36B951" w14:textId="68703B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B7FBB1" w14:textId="113F942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23C116" w14:textId="29B33AD1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424E3" w14:textId="5A6804C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8D6C10" w14:textId="43778D1C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C6D4935" w14:textId="679E4E8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371D1B" w14:textId="4064780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5CF7CF" w14:textId="2E9BAF8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AA3E31" w14:textId="0F20975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ECB88C" w14:textId="4570CE6B" w:rsidR="00206AE4" w:rsidRDefault="00206AE4" w:rsidP="00231E98">
      <w:pPr>
        <w:rPr>
          <w:rStyle w:val="Grietas"/>
          <w:bCs/>
          <w:color w:val="000000"/>
          <w:sz w:val="20"/>
          <w:szCs w:val="20"/>
        </w:rPr>
      </w:pPr>
    </w:p>
    <w:p w14:paraId="13ABA681" w14:textId="77777777" w:rsidR="00206AE4" w:rsidRPr="00E15989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33DE7D" w14:textId="77777777" w:rsidR="00E11195" w:rsidRPr="001B2877" w:rsidRDefault="00E11195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E11195" w:rsidRPr="006C196B" w14:paraId="538AFE75" w14:textId="77777777" w:rsidTr="002110D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606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0C626B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4CC7DF0C" w14:textId="77777777" w:rsidR="00E11195" w:rsidRPr="006C196B" w:rsidRDefault="00E11195" w:rsidP="002110D9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2AC49B6A" w14:textId="6FA85190" w:rsidR="00E11195" w:rsidRPr="006C196B" w:rsidRDefault="00E11195" w:rsidP="002110D9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EF22D6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Neringa Sakalauskienė tel. 8 645 52828, el. paštas: </w:t>
            </w:r>
            <w:hyperlink r:id="rId8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E11195" w:rsidRPr="006C196B" w14:paraId="3279058F" w14:textId="77777777" w:rsidTr="002110D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901C" w14:textId="77777777" w:rsidR="00EF22D6" w:rsidRPr="00EF22D6" w:rsidRDefault="00EF22D6" w:rsidP="00EF22D6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22D6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482D6CF2" w14:textId="77777777" w:rsidR="00EF22D6" w:rsidRPr="00EF22D6" w:rsidRDefault="00EF22D6" w:rsidP="00EF22D6">
            <w:pPr>
              <w:jc w:val="center"/>
              <w:rPr>
                <w:color w:val="000000"/>
                <w:sz w:val="16"/>
                <w:szCs w:val="16"/>
              </w:rPr>
            </w:pPr>
            <w:r w:rsidRPr="00EF22D6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EF22D6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1650BD40" w14:textId="11B9539D" w:rsidR="00E11195" w:rsidRPr="006C196B" w:rsidRDefault="00EF22D6" w:rsidP="00EF22D6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EF22D6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EF22D6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EF22D6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2700860">
    <w:abstractNumId w:val="4"/>
  </w:num>
  <w:num w:numId="2" w16cid:durableId="261644082">
    <w:abstractNumId w:val="0"/>
  </w:num>
  <w:num w:numId="3" w16cid:durableId="1348168934">
    <w:abstractNumId w:val="9"/>
  </w:num>
  <w:num w:numId="4" w16cid:durableId="2079934449">
    <w:abstractNumId w:val="2"/>
  </w:num>
  <w:num w:numId="5" w16cid:durableId="1500002631">
    <w:abstractNumId w:val="1"/>
  </w:num>
  <w:num w:numId="6" w16cid:durableId="766272329">
    <w:abstractNumId w:val="3"/>
  </w:num>
  <w:num w:numId="7" w16cid:durableId="1344481314">
    <w:abstractNumId w:val="6"/>
  </w:num>
  <w:num w:numId="8" w16cid:durableId="373237783">
    <w:abstractNumId w:val="11"/>
  </w:num>
  <w:num w:numId="9" w16cid:durableId="1798839538">
    <w:abstractNumId w:val="7"/>
  </w:num>
  <w:num w:numId="10" w16cid:durableId="143473661">
    <w:abstractNumId w:val="10"/>
  </w:num>
  <w:num w:numId="11" w16cid:durableId="1686714804">
    <w:abstractNumId w:val="5"/>
  </w:num>
  <w:num w:numId="12" w16cid:durableId="1851606750">
    <w:abstractNumId w:val="12"/>
  </w:num>
  <w:num w:numId="13" w16cid:durableId="1578319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1E98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39A0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5C6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222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17B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518"/>
    <w:rsid w:val="009C38F3"/>
    <w:rsid w:val="009C3E7F"/>
    <w:rsid w:val="009C58F0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3486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816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2D6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365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6A18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59DF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FC9D788-0178-46B9-9913-8466F83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365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1591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60</cp:revision>
  <cp:lastPrinted>2015-07-08T07:49:00Z</cp:lastPrinted>
  <dcterms:created xsi:type="dcterms:W3CDTF">2017-01-06T07:57:00Z</dcterms:created>
  <dcterms:modified xsi:type="dcterms:W3CDTF">2022-04-25T18:06:00Z</dcterms:modified>
</cp:coreProperties>
</file>