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3DF5" w14:textId="0EE9972B" w:rsidR="005A4FA8" w:rsidRPr="006A7C44" w:rsidRDefault="00576432" w:rsidP="00034622">
      <w:pPr>
        <w:keepNext/>
        <w:ind w:firstLine="851"/>
        <w:jc w:val="center"/>
        <w:rPr>
          <w:b/>
          <w:szCs w:val="24"/>
        </w:rPr>
      </w:pPr>
      <w:r>
        <w:rPr>
          <w:noProof/>
        </w:rPr>
        <w:drawing>
          <wp:inline distT="0" distB="0" distL="0" distR="0" wp14:anchorId="325909B0" wp14:editId="1CD58034">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67EC8ED5" w14:textId="77777777" w:rsidR="0008049A" w:rsidRPr="006A7C44" w:rsidRDefault="007D5698" w:rsidP="00034622">
      <w:pPr>
        <w:keepNext/>
        <w:ind w:firstLine="851"/>
        <w:jc w:val="center"/>
        <w:rPr>
          <w:b/>
          <w:caps/>
          <w:szCs w:val="24"/>
        </w:rPr>
      </w:pPr>
      <w:r w:rsidRPr="003E5437">
        <w:rPr>
          <w:b/>
          <w:caps/>
          <w:szCs w:val="24"/>
        </w:rPr>
        <w:t>TEISĖJŲ TARYBA</w:t>
      </w:r>
    </w:p>
    <w:p w14:paraId="79306F5F" w14:textId="77777777" w:rsidR="0008049A" w:rsidRPr="006A7C44" w:rsidRDefault="0008049A" w:rsidP="00034622">
      <w:pPr>
        <w:keepNext/>
        <w:ind w:firstLine="851"/>
        <w:jc w:val="center"/>
        <w:rPr>
          <w:b/>
          <w:caps/>
          <w:szCs w:val="24"/>
        </w:rPr>
      </w:pPr>
    </w:p>
    <w:p w14:paraId="522D823A" w14:textId="77777777" w:rsidR="0008049A" w:rsidRPr="00C76C83" w:rsidRDefault="007D5698" w:rsidP="00034622">
      <w:pPr>
        <w:keepNext/>
        <w:ind w:firstLine="851"/>
        <w:jc w:val="center"/>
        <w:rPr>
          <w:b/>
          <w:caps/>
          <w:szCs w:val="24"/>
        </w:rPr>
      </w:pPr>
      <w:r w:rsidRPr="00C76C83">
        <w:rPr>
          <w:b/>
          <w:caps/>
          <w:szCs w:val="24"/>
        </w:rPr>
        <w:t>NUTARIMAS</w:t>
      </w:r>
    </w:p>
    <w:p w14:paraId="36E9C882" w14:textId="76159A6D" w:rsidR="0008049A" w:rsidRPr="00C76C83" w:rsidRDefault="007D5698" w:rsidP="007C553C">
      <w:pPr>
        <w:ind w:firstLine="851"/>
        <w:jc w:val="center"/>
        <w:rPr>
          <w:b/>
          <w:caps/>
          <w:szCs w:val="24"/>
        </w:rPr>
      </w:pPr>
      <w:bookmarkStart w:id="0" w:name="_Hlk31014389"/>
      <w:r w:rsidRPr="00C76C83">
        <w:rPr>
          <w:b/>
          <w:caps/>
          <w:szCs w:val="24"/>
        </w:rPr>
        <w:t>dėl TEISĖJŲ TARYBOS 20</w:t>
      </w:r>
      <w:r w:rsidR="007C553C">
        <w:rPr>
          <w:b/>
          <w:caps/>
          <w:szCs w:val="24"/>
        </w:rPr>
        <w:t>17</w:t>
      </w:r>
      <w:r w:rsidRPr="00C76C83">
        <w:rPr>
          <w:b/>
          <w:caps/>
          <w:szCs w:val="24"/>
        </w:rPr>
        <w:t xml:space="preserve"> m. </w:t>
      </w:r>
      <w:r w:rsidR="007C553C">
        <w:rPr>
          <w:b/>
          <w:caps/>
          <w:szCs w:val="24"/>
        </w:rPr>
        <w:t>kovo 3</w:t>
      </w:r>
      <w:r w:rsidR="00C76C83" w:rsidRPr="00C76C83">
        <w:rPr>
          <w:b/>
          <w:caps/>
          <w:szCs w:val="24"/>
        </w:rPr>
        <w:t>1</w:t>
      </w:r>
      <w:r w:rsidRPr="00C76C83">
        <w:rPr>
          <w:b/>
          <w:caps/>
          <w:szCs w:val="24"/>
        </w:rPr>
        <w:t xml:space="preserve"> d. nutarim</w:t>
      </w:r>
      <w:r w:rsidR="00851ED0" w:rsidRPr="00C76C83">
        <w:rPr>
          <w:b/>
          <w:caps/>
          <w:szCs w:val="24"/>
        </w:rPr>
        <w:t>o</w:t>
      </w:r>
      <w:r w:rsidRPr="00C76C83">
        <w:rPr>
          <w:b/>
          <w:caps/>
          <w:szCs w:val="24"/>
        </w:rPr>
        <w:t xml:space="preserve"> Nr. 13P-</w:t>
      </w:r>
      <w:r w:rsidR="007C553C">
        <w:rPr>
          <w:b/>
          <w:caps/>
          <w:szCs w:val="24"/>
        </w:rPr>
        <w:t>61</w:t>
      </w:r>
      <w:r w:rsidR="00C76C83" w:rsidRPr="00C76C83">
        <w:rPr>
          <w:b/>
          <w:caps/>
          <w:szCs w:val="24"/>
        </w:rPr>
        <w:t xml:space="preserve">-(7.1.2) </w:t>
      </w:r>
      <w:r w:rsidRPr="00C76C83">
        <w:rPr>
          <w:b/>
          <w:caps/>
          <w:szCs w:val="24"/>
        </w:rPr>
        <w:t>„Dėl</w:t>
      </w:r>
      <w:r w:rsidR="007C553C">
        <w:rPr>
          <w:b/>
          <w:caps/>
          <w:szCs w:val="24"/>
        </w:rPr>
        <w:t xml:space="preserve"> </w:t>
      </w:r>
      <w:r w:rsidR="007C553C" w:rsidRPr="00453F94">
        <w:rPr>
          <w:b/>
        </w:rPr>
        <w:t>NEVIEŠŲ DUOMENŲ TVARKYMO LIETUVOS TEISMŲ INFORMACINĖJE SISTEMOJE TVARKOS</w:t>
      </w:r>
      <w:r w:rsidR="007C553C">
        <w:rPr>
          <w:b/>
          <w:caps/>
          <w:szCs w:val="24"/>
        </w:rPr>
        <w:t xml:space="preserve"> </w:t>
      </w:r>
      <w:r w:rsidR="00C76C83" w:rsidRPr="00C76C83">
        <w:rPr>
          <w:b/>
          <w:caps/>
          <w:szCs w:val="24"/>
        </w:rPr>
        <w:t>aprašo patvirtinimo</w:t>
      </w:r>
      <w:r w:rsidRPr="00C76C83">
        <w:rPr>
          <w:b/>
          <w:caps/>
          <w:szCs w:val="24"/>
        </w:rPr>
        <w:t>“ PAKEITIMO</w:t>
      </w:r>
    </w:p>
    <w:bookmarkEnd w:id="0"/>
    <w:p w14:paraId="41BDEA1C" w14:textId="77777777" w:rsidR="0008049A" w:rsidRPr="003E5437" w:rsidRDefault="0008049A" w:rsidP="00034622">
      <w:pPr>
        <w:ind w:firstLine="851"/>
        <w:jc w:val="center"/>
        <w:rPr>
          <w:bCs/>
          <w:szCs w:val="24"/>
        </w:rPr>
      </w:pPr>
    </w:p>
    <w:p w14:paraId="2DCB0792" w14:textId="6FAF11E8" w:rsidR="0008049A" w:rsidRPr="006A7C44" w:rsidRDefault="007D5698" w:rsidP="00034622">
      <w:pPr>
        <w:ind w:firstLine="851"/>
        <w:jc w:val="center"/>
        <w:rPr>
          <w:bCs/>
          <w:szCs w:val="24"/>
        </w:rPr>
      </w:pPr>
      <w:r w:rsidRPr="006A7C44">
        <w:rPr>
          <w:bCs/>
          <w:szCs w:val="24"/>
        </w:rPr>
        <w:t>20</w:t>
      </w:r>
      <w:r w:rsidR="004F0062" w:rsidRPr="006A7C44">
        <w:rPr>
          <w:bCs/>
          <w:szCs w:val="24"/>
        </w:rPr>
        <w:t>2</w:t>
      </w:r>
      <w:r w:rsidR="00C76C83">
        <w:rPr>
          <w:bCs/>
          <w:szCs w:val="24"/>
        </w:rPr>
        <w:t>2</w:t>
      </w:r>
      <w:r w:rsidRPr="006A7C44">
        <w:rPr>
          <w:bCs/>
          <w:szCs w:val="24"/>
        </w:rPr>
        <w:t xml:space="preserve"> m</w:t>
      </w:r>
      <w:r w:rsidR="005A4FA8" w:rsidRPr="006A7C44">
        <w:rPr>
          <w:bCs/>
          <w:szCs w:val="24"/>
        </w:rPr>
        <w:t xml:space="preserve">.  </w:t>
      </w:r>
      <w:r w:rsidR="00576432">
        <w:rPr>
          <w:bCs/>
          <w:szCs w:val="24"/>
        </w:rPr>
        <w:t>spalio 28</w:t>
      </w:r>
      <w:r w:rsidR="005A4FA8" w:rsidRPr="006A7C44">
        <w:rPr>
          <w:bCs/>
          <w:szCs w:val="24"/>
        </w:rPr>
        <w:t xml:space="preserve"> d. Nr. 13P-</w:t>
      </w:r>
      <w:r w:rsidR="00F028CE">
        <w:rPr>
          <w:bCs/>
          <w:szCs w:val="24"/>
        </w:rPr>
        <w:t>204</w:t>
      </w:r>
      <w:r w:rsidRPr="006A7C44">
        <w:rPr>
          <w:bCs/>
          <w:szCs w:val="24"/>
        </w:rPr>
        <w:t>-(7.1.2</w:t>
      </w:r>
      <w:r w:rsidR="00576432">
        <w:rPr>
          <w:bCs/>
          <w:szCs w:val="24"/>
        </w:rPr>
        <w:t>.</w:t>
      </w:r>
      <w:r w:rsidRPr="006A7C44">
        <w:rPr>
          <w:bCs/>
          <w:szCs w:val="24"/>
        </w:rPr>
        <w:t>)</w:t>
      </w:r>
    </w:p>
    <w:p w14:paraId="60EE25E2" w14:textId="77777777" w:rsidR="0008049A" w:rsidRPr="006A7C44" w:rsidRDefault="007D5698" w:rsidP="00034622">
      <w:pPr>
        <w:ind w:firstLine="851"/>
        <w:jc w:val="center"/>
        <w:rPr>
          <w:bCs/>
          <w:szCs w:val="24"/>
        </w:rPr>
      </w:pPr>
      <w:r w:rsidRPr="006A7C44">
        <w:rPr>
          <w:bCs/>
          <w:szCs w:val="24"/>
        </w:rPr>
        <w:t>Vilnius</w:t>
      </w:r>
    </w:p>
    <w:p w14:paraId="2B3031A2" w14:textId="77777777" w:rsidR="0008049A" w:rsidRPr="006A7C44" w:rsidRDefault="0008049A" w:rsidP="00034622">
      <w:pPr>
        <w:ind w:firstLine="851"/>
        <w:jc w:val="center"/>
        <w:rPr>
          <w:bCs/>
          <w:szCs w:val="24"/>
        </w:rPr>
      </w:pPr>
    </w:p>
    <w:p w14:paraId="05EC82D5" w14:textId="2FD7B8AE" w:rsidR="00C76C83" w:rsidRDefault="003E5437" w:rsidP="00576432">
      <w:pPr>
        <w:spacing w:line="276" w:lineRule="auto"/>
        <w:ind w:firstLine="720"/>
        <w:jc w:val="both"/>
      </w:pPr>
      <w:r w:rsidRPr="006A7C44">
        <w:rPr>
          <w:bCs/>
          <w:szCs w:val="24"/>
        </w:rPr>
        <w:t xml:space="preserve">Vadovaudamasi </w:t>
      </w:r>
      <w:r w:rsidR="00C76C83" w:rsidRPr="006672E5">
        <w:t xml:space="preserve">Lietuvos Respublikos teismų įstatymo 120 straipsnio 17 punktu, </w:t>
      </w:r>
      <w:r w:rsidR="00C76C83">
        <w:t>Teisėjų taryba</w:t>
      </w:r>
      <w:r w:rsidR="00C76C83" w:rsidRPr="006672E5">
        <w:t xml:space="preserve"> n u t a r i a:</w:t>
      </w:r>
    </w:p>
    <w:p w14:paraId="25CEAB86" w14:textId="041E2AF6" w:rsidR="00F86AB7" w:rsidRDefault="003E5437" w:rsidP="00576432">
      <w:pPr>
        <w:spacing w:line="276" w:lineRule="auto"/>
        <w:ind w:firstLine="720"/>
        <w:jc w:val="both"/>
        <w:rPr>
          <w:bCs/>
          <w:szCs w:val="24"/>
        </w:rPr>
      </w:pPr>
      <w:r w:rsidRPr="006A7C44">
        <w:rPr>
          <w:bCs/>
          <w:szCs w:val="24"/>
        </w:rPr>
        <w:t xml:space="preserve">Pakeisti </w:t>
      </w:r>
      <w:bookmarkStart w:id="1" w:name="_Hlk90449529"/>
      <w:bookmarkStart w:id="2" w:name="_Hlk95230819"/>
      <w:bookmarkStart w:id="3" w:name="_Hlk90449828"/>
      <w:r w:rsidR="006251B3" w:rsidRPr="006A7C44">
        <w:rPr>
          <w:bCs/>
          <w:szCs w:val="24"/>
        </w:rPr>
        <w:t xml:space="preserve">Teisėjų tarybos </w:t>
      </w:r>
      <w:r w:rsidR="007C553C">
        <w:rPr>
          <w:bCs/>
          <w:szCs w:val="24"/>
        </w:rPr>
        <w:t>2017</w:t>
      </w:r>
      <w:r w:rsidR="006251B3">
        <w:rPr>
          <w:bCs/>
          <w:szCs w:val="24"/>
        </w:rPr>
        <w:t xml:space="preserve"> </w:t>
      </w:r>
      <w:r w:rsidR="006251B3" w:rsidRPr="006A7C44">
        <w:rPr>
          <w:bCs/>
          <w:szCs w:val="24"/>
        </w:rPr>
        <w:t xml:space="preserve">m. </w:t>
      </w:r>
      <w:r w:rsidR="007C553C">
        <w:rPr>
          <w:bCs/>
          <w:szCs w:val="24"/>
        </w:rPr>
        <w:t>kovo 31</w:t>
      </w:r>
      <w:r w:rsidR="006251B3">
        <w:rPr>
          <w:bCs/>
          <w:szCs w:val="24"/>
        </w:rPr>
        <w:t xml:space="preserve"> </w:t>
      </w:r>
      <w:r w:rsidR="006251B3" w:rsidRPr="006A7C44">
        <w:rPr>
          <w:bCs/>
          <w:szCs w:val="24"/>
        </w:rPr>
        <w:t>d. nutarimu Nr. 13P-</w:t>
      </w:r>
      <w:r w:rsidR="007C553C">
        <w:rPr>
          <w:bCs/>
          <w:szCs w:val="24"/>
        </w:rPr>
        <w:t>61</w:t>
      </w:r>
      <w:r w:rsidR="006251B3" w:rsidRPr="006A7C44">
        <w:rPr>
          <w:bCs/>
          <w:szCs w:val="24"/>
        </w:rPr>
        <w:t>-(7.1.2) „Dėl</w:t>
      </w:r>
      <w:r w:rsidR="006251B3">
        <w:rPr>
          <w:bCs/>
          <w:szCs w:val="24"/>
        </w:rPr>
        <w:t xml:space="preserve"> </w:t>
      </w:r>
      <w:r w:rsidR="007C553C" w:rsidRPr="000B28D4">
        <w:rPr>
          <w:rFonts w:eastAsia="Calibri"/>
          <w:szCs w:val="24"/>
        </w:rPr>
        <w:t>Neviešų duomenų tvarkymo Lietuvos teismų informacinėje sistemoje tvarkos apraš</w:t>
      </w:r>
      <w:r w:rsidR="007C553C">
        <w:rPr>
          <w:rFonts w:eastAsia="Calibri"/>
          <w:szCs w:val="24"/>
        </w:rPr>
        <w:t>o patvirtinimo“</w:t>
      </w:r>
      <w:r w:rsidR="007C553C">
        <w:rPr>
          <w:bCs/>
          <w:szCs w:val="24"/>
        </w:rPr>
        <w:t xml:space="preserve"> </w:t>
      </w:r>
      <w:r w:rsidR="006251B3">
        <w:rPr>
          <w:bCs/>
          <w:szCs w:val="24"/>
        </w:rPr>
        <w:t xml:space="preserve">patvirtintą </w:t>
      </w:r>
      <w:r w:rsidR="007C553C" w:rsidRPr="000B28D4">
        <w:rPr>
          <w:rFonts w:eastAsia="Calibri"/>
          <w:szCs w:val="24"/>
        </w:rPr>
        <w:t xml:space="preserve">Neviešų duomenų tvarkymo Lietuvos teismų informacinėje sistemoje </w:t>
      </w:r>
      <w:r w:rsidR="00C76C83" w:rsidRPr="00B02BD9">
        <w:t>tvarkos apraš</w:t>
      </w:r>
      <w:bookmarkEnd w:id="1"/>
      <w:r w:rsidR="00C76C83" w:rsidRPr="00B02BD9">
        <w:t>ą</w:t>
      </w:r>
      <w:bookmarkEnd w:id="2"/>
      <w:bookmarkEnd w:id="3"/>
      <w:r w:rsidRPr="006A7C44">
        <w:rPr>
          <w:bCs/>
          <w:szCs w:val="24"/>
        </w:rPr>
        <w:t>:</w:t>
      </w:r>
    </w:p>
    <w:p w14:paraId="6CCB7D1B" w14:textId="5D988DC6" w:rsidR="00A4146E" w:rsidRPr="00612A8B" w:rsidRDefault="00C76C83" w:rsidP="00576432">
      <w:pPr>
        <w:spacing w:line="276" w:lineRule="auto"/>
        <w:ind w:firstLine="680"/>
        <w:rPr>
          <w:bCs/>
          <w:lang w:eastAsia="lt-LT"/>
        </w:rPr>
      </w:pPr>
      <w:r w:rsidRPr="00612A8B">
        <w:rPr>
          <w:bCs/>
          <w:szCs w:val="24"/>
        </w:rPr>
        <w:t xml:space="preserve">1. </w:t>
      </w:r>
      <w:r w:rsidR="00A4146E" w:rsidRPr="00612A8B">
        <w:rPr>
          <w:bCs/>
          <w:szCs w:val="24"/>
          <w:lang w:eastAsia="lt-LT"/>
        </w:rPr>
        <w:t>Papildyti 10</w:t>
      </w:r>
      <w:r w:rsidR="00A4146E" w:rsidRPr="00612A8B">
        <w:rPr>
          <w:bCs/>
          <w:szCs w:val="24"/>
          <w:vertAlign w:val="superscript"/>
          <w:lang w:eastAsia="lt-LT"/>
        </w:rPr>
        <w:t xml:space="preserve">1 </w:t>
      </w:r>
      <w:r w:rsidR="00A4146E" w:rsidRPr="00612A8B">
        <w:rPr>
          <w:bCs/>
          <w:szCs w:val="24"/>
          <w:lang w:eastAsia="lt-LT"/>
        </w:rPr>
        <w:t>punktu:</w:t>
      </w:r>
    </w:p>
    <w:p w14:paraId="3752A630" w14:textId="7D4A1945" w:rsidR="00E80AE7" w:rsidRPr="00622BE7" w:rsidRDefault="00612A8B" w:rsidP="00576432">
      <w:pPr>
        <w:tabs>
          <w:tab w:val="left" w:pos="709"/>
          <w:tab w:val="left" w:pos="993"/>
          <w:tab w:val="left" w:pos="1134"/>
        </w:tabs>
        <w:spacing w:line="276" w:lineRule="auto"/>
        <w:jc w:val="both"/>
        <w:rPr>
          <w:bCs/>
          <w:color w:val="000000"/>
          <w:szCs w:val="24"/>
          <w:shd w:val="clear" w:color="auto" w:fill="FFFFFF"/>
        </w:rPr>
      </w:pPr>
      <w:r w:rsidRPr="00612C4A">
        <w:rPr>
          <w:bCs/>
          <w:szCs w:val="24"/>
        </w:rPr>
        <w:tab/>
      </w:r>
      <w:r w:rsidR="00A4146E" w:rsidRPr="00612C4A">
        <w:rPr>
          <w:bCs/>
          <w:szCs w:val="24"/>
        </w:rPr>
        <w:t>„</w:t>
      </w:r>
      <w:r w:rsidR="00A4146E" w:rsidRPr="00612C4A">
        <w:rPr>
          <w:bCs/>
          <w:szCs w:val="24"/>
          <w:lang w:eastAsia="lt-LT"/>
        </w:rPr>
        <w:t>10</w:t>
      </w:r>
      <w:r w:rsidR="00A4146E" w:rsidRPr="00612C4A">
        <w:rPr>
          <w:bCs/>
          <w:szCs w:val="24"/>
          <w:vertAlign w:val="superscript"/>
          <w:lang w:eastAsia="lt-LT"/>
        </w:rPr>
        <w:t>1</w:t>
      </w:r>
      <w:r w:rsidR="00A4146E" w:rsidRPr="00612C4A">
        <w:rPr>
          <w:bCs/>
          <w:szCs w:val="24"/>
          <w:lang w:eastAsia="lt-LT"/>
        </w:rPr>
        <w:t xml:space="preserve">. </w:t>
      </w:r>
      <w:r w:rsidR="00A76718" w:rsidRPr="00612C4A">
        <w:rPr>
          <w:bCs/>
          <w:szCs w:val="24"/>
          <w:lang w:eastAsia="lt-LT"/>
        </w:rPr>
        <w:t xml:space="preserve">Teisme gavus </w:t>
      </w:r>
      <w:r w:rsidR="00B05DFB" w:rsidRPr="00612C4A">
        <w:rPr>
          <w:bCs/>
          <w:szCs w:val="24"/>
          <w:lang w:eastAsia="lt-LT"/>
        </w:rPr>
        <w:t xml:space="preserve">bylą, kurioje yra </w:t>
      </w:r>
      <w:r w:rsidR="00612C4A" w:rsidRPr="00612C4A">
        <w:rPr>
          <w:bCs/>
          <w:szCs w:val="24"/>
          <w:lang w:eastAsia="lt-LT"/>
        </w:rPr>
        <w:t xml:space="preserve">poreikis apsaugoti </w:t>
      </w:r>
      <w:r w:rsidR="00A76718" w:rsidRPr="00612C4A">
        <w:rPr>
          <w:bCs/>
          <w:szCs w:val="24"/>
        </w:rPr>
        <w:t>jautri</w:t>
      </w:r>
      <w:r w:rsidR="00612C4A" w:rsidRPr="00612C4A">
        <w:rPr>
          <w:bCs/>
          <w:szCs w:val="24"/>
        </w:rPr>
        <w:t>us</w:t>
      </w:r>
      <w:r w:rsidR="00A76718" w:rsidRPr="00612C4A">
        <w:rPr>
          <w:bCs/>
          <w:szCs w:val="24"/>
        </w:rPr>
        <w:t xml:space="preserve"> asmens</w:t>
      </w:r>
      <w:r w:rsidR="00B05DFB" w:rsidRPr="00612C4A">
        <w:rPr>
          <w:bCs/>
          <w:szCs w:val="24"/>
        </w:rPr>
        <w:t xml:space="preserve"> </w:t>
      </w:r>
      <w:r w:rsidR="00A76718" w:rsidRPr="00612C4A">
        <w:rPr>
          <w:bCs/>
          <w:szCs w:val="24"/>
        </w:rPr>
        <w:t>duomen</w:t>
      </w:r>
      <w:r w:rsidR="00612C4A" w:rsidRPr="00612C4A">
        <w:rPr>
          <w:bCs/>
          <w:szCs w:val="24"/>
        </w:rPr>
        <w:t xml:space="preserve">is (civilinės bylos dėl </w:t>
      </w:r>
      <w:r w:rsidR="00612C4A" w:rsidRPr="00612C4A">
        <w:rPr>
          <w:szCs w:val="24"/>
        </w:rPr>
        <w:t>fizinio asmens pripažinimo neveiksniu/ribotai veiksniu tam tikroje srityje</w:t>
      </w:r>
      <w:r w:rsidR="00AC70E3">
        <w:rPr>
          <w:szCs w:val="24"/>
        </w:rPr>
        <w:t xml:space="preserve">, </w:t>
      </w:r>
      <w:r w:rsidR="00612C4A" w:rsidRPr="00612C4A">
        <w:rPr>
          <w:szCs w:val="24"/>
        </w:rPr>
        <w:t>dėl tam tikroje srityje neveiksnaus/ribotai veiksnaus fizinio asmens pripažinimo veiksniu ar ribotai veiksniu</w:t>
      </w:r>
      <w:r w:rsidR="00AC70E3">
        <w:rPr>
          <w:szCs w:val="24"/>
        </w:rPr>
        <w:t>,</w:t>
      </w:r>
      <w:r w:rsidR="00612C4A" w:rsidRPr="00612C4A">
        <w:rPr>
          <w:szCs w:val="24"/>
        </w:rPr>
        <w:t xml:space="preserve"> dėl teismo leidimų priverstinai hospitalizuoti ir (ar) priverstinai gydyti, skirti būtinąjį hospitalizavimą ir (ar) būtinąjį izoliavimą;</w:t>
      </w:r>
      <w:r w:rsidR="00B05DFB" w:rsidRPr="00612C4A">
        <w:rPr>
          <w:bCs/>
          <w:szCs w:val="24"/>
        </w:rPr>
        <w:t xml:space="preserve"> baudžiam</w:t>
      </w:r>
      <w:r w:rsidR="00612C4A" w:rsidRPr="00612C4A">
        <w:rPr>
          <w:bCs/>
          <w:szCs w:val="24"/>
        </w:rPr>
        <w:t>osios</w:t>
      </w:r>
      <w:r w:rsidR="00B05DFB" w:rsidRPr="00612C4A">
        <w:rPr>
          <w:bCs/>
          <w:szCs w:val="24"/>
        </w:rPr>
        <w:t xml:space="preserve"> </w:t>
      </w:r>
      <w:r w:rsidR="00B05DFB" w:rsidRPr="00612C4A">
        <w:rPr>
          <w:bCs/>
          <w:color w:val="000000"/>
          <w:szCs w:val="24"/>
          <w:shd w:val="clear" w:color="auto" w:fill="FFFFFF"/>
        </w:rPr>
        <w:t>byl</w:t>
      </w:r>
      <w:r w:rsidR="00612C4A" w:rsidRPr="00612C4A">
        <w:rPr>
          <w:bCs/>
          <w:color w:val="000000"/>
          <w:szCs w:val="24"/>
          <w:shd w:val="clear" w:color="auto" w:fill="FFFFFF"/>
        </w:rPr>
        <w:t>os</w:t>
      </w:r>
      <w:r w:rsidR="00B05DFB" w:rsidRPr="00612C4A">
        <w:rPr>
          <w:bCs/>
          <w:color w:val="000000"/>
          <w:szCs w:val="24"/>
          <w:shd w:val="clear" w:color="auto" w:fill="FFFFFF"/>
        </w:rPr>
        <w:t xml:space="preserve"> dėl nusikalstamų veikų, kuriomis kaltinami arba dėl kurių yra pripažinti nukentėjusiaisiais nepilnamečiai, </w:t>
      </w:r>
      <w:r w:rsidR="00612C4A" w:rsidRPr="00612C4A">
        <w:rPr>
          <w:bCs/>
          <w:color w:val="000000"/>
          <w:szCs w:val="24"/>
          <w:shd w:val="clear" w:color="auto" w:fill="FFFFFF"/>
        </w:rPr>
        <w:t xml:space="preserve">dėl </w:t>
      </w:r>
      <w:r w:rsidR="00B05DFB" w:rsidRPr="00612C4A">
        <w:rPr>
          <w:bCs/>
          <w:color w:val="000000"/>
          <w:szCs w:val="24"/>
          <w:shd w:val="clear" w:color="auto" w:fill="FFFFFF"/>
        </w:rPr>
        <w:t>nusikaltimų ir baudžiamųjų nusižengimų žmogaus seksualinio apsisprendimo laisvei ir neliečiamumui</w:t>
      </w:r>
      <w:r w:rsidR="00612C4A" w:rsidRPr="00612C4A">
        <w:rPr>
          <w:bCs/>
          <w:color w:val="000000"/>
          <w:szCs w:val="24"/>
          <w:shd w:val="clear" w:color="auto" w:fill="FFFFFF"/>
        </w:rPr>
        <w:t xml:space="preserve"> ir kt.)</w:t>
      </w:r>
      <w:r w:rsidR="00B05DFB" w:rsidRPr="00612A8B">
        <w:rPr>
          <w:bCs/>
          <w:color w:val="000000"/>
          <w:shd w:val="clear" w:color="auto" w:fill="FFFFFF"/>
        </w:rPr>
        <w:t xml:space="preserve">, už </w:t>
      </w:r>
      <w:r w:rsidR="00F951DA">
        <w:rPr>
          <w:bCs/>
          <w:color w:val="000000"/>
          <w:shd w:val="clear" w:color="auto" w:fill="FFFFFF"/>
        </w:rPr>
        <w:t xml:space="preserve">dokumentų </w:t>
      </w:r>
      <w:r w:rsidR="00B05DFB" w:rsidRPr="00612A8B">
        <w:rPr>
          <w:bCs/>
          <w:color w:val="000000"/>
          <w:shd w:val="clear" w:color="auto" w:fill="FFFFFF"/>
        </w:rPr>
        <w:t>registravimą atsakingi asmenys</w:t>
      </w:r>
      <w:r w:rsidR="00612C4A">
        <w:rPr>
          <w:bCs/>
          <w:color w:val="000000"/>
          <w:shd w:val="clear" w:color="auto" w:fill="FFFFFF"/>
        </w:rPr>
        <w:t xml:space="preserve">, registruodami </w:t>
      </w:r>
      <w:r w:rsidR="00AC70E3">
        <w:rPr>
          <w:bCs/>
          <w:color w:val="000000"/>
          <w:shd w:val="clear" w:color="auto" w:fill="FFFFFF"/>
        </w:rPr>
        <w:t>gautą dokumentą ir užvesdami bylos kortelę LITEKO</w:t>
      </w:r>
      <w:r w:rsidR="00612C4A">
        <w:rPr>
          <w:bCs/>
          <w:color w:val="000000"/>
          <w:shd w:val="clear" w:color="auto" w:fill="FFFFFF"/>
        </w:rPr>
        <w:t xml:space="preserve"> iš karto </w:t>
      </w:r>
      <w:r w:rsidR="00A76718" w:rsidRPr="00612A8B">
        <w:rPr>
          <w:bCs/>
        </w:rPr>
        <w:t>pažym</w:t>
      </w:r>
      <w:r w:rsidR="00B05DFB" w:rsidRPr="00612A8B">
        <w:rPr>
          <w:bCs/>
        </w:rPr>
        <w:t>i</w:t>
      </w:r>
      <w:r w:rsidR="00A76718" w:rsidRPr="00612A8B">
        <w:rPr>
          <w:bCs/>
        </w:rPr>
        <w:t xml:space="preserve"> neviešumo požymius </w:t>
      </w:r>
      <w:bookmarkStart w:id="4" w:name="part_a5ecebafcf21493da1d19ff699521673"/>
      <w:bookmarkEnd w:id="4"/>
      <w:r w:rsidR="00A76718" w:rsidRPr="00612A8B">
        <w:rPr>
          <w:bCs/>
        </w:rPr>
        <w:t>bylos kortelei ir</w:t>
      </w:r>
      <w:r w:rsidR="00DB5A0C">
        <w:rPr>
          <w:bCs/>
        </w:rPr>
        <w:t>/arba</w:t>
      </w:r>
      <w:r w:rsidR="00A76718" w:rsidRPr="00612A8B">
        <w:rPr>
          <w:bCs/>
        </w:rPr>
        <w:t xml:space="preserve"> bylos proceso dalyvių duomenims. </w:t>
      </w:r>
      <w:r w:rsidRPr="00E80AE7">
        <w:rPr>
          <w:bCs/>
        </w:rPr>
        <w:t xml:space="preserve">Paskyrus bylą konkrečiam teisėjui ar teisėjų kolegijai ir jam (jiems) nusprendus, kad byla nagrinėtina viešame teismo posėdyje, o </w:t>
      </w:r>
      <w:r w:rsidRPr="00E80AE7">
        <w:rPr>
          <w:rFonts w:eastAsia="Calibri"/>
          <w:bCs/>
          <w:szCs w:val="24"/>
        </w:rPr>
        <w:t>bylos medžiaga ar jos dalis nelaikytina nevieša</w:t>
      </w:r>
      <w:r w:rsidR="00A4146E" w:rsidRPr="00E80AE7">
        <w:rPr>
          <w:rFonts w:eastAsia="Calibri"/>
          <w:bCs/>
          <w:szCs w:val="24"/>
        </w:rPr>
        <w:t xml:space="preserve">, nedelsiant, </w:t>
      </w:r>
      <w:r w:rsidR="00A4146E" w:rsidRPr="00E80AE7">
        <w:rPr>
          <w:bCs/>
          <w:szCs w:val="24"/>
        </w:rPr>
        <w:t>bet ne vėliau kaip kitą darbo dieną,</w:t>
      </w:r>
      <w:r w:rsidR="00A4146E" w:rsidRPr="00E80AE7">
        <w:rPr>
          <w:rFonts w:eastAsia="Calibri"/>
          <w:bCs/>
          <w:szCs w:val="24"/>
        </w:rPr>
        <w:t xml:space="preserve"> bylą nagrinėjantis teisėjas ar teisėjų kolegijos narys, arba kitas teismo pirmininko įgaliotas asmuo LITEKO</w:t>
      </w:r>
      <w:r w:rsidRPr="00E80AE7">
        <w:rPr>
          <w:rFonts w:eastAsia="Calibri"/>
          <w:bCs/>
          <w:szCs w:val="24"/>
        </w:rPr>
        <w:t xml:space="preserve"> panaikina </w:t>
      </w:r>
      <w:r w:rsidR="00A4146E" w:rsidRPr="00E80AE7">
        <w:rPr>
          <w:rFonts w:eastAsia="Calibri"/>
          <w:bCs/>
          <w:szCs w:val="24"/>
        </w:rPr>
        <w:t>neviešumo požymį</w:t>
      </w:r>
      <w:r w:rsidRPr="00E80AE7">
        <w:rPr>
          <w:rFonts w:eastAsia="Calibri"/>
          <w:bCs/>
          <w:szCs w:val="24"/>
        </w:rPr>
        <w:t xml:space="preserve"> </w:t>
      </w:r>
      <w:r w:rsidRPr="00E80AE7">
        <w:rPr>
          <w:bCs/>
        </w:rPr>
        <w:t>bylos kortelei ir/arba bylos proceso dalyvių duomenims.</w:t>
      </w:r>
      <w:r w:rsidR="00F951DA">
        <w:rPr>
          <w:bCs/>
        </w:rPr>
        <w:t>“</w:t>
      </w:r>
    </w:p>
    <w:p w14:paraId="7DF2A0CC" w14:textId="77777777" w:rsidR="00E80AE7" w:rsidRDefault="00E80AE7" w:rsidP="00576432">
      <w:pPr>
        <w:tabs>
          <w:tab w:val="left" w:pos="709"/>
          <w:tab w:val="left" w:pos="993"/>
          <w:tab w:val="left" w:pos="1134"/>
        </w:tabs>
        <w:spacing w:line="276" w:lineRule="auto"/>
        <w:jc w:val="both"/>
        <w:rPr>
          <w:bCs/>
        </w:rPr>
      </w:pPr>
      <w:r>
        <w:rPr>
          <w:bCs/>
        </w:rPr>
        <w:tab/>
      </w:r>
      <w:r w:rsidR="00E67107" w:rsidRPr="00E67107">
        <w:rPr>
          <w:bCs/>
          <w:szCs w:val="24"/>
          <w:lang w:eastAsia="lt-LT"/>
        </w:rPr>
        <w:t xml:space="preserve">2. </w:t>
      </w:r>
      <w:r w:rsidR="00A4146E" w:rsidRPr="00C76C83">
        <w:rPr>
          <w:bCs/>
          <w:szCs w:val="24"/>
          <w:lang w:eastAsia="lt-LT"/>
        </w:rPr>
        <w:t xml:space="preserve">Pakeisti </w:t>
      </w:r>
      <w:r>
        <w:rPr>
          <w:bCs/>
          <w:szCs w:val="24"/>
          <w:lang w:eastAsia="lt-LT"/>
        </w:rPr>
        <w:t xml:space="preserve">12 </w:t>
      </w:r>
      <w:r w:rsidR="00A4146E">
        <w:rPr>
          <w:bCs/>
          <w:szCs w:val="24"/>
          <w:lang w:eastAsia="lt-LT"/>
        </w:rPr>
        <w:t xml:space="preserve">punktą </w:t>
      </w:r>
      <w:r w:rsidR="00A4146E" w:rsidRPr="00C76C83">
        <w:rPr>
          <w:bCs/>
          <w:szCs w:val="24"/>
          <w:lang w:eastAsia="lt-LT"/>
        </w:rPr>
        <w:t>ir jį išdėstyti taip</w:t>
      </w:r>
      <w:r w:rsidR="00A4146E">
        <w:rPr>
          <w:bCs/>
          <w:szCs w:val="24"/>
          <w:lang w:eastAsia="lt-LT"/>
        </w:rPr>
        <w:t>:</w:t>
      </w:r>
    </w:p>
    <w:p w14:paraId="5E12CEB2" w14:textId="31747C85" w:rsidR="00D81BF3" w:rsidRPr="00622BE7" w:rsidRDefault="00E80AE7" w:rsidP="00576432">
      <w:pPr>
        <w:tabs>
          <w:tab w:val="left" w:pos="709"/>
          <w:tab w:val="left" w:pos="993"/>
          <w:tab w:val="left" w:pos="1134"/>
        </w:tabs>
        <w:spacing w:line="276" w:lineRule="auto"/>
        <w:jc w:val="both"/>
        <w:rPr>
          <w:bCs/>
          <w:color w:val="000000"/>
          <w:shd w:val="clear" w:color="auto" w:fill="FFFFFF"/>
        </w:rPr>
      </w:pPr>
      <w:r>
        <w:rPr>
          <w:bCs/>
        </w:rPr>
        <w:tab/>
        <w:t>„</w:t>
      </w:r>
      <w:r w:rsidR="00F71993" w:rsidRPr="00622BE7">
        <w:rPr>
          <w:bCs/>
        </w:rPr>
        <w:t>1</w:t>
      </w:r>
      <w:r w:rsidR="00A4146E" w:rsidRPr="00E030CA">
        <w:rPr>
          <w:bCs/>
          <w:szCs w:val="24"/>
          <w:lang w:eastAsia="lt-LT"/>
        </w:rPr>
        <w:t>2.</w:t>
      </w:r>
      <w:r w:rsidR="00F71993" w:rsidRPr="00622BE7">
        <w:t xml:space="preserve"> </w:t>
      </w:r>
      <w:r w:rsidR="00F71993" w:rsidRPr="00622BE7">
        <w:rPr>
          <w:szCs w:val="24"/>
        </w:rPr>
        <w:t xml:space="preserve">Kai nevieši duomenys yra nustatyti įstatymuose ar kituose teisės aktuose, </w:t>
      </w:r>
      <w:r w:rsidR="00F71993" w:rsidRPr="00622BE7">
        <w:rPr>
          <w:bCs/>
          <w:color w:val="000000"/>
          <w:shd w:val="clear" w:color="auto" w:fill="FFFFFF"/>
        </w:rPr>
        <w:t xml:space="preserve">už </w:t>
      </w:r>
      <w:r w:rsidR="00F951DA" w:rsidRPr="00622BE7">
        <w:rPr>
          <w:bCs/>
          <w:color w:val="000000"/>
          <w:shd w:val="clear" w:color="auto" w:fill="FFFFFF"/>
        </w:rPr>
        <w:t xml:space="preserve">dokumentų </w:t>
      </w:r>
      <w:r w:rsidR="00F71993" w:rsidRPr="00622BE7">
        <w:rPr>
          <w:bCs/>
          <w:color w:val="000000"/>
          <w:shd w:val="clear" w:color="auto" w:fill="FFFFFF"/>
        </w:rPr>
        <w:t>registravimą atsakingi asmenys</w:t>
      </w:r>
      <w:r w:rsidR="00622BE7" w:rsidRPr="00622BE7">
        <w:rPr>
          <w:bCs/>
          <w:color w:val="000000"/>
          <w:shd w:val="clear" w:color="auto" w:fill="FFFFFF"/>
        </w:rPr>
        <w:t>,</w:t>
      </w:r>
      <w:r w:rsidR="00F71993" w:rsidRPr="00622BE7">
        <w:rPr>
          <w:bCs/>
          <w:color w:val="000000"/>
          <w:shd w:val="clear" w:color="auto" w:fill="FFFFFF"/>
        </w:rPr>
        <w:t xml:space="preserve"> </w:t>
      </w:r>
      <w:r w:rsidR="00622BE7" w:rsidRPr="00622BE7">
        <w:rPr>
          <w:bCs/>
          <w:color w:val="000000"/>
          <w:shd w:val="clear" w:color="auto" w:fill="FFFFFF"/>
        </w:rPr>
        <w:t>registruodami gautą dokumentą</w:t>
      </w:r>
      <w:r w:rsidR="00622BE7">
        <w:rPr>
          <w:bCs/>
          <w:color w:val="000000"/>
          <w:shd w:val="clear" w:color="auto" w:fill="FFFFFF"/>
        </w:rPr>
        <w:t xml:space="preserve"> ir užvesdami bylos kortelę </w:t>
      </w:r>
      <w:r w:rsidR="00F71993">
        <w:rPr>
          <w:bCs/>
          <w:color w:val="000000"/>
          <w:shd w:val="clear" w:color="auto" w:fill="FFFFFF"/>
        </w:rPr>
        <w:t>LITEKO</w:t>
      </w:r>
      <w:r w:rsidR="00622BE7">
        <w:rPr>
          <w:bCs/>
          <w:color w:val="000000"/>
          <w:shd w:val="clear" w:color="auto" w:fill="FFFFFF"/>
        </w:rPr>
        <w:t xml:space="preserve"> </w:t>
      </w:r>
      <w:r w:rsidR="00F71993" w:rsidRPr="00612A8B">
        <w:rPr>
          <w:bCs/>
        </w:rPr>
        <w:t>pažymi neviešumo</w:t>
      </w:r>
      <w:r w:rsidR="00F71993">
        <w:rPr>
          <w:bCs/>
        </w:rPr>
        <w:t xml:space="preserve"> požymį </w:t>
      </w:r>
      <w:r w:rsidR="00F951DA">
        <w:rPr>
          <w:bCs/>
        </w:rPr>
        <w:t xml:space="preserve">bylos kortelei </w:t>
      </w:r>
      <w:r w:rsidR="00622BE7" w:rsidRPr="00612A8B">
        <w:rPr>
          <w:bCs/>
        </w:rPr>
        <w:t>ir bylos proceso dalyvių duomenims</w:t>
      </w:r>
      <w:r w:rsidR="00F951DA">
        <w:rPr>
          <w:bCs/>
        </w:rPr>
        <w:t xml:space="preserve">. </w:t>
      </w:r>
      <w:r w:rsidR="00F71993" w:rsidRPr="00D67903">
        <w:rPr>
          <w:szCs w:val="24"/>
        </w:rPr>
        <w:t>Jei duomenų registravimo LITEKO metu nebuvo ir negalėjo būti žinoma, kad šie duomenys yra nevieši, neviešumo požymis jiems LITEKO priskiriamas nedelsiant, bet ne vėliau kaip kitą darbo dieną nuo aplinkybių apie duomenų neviešumą paaiškėjimo momento.</w:t>
      </w:r>
      <w:r w:rsidR="00F951DA">
        <w:rPr>
          <w:szCs w:val="24"/>
        </w:rPr>
        <w:t>“</w:t>
      </w:r>
    </w:p>
    <w:p w14:paraId="5F690A45" w14:textId="77777777" w:rsidR="006741BB" w:rsidRDefault="006741BB" w:rsidP="00576432">
      <w:pPr>
        <w:spacing w:line="276" w:lineRule="auto"/>
        <w:ind w:firstLine="680"/>
        <w:jc w:val="both"/>
        <w:rPr>
          <w:bCs/>
          <w:szCs w:val="24"/>
          <w:lang w:eastAsia="lt-LT"/>
        </w:rPr>
      </w:pPr>
      <w:bookmarkStart w:id="5" w:name="_Hlk31098718"/>
      <w:bookmarkStart w:id="6" w:name="_Hlk95225918"/>
      <w:bookmarkStart w:id="7" w:name="_Hlk95464993"/>
      <w:bookmarkStart w:id="8" w:name="_Hlk95226561"/>
      <w:r>
        <w:rPr>
          <w:bCs/>
        </w:rPr>
        <w:t xml:space="preserve">3. </w:t>
      </w:r>
      <w:r w:rsidRPr="00C76C83">
        <w:rPr>
          <w:bCs/>
          <w:szCs w:val="24"/>
          <w:lang w:eastAsia="lt-LT"/>
        </w:rPr>
        <w:t xml:space="preserve">Pakeisti </w:t>
      </w:r>
      <w:r>
        <w:rPr>
          <w:bCs/>
          <w:szCs w:val="24"/>
          <w:lang w:eastAsia="lt-LT"/>
        </w:rPr>
        <w:t xml:space="preserve">17 punktą </w:t>
      </w:r>
      <w:r w:rsidRPr="00C76C83">
        <w:rPr>
          <w:bCs/>
          <w:szCs w:val="24"/>
          <w:lang w:eastAsia="lt-LT"/>
        </w:rPr>
        <w:t>ir jį išdėstyti taip</w:t>
      </w:r>
      <w:r>
        <w:rPr>
          <w:bCs/>
          <w:szCs w:val="24"/>
          <w:lang w:eastAsia="lt-LT"/>
        </w:rPr>
        <w:t>:</w:t>
      </w:r>
    </w:p>
    <w:p w14:paraId="40351911" w14:textId="7DF82969" w:rsidR="006741BB" w:rsidRPr="00622BE7" w:rsidRDefault="00331663" w:rsidP="00576432">
      <w:pPr>
        <w:spacing w:line="276" w:lineRule="auto"/>
        <w:ind w:firstLine="680"/>
        <w:jc w:val="both"/>
        <w:rPr>
          <w:szCs w:val="24"/>
        </w:rPr>
      </w:pPr>
      <w:r>
        <w:rPr>
          <w:szCs w:val="24"/>
        </w:rPr>
        <w:t>„</w:t>
      </w:r>
      <w:r w:rsidR="006741BB" w:rsidRPr="00D67903">
        <w:rPr>
          <w:szCs w:val="24"/>
        </w:rPr>
        <w:t xml:space="preserve">17. </w:t>
      </w:r>
      <w:r w:rsidR="00E030CA" w:rsidRPr="0093539C">
        <w:rPr>
          <w:szCs w:val="24"/>
        </w:rPr>
        <w:t>Neviešumo požymis LITEKO gali būti panaikinamas tik išnykus aplinkybėms, dėl kurių visa bylos medžiaga ar jos dalis buvo pripažinta nevieša</w:t>
      </w:r>
      <w:r w:rsidR="00E030CA" w:rsidRPr="00E030CA">
        <w:rPr>
          <w:szCs w:val="24"/>
        </w:rPr>
        <w:t>, taip pat šio Aprašo 10</w:t>
      </w:r>
      <w:r w:rsidR="00E030CA" w:rsidRPr="00E030CA">
        <w:rPr>
          <w:szCs w:val="24"/>
          <w:vertAlign w:val="superscript"/>
        </w:rPr>
        <w:t xml:space="preserve">1 </w:t>
      </w:r>
      <w:r w:rsidR="00E030CA" w:rsidRPr="00E030CA">
        <w:rPr>
          <w:szCs w:val="24"/>
        </w:rPr>
        <w:t>punkte nurodytu atveju.</w:t>
      </w:r>
      <w:r w:rsidR="00E030CA" w:rsidRPr="0093539C">
        <w:rPr>
          <w:szCs w:val="24"/>
        </w:rPr>
        <w:t xml:space="preserve"> </w:t>
      </w:r>
      <w:r w:rsidR="00E030CA" w:rsidRPr="0093539C">
        <w:rPr>
          <w:rFonts w:eastAsia="Calibri"/>
          <w:szCs w:val="24"/>
        </w:rPr>
        <w:t xml:space="preserve">Neviešumo požymį LITEKO panaikina bylą nagrinėjantis teisėjas ar teisėjų kolegijos narys, arba kitas teismo pirmininko įgaliotas asmuo, suderinęs su bylą nagrinėjančiu teisėju ar teisėjų kolegija. Išnagrinėtoje byloje neviešumo požymis gali būti panaikinamas bylą išnagrinėjusio teisėjo </w:t>
      </w:r>
      <w:r w:rsidR="00E030CA" w:rsidRPr="0093539C">
        <w:rPr>
          <w:rFonts w:eastAsia="Calibri"/>
          <w:szCs w:val="24"/>
        </w:rPr>
        <w:lastRenderedPageBreak/>
        <w:t>ar teisėjų kolegijos nario sprendimu, o jei bylą išnagrinėjęs teisėjas teisme nebedirba arba dėl kitų objektyvių priežasčių tokio sprendimo priimti negali – teismo pirmininko sprendimu</w:t>
      </w:r>
      <w:r w:rsidR="006741BB" w:rsidRPr="00D67903">
        <w:rPr>
          <w:rFonts w:eastAsia="Calibri"/>
          <w:szCs w:val="24"/>
        </w:rPr>
        <w:t>.</w:t>
      </w:r>
      <w:r w:rsidR="006741BB">
        <w:rPr>
          <w:rFonts w:eastAsia="Calibri"/>
          <w:szCs w:val="24"/>
        </w:rPr>
        <w:t>“</w:t>
      </w:r>
    </w:p>
    <w:p w14:paraId="2F3673EB" w14:textId="77777777" w:rsidR="006A7C44" w:rsidRPr="006A7C44" w:rsidRDefault="006A7C44" w:rsidP="00576432">
      <w:pPr>
        <w:spacing w:line="276" w:lineRule="auto"/>
        <w:jc w:val="both"/>
        <w:rPr>
          <w:bCs/>
          <w:szCs w:val="24"/>
        </w:rPr>
      </w:pPr>
      <w:bookmarkStart w:id="9" w:name="part_173107e5c087469ea3a0040be560b3d7"/>
      <w:bookmarkEnd w:id="5"/>
      <w:bookmarkEnd w:id="6"/>
      <w:bookmarkEnd w:id="7"/>
      <w:bookmarkEnd w:id="8"/>
      <w:bookmarkEnd w:id="9"/>
    </w:p>
    <w:tbl>
      <w:tblPr>
        <w:tblW w:w="9798" w:type="dxa"/>
        <w:tblLayout w:type="fixed"/>
        <w:tblLook w:val="04A0" w:firstRow="1" w:lastRow="0" w:firstColumn="1" w:lastColumn="0" w:noHBand="0" w:noVBand="1"/>
      </w:tblPr>
      <w:tblGrid>
        <w:gridCol w:w="7308"/>
        <w:gridCol w:w="2490"/>
      </w:tblGrid>
      <w:tr w:rsidR="00576432" w:rsidRPr="00394677" w14:paraId="5F66CD45" w14:textId="77777777" w:rsidTr="00BE2834">
        <w:tc>
          <w:tcPr>
            <w:tcW w:w="7308" w:type="dxa"/>
            <w:hideMark/>
          </w:tcPr>
          <w:p w14:paraId="1A877395" w14:textId="77777777" w:rsidR="00576432" w:rsidRPr="00394677" w:rsidRDefault="00576432" w:rsidP="00BE2834">
            <w:pPr>
              <w:rPr>
                <w:szCs w:val="24"/>
              </w:rPr>
            </w:pPr>
            <w:r w:rsidRPr="00394677">
              <w:rPr>
                <w:szCs w:val="24"/>
              </w:rPr>
              <w:t>Pirmininkė</w:t>
            </w:r>
          </w:p>
        </w:tc>
        <w:tc>
          <w:tcPr>
            <w:tcW w:w="2490" w:type="dxa"/>
          </w:tcPr>
          <w:p w14:paraId="5969DAAB" w14:textId="77777777" w:rsidR="00576432" w:rsidRDefault="00576432" w:rsidP="00BE2834">
            <w:pPr>
              <w:rPr>
                <w:szCs w:val="24"/>
              </w:rPr>
            </w:pPr>
            <w:r w:rsidRPr="00394677">
              <w:rPr>
                <w:szCs w:val="24"/>
              </w:rPr>
              <w:t>Sigita Rudėnaitė</w:t>
            </w:r>
          </w:p>
          <w:p w14:paraId="4CF6AD29" w14:textId="77777777" w:rsidR="00576432" w:rsidRPr="00394677" w:rsidRDefault="00576432" w:rsidP="00BE2834">
            <w:pPr>
              <w:rPr>
                <w:szCs w:val="24"/>
              </w:rPr>
            </w:pPr>
          </w:p>
          <w:p w14:paraId="2E5DCBF9" w14:textId="77777777" w:rsidR="00576432" w:rsidRPr="00394677" w:rsidRDefault="00576432" w:rsidP="00BE2834">
            <w:pPr>
              <w:rPr>
                <w:szCs w:val="24"/>
              </w:rPr>
            </w:pPr>
          </w:p>
        </w:tc>
      </w:tr>
      <w:tr w:rsidR="00576432" w:rsidRPr="00394677" w14:paraId="2199FE41" w14:textId="77777777" w:rsidTr="00BE2834">
        <w:tc>
          <w:tcPr>
            <w:tcW w:w="7308" w:type="dxa"/>
            <w:hideMark/>
          </w:tcPr>
          <w:p w14:paraId="05DDCAA7" w14:textId="77777777" w:rsidR="00576432" w:rsidRPr="00394677" w:rsidRDefault="00576432" w:rsidP="00BE2834">
            <w:pPr>
              <w:rPr>
                <w:szCs w:val="24"/>
              </w:rPr>
            </w:pPr>
            <w:r w:rsidRPr="00394677">
              <w:rPr>
                <w:szCs w:val="24"/>
              </w:rPr>
              <w:t>Sekretorius</w:t>
            </w:r>
          </w:p>
        </w:tc>
        <w:tc>
          <w:tcPr>
            <w:tcW w:w="2490" w:type="dxa"/>
            <w:hideMark/>
          </w:tcPr>
          <w:p w14:paraId="28B42270" w14:textId="77777777" w:rsidR="00576432" w:rsidRPr="00394677" w:rsidRDefault="00576432" w:rsidP="00BE2834">
            <w:pPr>
              <w:rPr>
                <w:szCs w:val="24"/>
              </w:rPr>
            </w:pPr>
            <w:r w:rsidRPr="00394677">
              <w:rPr>
                <w:szCs w:val="24"/>
              </w:rPr>
              <w:t>Ramūnas Gadliauskas</w:t>
            </w:r>
          </w:p>
        </w:tc>
      </w:tr>
    </w:tbl>
    <w:p w14:paraId="6F02BB2C" w14:textId="77777777" w:rsidR="00FE24F0" w:rsidRPr="006A7C44" w:rsidRDefault="00FE24F0" w:rsidP="00034622">
      <w:pPr>
        <w:tabs>
          <w:tab w:val="left" w:pos="7230"/>
        </w:tabs>
        <w:ind w:firstLine="851"/>
        <w:rPr>
          <w:rFonts w:eastAsia="Calibri"/>
          <w:bCs/>
          <w:color w:val="000000"/>
          <w:szCs w:val="24"/>
        </w:rPr>
      </w:pPr>
    </w:p>
    <w:sectPr w:rsidR="00FE24F0" w:rsidRPr="006A7C44" w:rsidSect="00622BE7">
      <w:headerReference w:type="default" r:id="rId9"/>
      <w:pgSz w:w="11906" w:h="16838"/>
      <w:pgMar w:top="993"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AF5E2" w14:textId="77777777" w:rsidR="004F0F09" w:rsidRDefault="004F0F09">
      <w:pPr>
        <w:rPr>
          <w:szCs w:val="24"/>
        </w:rPr>
      </w:pPr>
      <w:r>
        <w:rPr>
          <w:szCs w:val="24"/>
        </w:rPr>
        <w:separator/>
      </w:r>
    </w:p>
  </w:endnote>
  <w:endnote w:type="continuationSeparator" w:id="0">
    <w:p w14:paraId="7F1C99A4" w14:textId="77777777" w:rsidR="004F0F09" w:rsidRDefault="004F0F0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7DE1D" w14:textId="77777777" w:rsidR="004F0F09" w:rsidRDefault="004F0F09">
      <w:pPr>
        <w:rPr>
          <w:szCs w:val="24"/>
        </w:rPr>
      </w:pPr>
      <w:r>
        <w:rPr>
          <w:szCs w:val="24"/>
        </w:rPr>
        <w:separator/>
      </w:r>
    </w:p>
  </w:footnote>
  <w:footnote w:type="continuationSeparator" w:id="0">
    <w:p w14:paraId="18F52608" w14:textId="77777777" w:rsidR="004F0F09" w:rsidRDefault="004F0F09">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97658"/>
      <w:docPartObj>
        <w:docPartGallery w:val="Page Numbers (Top of Page)"/>
        <w:docPartUnique/>
      </w:docPartObj>
    </w:sdtPr>
    <w:sdtContent>
      <w:p w14:paraId="5DAE0482" w14:textId="77777777" w:rsidR="006A5989" w:rsidRDefault="0076397E">
        <w:pPr>
          <w:pStyle w:val="Antrats"/>
          <w:jc w:val="center"/>
        </w:pPr>
        <w:r>
          <w:fldChar w:fldCharType="begin"/>
        </w:r>
        <w:r>
          <w:instrText>PAGE   \* MERGEFORMAT</w:instrText>
        </w:r>
        <w:r>
          <w:fldChar w:fldCharType="separate"/>
        </w:r>
        <w:r w:rsidR="00851ED0">
          <w:rPr>
            <w:noProof/>
          </w:rPr>
          <w:t>2</w:t>
        </w:r>
        <w:r>
          <w:rPr>
            <w:noProof/>
          </w:rPr>
          <w:fldChar w:fldCharType="end"/>
        </w:r>
      </w:p>
    </w:sdtContent>
  </w:sdt>
  <w:p w14:paraId="77EFD606" w14:textId="77777777" w:rsidR="006A5989" w:rsidRDefault="006A59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B1F20"/>
    <w:multiLevelType w:val="multilevel"/>
    <w:tmpl w:val="896A47CA"/>
    <w:lvl w:ilvl="0">
      <w:start w:val="1"/>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 w15:restartNumberingAfterBreak="0">
    <w:nsid w:val="4B2748BD"/>
    <w:multiLevelType w:val="hybridMultilevel"/>
    <w:tmpl w:val="4F5CD522"/>
    <w:lvl w:ilvl="0" w:tplc="CADE4BC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2134168">
    <w:abstractNumId w:val="0"/>
  </w:num>
  <w:num w:numId="2" w16cid:durableId="767043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54"/>
    <w:rsid w:val="00007C7A"/>
    <w:rsid w:val="00013B8A"/>
    <w:rsid w:val="00014563"/>
    <w:rsid w:val="00027680"/>
    <w:rsid w:val="00032BD6"/>
    <w:rsid w:val="00034622"/>
    <w:rsid w:val="00041E51"/>
    <w:rsid w:val="00055125"/>
    <w:rsid w:val="00070885"/>
    <w:rsid w:val="0008049A"/>
    <w:rsid w:val="000860DD"/>
    <w:rsid w:val="0009084C"/>
    <w:rsid w:val="000A107E"/>
    <w:rsid w:val="000A1E58"/>
    <w:rsid w:val="000B118B"/>
    <w:rsid w:val="000B2316"/>
    <w:rsid w:val="000E4FD4"/>
    <w:rsid w:val="001147E7"/>
    <w:rsid w:val="00142C5F"/>
    <w:rsid w:val="00142E83"/>
    <w:rsid w:val="00164BB9"/>
    <w:rsid w:val="00177D39"/>
    <w:rsid w:val="00180987"/>
    <w:rsid w:val="00191B9A"/>
    <w:rsid w:val="00195A18"/>
    <w:rsid w:val="001A027D"/>
    <w:rsid w:val="001C0B1D"/>
    <w:rsid w:val="001D196E"/>
    <w:rsid w:val="001D36F8"/>
    <w:rsid w:val="001D76FA"/>
    <w:rsid w:val="001E5A2D"/>
    <w:rsid w:val="00205FB5"/>
    <w:rsid w:val="002157C9"/>
    <w:rsid w:val="00233EC8"/>
    <w:rsid w:val="002639F9"/>
    <w:rsid w:val="00263C6B"/>
    <w:rsid w:val="002666F8"/>
    <w:rsid w:val="0028651B"/>
    <w:rsid w:val="00297EF7"/>
    <w:rsid w:val="002C4719"/>
    <w:rsid w:val="002E4454"/>
    <w:rsid w:val="00314553"/>
    <w:rsid w:val="0031738E"/>
    <w:rsid w:val="003262EF"/>
    <w:rsid w:val="00331663"/>
    <w:rsid w:val="00355443"/>
    <w:rsid w:val="00361709"/>
    <w:rsid w:val="00374305"/>
    <w:rsid w:val="003750BA"/>
    <w:rsid w:val="0038332D"/>
    <w:rsid w:val="0038491A"/>
    <w:rsid w:val="003A5C66"/>
    <w:rsid w:val="003B5695"/>
    <w:rsid w:val="003B6E0A"/>
    <w:rsid w:val="003D1F7E"/>
    <w:rsid w:val="003E10E6"/>
    <w:rsid w:val="003E4B24"/>
    <w:rsid w:val="003E5437"/>
    <w:rsid w:val="00403F3B"/>
    <w:rsid w:val="0041383C"/>
    <w:rsid w:val="00416368"/>
    <w:rsid w:val="00420C63"/>
    <w:rsid w:val="00455644"/>
    <w:rsid w:val="00475583"/>
    <w:rsid w:val="00477A8F"/>
    <w:rsid w:val="004B758E"/>
    <w:rsid w:val="004F0062"/>
    <w:rsid w:val="004F0F09"/>
    <w:rsid w:val="00514F5D"/>
    <w:rsid w:val="005201F5"/>
    <w:rsid w:val="005207B5"/>
    <w:rsid w:val="00530AF6"/>
    <w:rsid w:val="00536208"/>
    <w:rsid w:val="00536367"/>
    <w:rsid w:val="00561844"/>
    <w:rsid w:val="00566519"/>
    <w:rsid w:val="00567456"/>
    <w:rsid w:val="005736A6"/>
    <w:rsid w:val="00576432"/>
    <w:rsid w:val="00580EF5"/>
    <w:rsid w:val="005877ED"/>
    <w:rsid w:val="005A2645"/>
    <w:rsid w:val="005A2DDD"/>
    <w:rsid w:val="005A4FA8"/>
    <w:rsid w:val="005A711B"/>
    <w:rsid w:val="005B24EF"/>
    <w:rsid w:val="005C0F9B"/>
    <w:rsid w:val="005D350C"/>
    <w:rsid w:val="005D3754"/>
    <w:rsid w:val="005F143A"/>
    <w:rsid w:val="005F1874"/>
    <w:rsid w:val="00606199"/>
    <w:rsid w:val="00612A8B"/>
    <w:rsid w:val="00612C4A"/>
    <w:rsid w:val="00622BE7"/>
    <w:rsid w:val="00623D0E"/>
    <w:rsid w:val="006251B3"/>
    <w:rsid w:val="00631817"/>
    <w:rsid w:val="00633EB8"/>
    <w:rsid w:val="00643D1E"/>
    <w:rsid w:val="00651F89"/>
    <w:rsid w:val="00655293"/>
    <w:rsid w:val="00656B2D"/>
    <w:rsid w:val="00666CAA"/>
    <w:rsid w:val="0066729C"/>
    <w:rsid w:val="006741BB"/>
    <w:rsid w:val="00675FAD"/>
    <w:rsid w:val="00680827"/>
    <w:rsid w:val="00683701"/>
    <w:rsid w:val="00685513"/>
    <w:rsid w:val="006A5989"/>
    <w:rsid w:val="006A6224"/>
    <w:rsid w:val="006A7C44"/>
    <w:rsid w:val="006B6B77"/>
    <w:rsid w:val="006B7445"/>
    <w:rsid w:val="006E7F37"/>
    <w:rsid w:val="006F11DF"/>
    <w:rsid w:val="0070198E"/>
    <w:rsid w:val="00703D50"/>
    <w:rsid w:val="00721C3F"/>
    <w:rsid w:val="00722AC1"/>
    <w:rsid w:val="00723CC8"/>
    <w:rsid w:val="007310B5"/>
    <w:rsid w:val="00743BBE"/>
    <w:rsid w:val="0076397E"/>
    <w:rsid w:val="00787AFD"/>
    <w:rsid w:val="0079296B"/>
    <w:rsid w:val="0079700B"/>
    <w:rsid w:val="007A07DB"/>
    <w:rsid w:val="007A300D"/>
    <w:rsid w:val="007C553C"/>
    <w:rsid w:val="007D24BA"/>
    <w:rsid w:val="007D3535"/>
    <w:rsid w:val="007D5698"/>
    <w:rsid w:val="007D5A70"/>
    <w:rsid w:val="007F5079"/>
    <w:rsid w:val="007F720B"/>
    <w:rsid w:val="0080334E"/>
    <w:rsid w:val="00814F45"/>
    <w:rsid w:val="008168F5"/>
    <w:rsid w:val="00822BED"/>
    <w:rsid w:val="008324C1"/>
    <w:rsid w:val="00842E24"/>
    <w:rsid w:val="00851ED0"/>
    <w:rsid w:val="00855800"/>
    <w:rsid w:val="00864F15"/>
    <w:rsid w:val="00871DE3"/>
    <w:rsid w:val="00874128"/>
    <w:rsid w:val="00877A96"/>
    <w:rsid w:val="00880ACD"/>
    <w:rsid w:val="008879CC"/>
    <w:rsid w:val="00891CEC"/>
    <w:rsid w:val="008935E2"/>
    <w:rsid w:val="0089447A"/>
    <w:rsid w:val="008954DC"/>
    <w:rsid w:val="008A00F9"/>
    <w:rsid w:val="008A1789"/>
    <w:rsid w:val="008B21BA"/>
    <w:rsid w:val="008B35AC"/>
    <w:rsid w:val="008C0161"/>
    <w:rsid w:val="008C261C"/>
    <w:rsid w:val="008C36BC"/>
    <w:rsid w:val="008D5C03"/>
    <w:rsid w:val="008F2AE5"/>
    <w:rsid w:val="008F4CF6"/>
    <w:rsid w:val="009012A4"/>
    <w:rsid w:val="0090438C"/>
    <w:rsid w:val="009075D3"/>
    <w:rsid w:val="009217A5"/>
    <w:rsid w:val="009458D3"/>
    <w:rsid w:val="00947848"/>
    <w:rsid w:val="00950019"/>
    <w:rsid w:val="009528D0"/>
    <w:rsid w:val="00954485"/>
    <w:rsid w:val="009613D8"/>
    <w:rsid w:val="009622EE"/>
    <w:rsid w:val="0096594E"/>
    <w:rsid w:val="00970524"/>
    <w:rsid w:val="009706CC"/>
    <w:rsid w:val="00976F0E"/>
    <w:rsid w:val="00977EB9"/>
    <w:rsid w:val="009A1960"/>
    <w:rsid w:val="009B3D3C"/>
    <w:rsid w:val="009C43A6"/>
    <w:rsid w:val="009D4B32"/>
    <w:rsid w:val="009E2D51"/>
    <w:rsid w:val="009F1318"/>
    <w:rsid w:val="00A0217D"/>
    <w:rsid w:val="00A07056"/>
    <w:rsid w:val="00A15020"/>
    <w:rsid w:val="00A15FEF"/>
    <w:rsid w:val="00A20E7D"/>
    <w:rsid w:val="00A22849"/>
    <w:rsid w:val="00A4146E"/>
    <w:rsid w:val="00A43289"/>
    <w:rsid w:val="00A60CD9"/>
    <w:rsid w:val="00A664E8"/>
    <w:rsid w:val="00A73E16"/>
    <w:rsid w:val="00A76718"/>
    <w:rsid w:val="00A81448"/>
    <w:rsid w:val="00A827C2"/>
    <w:rsid w:val="00A94A0D"/>
    <w:rsid w:val="00A96970"/>
    <w:rsid w:val="00AA5619"/>
    <w:rsid w:val="00AC1C93"/>
    <w:rsid w:val="00AC3BB7"/>
    <w:rsid w:val="00AC654E"/>
    <w:rsid w:val="00AC70E3"/>
    <w:rsid w:val="00AD23DD"/>
    <w:rsid w:val="00AF3154"/>
    <w:rsid w:val="00B05DFB"/>
    <w:rsid w:val="00B07A20"/>
    <w:rsid w:val="00B11A1E"/>
    <w:rsid w:val="00B14F19"/>
    <w:rsid w:val="00B27482"/>
    <w:rsid w:val="00B3390A"/>
    <w:rsid w:val="00B34EB8"/>
    <w:rsid w:val="00B36D1D"/>
    <w:rsid w:val="00B41303"/>
    <w:rsid w:val="00B51EC7"/>
    <w:rsid w:val="00B748F0"/>
    <w:rsid w:val="00B75187"/>
    <w:rsid w:val="00B846FD"/>
    <w:rsid w:val="00B86B4E"/>
    <w:rsid w:val="00B9066F"/>
    <w:rsid w:val="00B91BB6"/>
    <w:rsid w:val="00BB12A6"/>
    <w:rsid w:val="00BB352D"/>
    <w:rsid w:val="00BC04A4"/>
    <w:rsid w:val="00BC2243"/>
    <w:rsid w:val="00BD3424"/>
    <w:rsid w:val="00BD3BE6"/>
    <w:rsid w:val="00BD64CA"/>
    <w:rsid w:val="00C1025C"/>
    <w:rsid w:val="00C17AE5"/>
    <w:rsid w:val="00C324F0"/>
    <w:rsid w:val="00C33EAF"/>
    <w:rsid w:val="00C34804"/>
    <w:rsid w:val="00C733FB"/>
    <w:rsid w:val="00C73E99"/>
    <w:rsid w:val="00C76C83"/>
    <w:rsid w:val="00C7747C"/>
    <w:rsid w:val="00C80527"/>
    <w:rsid w:val="00C83018"/>
    <w:rsid w:val="00C83A90"/>
    <w:rsid w:val="00C96E5B"/>
    <w:rsid w:val="00CB07E5"/>
    <w:rsid w:val="00CB16BD"/>
    <w:rsid w:val="00CC00B8"/>
    <w:rsid w:val="00CC424C"/>
    <w:rsid w:val="00CC5E5E"/>
    <w:rsid w:val="00D0108C"/>
    <w:rsid w:val="00D0273B"/>
    <w:rsid w:val="00D17C8B"/>
    <w:rsid w:val="00D272AC"/>
    <w:rsid w:val="00D345CC"/>
    <w:rsid w:val="00D41677"/>
    <w:rsid w:val="00D81BF3"/>
    <w:rsid w:val="00D83E0C"/>
    <w:rsid w:val="00D872A8"/>
    <w:rsid w:val="00DB5A0C"/>
    <w:rsid w:val="00DC522D"/>
    <w:rsid w:val="00DD57C3"/>
    <w:rsid w:val="00DE7BB4"/>
    <w:rsid w:val="00DF267E"/>
    <w:rsid w:val="00DF4304"/>
    <w:rsid w:val="00E019DB"/>
    <w:rsid w:val="00E030CA"/>
    <w:rsid w:val="00E0313B"/>
    <w:rsid w:val="00E10CA9"/>
    <w:rsid w:val="00E14432"/>
    <w:rsid w:val="00E373A0"/>
    <w:rsid w:val="00E55746"/>
    <w:rsid w:val="00E61132"/>
    <w:rsid w:val="00E633EE"/>
    <w:rsid w:val="00E66278"/>
    <w:rsid w:val="00E67107"/>
    <w:rsid w:val="00E7719B"/>
    <w:rsid w:val="00E80760"/>
    <w:rsid w:val="00E80AE7"/>
    <w:rsid w:val="00E846DE"/>
    <w:rsid w:val="00EA46AD"/>
    <w:rsid w:val="00EB09A8"/>
    <w:rsid w:val="00EB0A55"/>
    <w:rsid w:val="00EB3209"/>
    <w:rsid w:val="00EB3520"/>
    <w:rsid w:val="00ED3B3A"/>
    <w:rsid w:val="00EF7364"/>
    <w:rsid w:val="00F028CE"/>
    <w:rsid w:val="00F03066"/>
    <w:rsid w:val="00F053F3"/>
    <w:rsid w:val="00F147A4"/>
    <w:rsid w:val="00F15C18"/>
    <w:rsid w:val="00F27C21"/>
    <w:rsid w:val="00F521E4"/>
    <w:rsid w:val="00F64C5C"/>
    <w:rsid w:val="00F71993"/>
    <w:rsid w:val="00F85358"/>
    <w:rsid w:val="00F86AB7"/>
    <w:rsid w:val="00F93F58"/>
    <w:rsid w:val="00F951DA"/>
    <w:rsid w:val="00FA59BA"/>
    <w:rsid w:val="00FB309F"/>
    <w:rsid w:val="00FC133B"/>
    <w:rsid w:val="00FC77CE"/>
    <w:rsid w:val="00FD1CB2"/>
    <w:rsid w:val="00FE21E8"/>
    <w:rsid w:val="00FE24F0"/>
    <w:rsid w:val="00FE7060"/>
    <w:rsid w:val="00FF02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61BA"/>
  <w15:docId w15:val="{5258AF8C-9C32-42B0-A8AC-A8E7A0B3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B35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B3520"/>
    <w:rPr>
      <w:rFonts w:ascii="Tahoma" w:hAnsi="Tahoma" w:cs="Tahoma"/>
      <w:sz w:val="16"/>
      <w:szCs w:val="16"/>
    </w:rPr>
  </w:style>
  <w:style w:type="character" w:customStyle="1" w:styleId="DebesliotekstasDiagrama">
    <w:name w:val="Debesėlio tekstas Diagrama"/>
    <w:basedOn w:val="Numatytasispastraiposriftas"/>
    <w:link w:val="Debesliotekstas"/>
    <w:rsid w:val="00EB3520"/>
    <w:rPr>
      <w:rFonts w:ascii="Tahoma" w:hAnsi="Tahoma" w:cs="Tahoma"/>
      <w:sz w:val="16"/>
      <w:szCs w:val="16"/>
    </w:rPr>
  </w:style>
  <w:style w:type="paragraph" w:styleId="Antrats">
    <w:name w:val="header"/>
    <w:basedOn w:val="prastasis"/>
    <w:link w:val="AntratsDiagrama"/>
    <w:uiPriority w:val="99"/>
    <w:rsid w:val="007D5698"/>
    <w:pPr>
      <w:tabs>
        <w:tab w:val="center" w:pos="4819"/>
        <w:tab w:val="right" w:pos="9638"/>
      </w:tabs>
    </w:pPr>
  </w:style>
  <w:style w:type="character" w:customStyle="1" w:styleId="AntratsDiagrama">
    <w:name w:val="Antraštės Diagrama"/>
    <w:basedOn w:val="Numatytasispastraiposriftas"/>
    <w:link w:val="Antrats"/>
    <w:uiPriority w:val="99"/>
    <w:rsid w:val="007D5698"/>
  </w:style>
  <w:style w:type="paragraph" w:styleId="Porat">
    <w:name w:val="footer"/>
    <w:basedOn w:val="prastasis"/>
    <w:link w:val="PoratDiagrama"/>
    <w:rsid w:val="007D5698"/>
    <w:pPr>
      <w:tabs>
        <w:tab w:val="center" w:pos="4819"/>
        <w:tab w:val="right" w:pos="9638"/>
      </w:tabs>
    </w:pPr>
  </w:style>
  <w:style w:type="character" w:customStyle="1" w:styleId="PoratDiagrama">
    <w:name w:val="Poraštė Diagrama"/>
    <w:basedOn w:val="Numatytasispastraiposriftas"/>
    <w:link w:val="Porat"/>
    <w:rsid w:val="007D5698"/>
  </w:style>
  <w:style w:type="character" w:styleId="Vietosrezervavimoenklotekstas">
    <w:name w:val="Placeholder Text"/>
    <w:basedOn w:val="Numatytasispastraiposriftas"/>
    <w:rsid w:val="007D5698"/>
    <w:rPr>
      <w:color w:val="808080"/>
    </w:rPr>
  </w:style>
  <w:style w:type="character" w:styleId="Komentaronuoroda">
    <w:name w:val="annotation reference"/>
    <w:basedOn w:val="Numatytasispastraiposriftas"/>
    <w:rsid w:val="001E5A2D"/>
    <w:rPr>
      <w:sz w:val="16"/>
      <w:szCs w:val="16"/>
    </w:rPr>
  </w:style>
  <w:style w:type="paragraph" w:styleId="Komentarotekstas">
    <w:name w:val="annotation text"/>
    <w:basedOn w:val="prastasis"/>
    <w:link w:val="KomentarotekstasDiagrama"/>
    <w:rsid w:val="001E5A2D"/>
    <w:rPr>
      <w:sz w:val="20"/>
    </w:rPr>
  </w:style>
  <w:style w:type="character" w:customStyle="1" w:styleId="KomentarotekstasDiagrama">
    <w:name w:val="Komentaro tekstas Diagrama"/>
    <w:basedOn w:val="Numatytasispastraiposriftas"/>
    <w:link w:val="Komentarotekstas"/>
    <w:rsid w:val="001E5A2D"/>
    <w:rPr>
      <w:sz w:val="20"/>
    </w:rPr>
  </w:style>
  <w:style w:type="paragraph" w:styleId="Komentarotema">
    <w:name w:val="annotation subject"/>
    <w:basedOn w:val="Komentarotekstas"/>
    <w:next w:val="Komentarotekstas"/>
    <w:link w:val="KomentarotemaDiagrama"/>
    <w:rsid w:val="00AC3BB7"/>
    <w:rPr>
      <w:b/>
      <w:bCs/>
    </w:rPr>
  </w:style>
  <w:style w:type="character" w:customStyle="1" w:styleId="KomentarotemaDiagrama">
    <w:name w:val="Komentaro tema Diagrama"/>
    <w:basedOn w:val="KomentarotekstasDiagrama"/>
    <w:link w:val="Komentarotema"/>
    <w:rsid w:val="00AC3BB7"/>
    <w:rPr>
      <w:b/>
      <w:bCs/>
      <w:sz w:val="20"/>
    </w:rPr>
  </w:style>
  <w:style w:type="paragraph" w:styleId="Sraopastraipa">
    <w:name w:val="List Paragraph"/>
    <w:basedOn w:val="prastasis"/>
    <w:qFormat/>
    <w:rsid w:val="00ED3B3A"/>
    <w:pPr>
      <w:ind w:left="720"/>
      <w:contextualSpacing/>
    </w:pPr>
  </w:style>
  <w:style w:type="paragraph" w:styleId="Puslapioinaostekstas">
    <w:name w:val="footnote text"/>
    <w:basedOn w:val="prastasis"/>
    <w:link w:val="PuslapioinaostekstasDiagrama"/>
    <w:uiPriority w:val="99"/>
    <w:unhideWhenUsed/>
    <w:rsid w:val="000B118B"/>
    <w:rPr>
      <w:rFonts w:eastAsiaTheme="minorHAnsi"/>
      <w:sz w:val="20"/>
    </w:rPr>
  </w:style>
  <w:style w:type="character" w:customStyle="1" w:styleId="PuslapioinaostekstasDiagrama">
    <w:name w:val="Puslapio išnašos tekstas Diagrama"/>
    <w:basedOn w:val="Numatytasispastraiposriftas"/>
    <w:link w:val="Puslapioinaostekstas"/>
    <w:uiPriority w:val="99"/>
    <w:rsid w:val="000B118B"/>
    <w:rPr>
      <w:rFonts w:eastAsiaTheme="minorHAnsi"/>
      <w:sz w:val="20"/>
    </w:rPr>
  </w:style>
  <w:style w:type="character" w:styleId="Puslapioinaosnuoroda">
    <w:name w:val="footnote reference"/>
    <w:basedOn w:val="Numatytasispastraiposriftas"/>
    <w:uiPriority w:val="99"/>
    <w:unhideWhenUsed/>
    <w:rsid w:val="000B118B"/>
    <w:rPr>
      <w:vertAlign w:val="superscript"/>
    </w:rPr>
  </w:style>
  <w:style w:type="paragraph" w:styleId="Pataisymai">
    <w:name w:val="Revision"/>
    <w:hidden/>
    <w:semiHidden/>
    <w:rsid w:val="001D196E"/>
  </w:style>
  <w:style w:type="paragraph" w:customStyle="1" w:styleId="taltipfb">
    <w:name w:val="taltipfb"/>
    <w:basedOn w:val="prastasis"/>
    <w:rsid w:val="00A76718"/>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003519">
      <w:bodyDiv w:val="1"/>
      <w:marLeft w:val="0"/>
      <w:marRight w:val="0"/>
      <w:marTop w:val="0"/>
      <w:marBottom w:val="0"/>
      <w:divBdr>
        <w:top w:val="none" w:sz="0" w:space="0" w:color="auto"/>
        <w:left w:val="none" w:sz="0" w:space="0" w:color="auto"/>
        <w:bottom w:val="none" w:sz="0" w:space="0" w:color="auto"/>
        <w:right w:val="none" w:sz="0" w:space="0" w:color="auto"/>
      </w:divBdr>
      <w:divsChild>
        <w:div w:id="212812318">
          <w:marLeft w:val="0"/>
          <w:marRight w:val="0"/>
          <w:marTop w:val="0"/>
          <w:marBottom w:val="0"/>
          <w:divBdr>
            <w:top w:val="none" w:sz="0" w:space="0" w:color="auto"/>
            <w:left w:val="none" w:sz="0" w:space="0" w:color="auto"/>
            <w:bottom w:val="none" w:sz="0" w:space="0" w:color="auto"/>
            <w:right w:val="none" w:sz="0" w:space="0" w:color="auto"/>
          </w:divBdr>
        </w:div>
        <w:div w:id="603153179">
          <w:marLeft w:val="0"/>
          <w:marRight w:val="0"/>
          <w:marTop w:val="0"/>
          <w:marBottom w:val="0"/>
          <w:divBdr>
            <w:top w:val="none" w:sz="0" w:space="0" w:color="auto"/>
            <w:left w:val="none" w:sz="0" w:space="0" w:color="auto"/>
            <w:bottom w:val="none" w:sz="0" w:space="0" w:color="auto"/>
            <w:right w:val="none" w:sz="0" w:space="0" w:color="auto"/>
          </w:divBdr>
        </w:div>
      </w:divsChild>
    </w:div>
    <w:div w:id="1023288225">
      <w:bodyDiv w:val="1"/>
      <w:marLeft w:val="0"/>
      <w:marRight w:val="0"/>
      <w:marTop w:val="0"/>
      <w:marBottom w:val="0"/>
      <w:divBdr>
        <w:top w:val="none" w:sz="0" w:space="0" w:color="auto"/>
        <w:left w:val="none" w:sz="0" w:space="0" w:color="auto"/>
        <w:bottom w:val="none" w:sz="0" w:space="0" w:color="auto"/>
        <w:right w:val="none" w:sz="0" w:space="0" w:color="auto"/>
      </w:divBdr>
    </w:div>
    <w:div w:id="1035354372">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sChild>
        <w:div w:id="214775247">
          <w:marLeft w:val="0"/>
          <w:marRight w:val="0"/>
          <w:marTop w:val="0"/>
          <w:marBottom w:val="0"/>
          <w:divBdr>
            <w:top w:val="none" w:sz="0" w:space="0" w:color="auto"/>
            <w:left w:val="none" w:sz="0" w:space="0" w:color="auto"/>
            <w:bottom w:val="none" w:sz="0" w:space="0" w:color="auto"/>
            <w:right w:val="none" w:sz="0" w:space="0" w:color="auto"/>
          </w:divBdr>
          <w:divsChild>
            <w:div w:id="633297837">
              <w:marLeft w:val="0"/>
              <w:marRight w:val="0"/>
              <w:marTop w:val="0"/>
              <w:marBottom w:val="0"/>
              <w:divBdr>
                <w:top w:val="none" w:sz="0" w:space="0" w:color="auto"/>
                <w:left w:val="none" w:sz="0" w:space="0" w:color="auto"/>
                <w:bottom w:val="none" w:sz="0" w:space="0" w:color="auto"/>
                <w:right w:val="none" w:sz="0" w:space="0" w:color="auto"/>
              </w:divBdr>
            </w:div>
            <w:div w:id="469830849">
              <w:marLeft w:val="0"/>
              <w:marRight w:val="0"/>
              <w:marTop w:val="0"/>
              <w:marBottom w:val="0"/>
              <w:divBdr>
                <w:top w:val="none" w:sz="0" w:space="0" w:color="auto"/>
                <w:left w:val="none" w:sz="0" w:space="0" w:color="auto"/>
                <w:bottom w:val="none" w:sz="0" w:space="0" w:color="auto"/>
                <w:right w:val="none" w:sz="0" w:space="0" w:color="auto"/>
              </w:divBdr>
            </w:div>
            <w:div w:id="1471897874">
              <w:marLeft w:val="0"/>
              <w:marRight w:val="0"/>
              <w:marTop w:val="0"/>
              <w:marBottom w:val="0"/>
              <w:divBdr>
                <w:top w:val="none" w:sz="0" w:space="0" w:color="auto"/>
                <w:left w:val="none" w:sz="0" w:space="0" w:color="auto"/>
                <w:bottom w:val="none" w:sz="0" w:space="0" w:color="auto"/>
                <w:right w:val="none" w:sz="0" w:space="0" w:color="auto"/>
              </w:divBdr>
            </w:div>
          </w:divsChild>
        </w:div>
        <w:div w:id="1819297138">
          <w:marLeft w:val="0"/>
          <w:marRight w:val="0"/>
          <w:marTop w:val="0"/>
          <w:marBottom w:val="0"/>
          <w:divBdr>
            <w:top w:val="none" w:sz="0" w:space="0" w:color="auto"/>
            <w:left w:val="none" w:sz="0" w:space="0" w:color="auto"/>
            <w:bottom w:val="none" w:sz="0" w:space="0" w:color="auto"/>
            <w:right w:val="none" w:sz="0" w:space="0" w:color="auto"/>
          </w:divBdr>
        </w:div>
      </w:divsChild>
    </w:div>
    <w:div w:id="1840996745">
      <w:bodyDiv w:val="1"/>
      <w:marLeft w:val="0"/>
      <w:marRight w:val="0"/>
      <w:marTop w:val="0"/>
      <w:marBottom w:val="0"/>
      <w:divBdr>
        <w:top w:val="none" w:sz="0" w:space="0" w:color="auto"/>
        <w:left w:val="none" w:sz="0" w:space="0" w:color="auto"/>
        <w:bottom w:val="none" w:sz="0" w:space="0" w:color="auto"/>
        <w:right w:val="none" w:sz="0" w:space="0" w:color="auto"/>
      </w:divBdr>
      <w:divsChild>
        <w:div w:id="2096198800">
          <w:marLeft w:val="0"/>
          <w:marRight w:val="0"/>
          <w:marTop w:val="0"/>
          <w:marBottom w:val="0"/>
          <w:divBdr>
            <w:top w:val="none" w:sz="0" w:space="0" w:color="auto"/>
            <w:left w:val="none" w:sz="0" w:space="0" w:color="auto"/>
            <w:bottom w:val="none" w:sz="0" w:space="0" w:color="auto"/>
            <w:right w:val="none" w:sz="0" w:space="0" w:color="auto"/>
          </w:divBdr>
        </w:div>
      </w:divsChild>
    </w:div>
    <w:div w:id="213694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32377A3-1AEE-4353-B616-A57A7406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2086</Words>
  <Characters>1190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3270</CharactersWithSpaces>
  <SharedDoc>false</SharedDoc>
  <HyperlinkBase/>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Dovilė Trimbelienė</cp:lastModifiedBy>
  <cp:revision>6</cp:revision>
  <cp:lastPrinted>2022-10-26T06:49:00Z</cp:lastPrinted>
  <dcterms:created xsi:type="dcterms:W3CDTF">2022-10-26T05:48:00Z</dcterms:created>
  <dcterms:modified xsi:type="dcterms:W3CDTF">2022-10-31T08:35:00Z</dcterms:modified>
</cp:coreProperties>
</file>