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2DA2" w14:textId="514DB3E7" w:rsidR="002E58AA" w:rsidRDefault="00120EC1" w:rsidP="00B42CDB">
      <w:pPr>
        <w:ind w:right="282"/>
        <w:jc w:val="center"/>
        <w:rPr>
          <w:b/>
          <w:szCs w:val="24"/>
        </w:rPr>
      </w:pPr>
      <w:r>
        <w:rPr>
          <w:b/>
          <w:szCs w:val="24"/>
        </w:rPr>
        <w:t>PRIEŽASTYS</w:t>
      </w:r>
      <w:r w:rsidR="00521159">
        <w:rPr>
          <w:b/>
          <w:szCs w:val="24"/>
        </w:rPr>
        <w:t xml:space="preserve"> </w:t>
      </w:r>
      <w:r w:rsidR="008860BA">
        <w:rPr>
          <w:b/>
          <w:szCs w:val="24"/>
        </w:rPr>
        <w:t>PIRKIMUS</w:t>
      </w:r>
      <w:r w:rsidR="00521159">
        <w:rPr>
          <w:b/>
          <w:szCs w:val="24"/>
        </w:rPr>
        <w:t xml:space="preserve"> </w:t>
      </w:r>
      <w:r>
        <w:rPr>
          <w:b/>
          <w:szCs w:val="24"/>
        </w:rPr>
        <w:t xml:space="preserve">VYKDYTI </w:t>
      </w:r>
      <w:r w:rsidR="008860BA">
        <w:rPr>
          <w:b/>
          <w:szCs w:val="24"/>
        </w:rPr>
        <w:t>NE PER CPO KATALOGĄ</w:t>
      </w:r>
      <w:r>
        <w:rPr>
          <w:b/>
          <w:szCs w:val="24"/>
        </w:rPr>
        <w:t>*</w:t>
      </w:r>
    </w:p>
    <w:p w14:paraId="098756E7" w14:textId="281D8727" w:rsidR="008860BA" w:rsidRDefault="008860BA" w:rsidP="00EE288D">
      <w:pPr>
        <w:ind w:right="282"/>
        <w:rPr>
          <w:b/>
          <w:szCs w:val="24"/>
        </w:rPr>
      </w:pPr>
    </w:p>
    <w:p w14:paraId="0FD6B598" w14:textId="3B013434" w:rsidR="008860BA" w:rsidRDefault="008860BA" w:rsidP="00EE288D">
      <w:pPr>
        <w:ind w:right="282"/>
        <w:rPr>
          <w:b/>
          <w:szCs w:val="24"/>
        </w:rPr>
      </w:pPr>
    </w:p>
    <w:p w14:paraId="383C7A45" w14:textId="032B7892" w:rsidR="008860BA" w:rsidRDefault="008860BA" w:rsidP="00EE288D">
      <w:pPr>
        <w:ind w:right="282"/>
        <w:rPr>
          <w:b/>
          <w:szCs w:val="24"/>
        </w:rPr>
      </w:pPr>
    </w:p>
    <w:tbl>
      <w:tblPr>
        <w:tblStyle w:val="TableGrid"/>
        <w:tblW w:w="0" w:type="auto"/>
        <w:tblInd w:w="-5" w:type="dxa"/>
        <w:tblLook w:val="04A0" w:firstRow="1" w:lastRow="0" w:firstColumn="1" w:lastColumn="0" w:noHBand="0" w:noVBand="1"/>
      </w:tblPr>
      <w:tblGrid>
        <w:gridCol w:w="1020"/>
        <w:gridCol w:w="3851"/>
        <w:gridCol w:w="3913"/>
      </w:tblGrid>
      <w:tr w:rsidR="008860BA" w14:paraId="65F52EE1" w14:textId="77777777" w:rsidTr="008860BA">
        <w:trPr>
          <w:trHeight w:val="557"/>
        </w:trPr>
        <w:tc>
          <w:tcPr>
            <w:tcW w:w="1020" w:type="dxa"/>
          </w:tcPr>
          <w:p w14:paraId="1D02A1DF" w14:textId="50FF646F" w:rsidR="008860BA" w:rsidRDefault="008860BA" w:rsidP="00EE288D">
            <w:pPr>
              <w:ind w:right="282"/>
              <w:rPr>
                <w:b/>
                <w:szCs w:val="24"/>
              </w:rPr>
            </w:pPr>
            <w:r>
              <w:rPr>
                <w:b/>
                <w:szCs w:val="24"/>
              </w:rPr>
              <w:t xml:space="preserve">Eil. </w:t>
            </w:r>
            <w:proofErr w:type="spellStart"/>
            <w:r>
              <w:rPr>
                <w:b/>
                <w:szCs w:val="24"/>
              </w:rPr>
              <w:t>nr.</w:t>
            </w:r>
            <w:proofErr w:type="spellEnd"/>
          </w:p>
        </w:tc>
        <w:tc>
          <w:tcPr>
            <w:tcW w:w="3851" w:type="dxa"/>
          </w:tcPr>
          <w:p w14:paraId="020A348C" w14:textId="344D8561" w:rsidR="008860BA" w:rsidRDefault="008860BA" w:rsidP="00EE288D">
            <w:pPr>
              <w:ind w:right="282"/>
              <w:rPr>
                <w:b/>
                <w:szCs w:val="24"/>
              </w:rPr>
            </w:pPr>
            <w:r>
              <w:rPr>
                <w:b/>
                <w:szCs w:val="24"/>
              </w:rPr>
              <w:t>Pirkimo objektas</w:t>
            </w:r>
          </w:p>
        </w:tc>
        <w:tc>
          <w:tcPr>
            <w:tcW w:w="3913" w:type="dxa"/>
          </w:tcPr>
          <w:p w14:paraId="5C8E9BA0" w14:textId="681432C9" w:rsidR="008860BA" w:rsidRDefault="008860BA" w:rsidP="00EE288D">
            <w:pPr>
              <w:ind w:right="282"/>
              <w:rPr>
                <w:b/>
                <w:szCs w:val="24"/>
              </w:rPr>
            </w:pPr>
            <w:r>
              <w:rPr>
                <w:b/>
                <w:szCs w:val="24"/>
              </w:rPr>
              <w:t>Priežastis pirkimą vykdyti ne per CPO katalogą</w:t>
            </w:r>
          </w:p>
        </w:tc>
      </w:tr>
      <w:tr w:rsidR="008860BA" w14:paraId="07B3AF1A" w14:textId="77777777" w:rsidTr="008860BA">
        <w:trPr>
          <w:trHeight w:val="2849"/>
        </w:trPr>
        <w:tc>
          <w:tcPr>
            <w:tcW w:w="1020" w:type="dxa"/>
          </w:tcPr>
          <w:p w14:paraId="2DFC3126" w14:textId="181A3AF5" w:rsidR="008860BA" w:rsidRDefault="008860BA" w:rsidP="00EE288D">
            <w:pPr>
              <w:ind w:right="282"/>
              <w:rPr>
                <w:b/>
                <w:szCs w:val="24"/>
              </w:rPr>
            </w:pPr>
            <w:r>
              <w:rPr>
                <w:b/>
                <w:szCs w:val="24"/>
              </w:rPr>
              <w:t>1.</w:t>
            </w:r>
          </w:p>
        </w:tc>
        <w:tc>
          <w:tcPr>
            <w:tcW w:w="3851" w:type="dxa"/>
          </w:tcPr>
          <w:p w14:paraId="0A1451D9" w14:textId="2831A19B" w:rsidR="008860BA" w:rsidRPr="008860BA" w:rsidRDefault="008860BA" w:rsidP="008860BA">
            <w:pPr>
              <w:ind w:right="282"/>
              <w:jc w:val="both"/>
              <w:rPr>
                <w:bCs/>
                <w:szCs w:val="24"/>
              </w:rPr>
            </w:pPr>
            <w:r w:rsidRPr="008860BA">
              <w:rPr>
                <w:bCs/>
                <w:szCs w:val="24"/>
              </w:rPr>
              <w:t>Vertimo paslaugos Nacionalinei teismų administracijai ir LR teismams</w:t>
            </w:r>
          </w:p>
        </w:tc>
        <w:tc>
          <w:tcPr>
            <w:tcW w:w="3913" w:type="dxa"/>
          </w:tcPr>
          <w:p w14:paraId="489498B8" w14:textId="2F7DE9AA" w:rsidR="008860BA" w:rsidRPr="008860BA" w:rsidRDefault="008860BA" w:rsidP="008860BA">
            <w:pPr>
              <w:ind w:right="282"/>
              <w:jc w:val="both"/>
              <w:rPr>
                <w:bCs/>
                <w:szCs w:val="24"/>
              </w:rPr>
            </w:pPr>
            <w:r w:rsidRPr="008860BA">
              <w:rPr>
                <w:bCs/>
                <w:szCs w:val="24"/>
              </w:rPr>
              <w:t>Perkančioji organizacija negali pateikti konkrečių tikslių duomenų, reikalingų įsigyti paslaugas per CPO katalogą ir atitinkamai sudaryti ilgalaikės sutarties. Taip pat netinkamos sąlygos dėl paslaugų privalomo išpirkimo ir atsakomybės mechanizmo</w:t>
            </w:r>
            <w:r>
              <w:rPr>
                <w:bCs/>
                <w:szCs w:val="24"/>
              </w:rPr>
              <w:t>.</w:t>
            </w:r>
          </w:p>
        </w:tc>
      </w:tr>
      <w:tr w:rsidR="008860BA" w14:paraId="1004B735" w14:textId="77777777" w:rsidTr="008860BA">
        <w:trPr>
          <w:trHeight w:val="278"/>
        </w:trPr>
        <w:tc>
          <w:tcPr>
            <w:tcW w:w="1020" w:type="dxa"/>
          </w:tcPr>
          <w:p w14:paraId="07D0F05D" w14:textId="618E8879" w:rsidR="008860BA" w:rsidRDefault="008860BA" w:rsidP="00EE288D">
            <w:pPr>
              <w:ind w:right="282"/>
              <w:rPr>
                <w:b/>
                <w:szCs w:val="24"/>
              </w:rPr>
            </w:pPr>
            <w:r>
              <w:rPr>
                <w:b/>
                <w:szCs w:val="24"/>
              </w:rPr>
              <w:t>2.</w:t>
            </w:r>
          </w:p>
        </w:tc>
        <w:tc>
          <w:tcPr>
            <w:tcW w:w="3851" w:type="dxa"/>
          </w:tcPr>
          <w:p w14:paraId="13512D46" w14:textId="1C98CFE2" w:rsidR="008860BA" w:rsidRDefault="008D00FA" w:rsidP="00EE288D">
            <w:pPr>
              <w:ind w:right="282"/>
              <w:rPr>
                <w:b/>
                <w:szCs w:val="24"/>
              </w:rPr>
            </w:pPr>
            <w:r w:rsidRPr="00BC57BF">
              <w:rPr>
                <w:spacing w:val="-4"/>
              </w:rPr>
              <w:t>Utenos apylinkės teismo pastato paprastojo remonto darb</w:t>
            </w:r>
            <w:r>
              <w:rPr>
                <w:spacing w:val="-4"/>
              </w:rPr>
              <w:t>ų pirkimas</w:t>
            </w:r>
            <w:r w:rsidR="00D23499">
              <w:rPr>
                <w:spacing w:val="-4"/>
              </w:rPr>
              <w:t xml:space="preserve"> (2021 m.)</w:t>
            </w:r>
          </w:p>
        </w:tc>
        <w:tc>
          <w:tcPr>
            <w:tcW w:w="3913" w:type="dxa"/>
          </w:tcPr>
          <w:p w14:paraId="31DD6986" w14:textId="77777777" w:rsidR="008D00FA" w:rsidRPr="008D00FA" w:rsidRDefault="008D00FA" w:rsidP="008D00FA">
            <w:pPr>
              <w:ind w:right="282"/>
              <w:jc w:val="both"/>
              <w:rPr>
                <w:bCs/>
                <w:szCs w:val="24"/>
              </w:rPr>
            </w:pPr>
            <w:r w:rsidRPr="008D00FA">
              <w:rPr>
                <w:bCs/>
                <w:szCs w:val="24"/>
              </w:rPr>
              <w:t>CPO rangos sutartys standartinės ir neatitinka atsiskaitymo tvarkos ir kitų sąlygų, kurios turi būti aprašytos sutartyje:</w:t>
            </w:r>
          </w:p>
          <w:p w14:paraId="162600A4" w14:textId="2A34EDD7" w:rsidR="008D00FA" w:rsidRPr="008D00FA" w:rsidRDefault="008D00FA" w:rsidP="008D00FA">
            <w:pPr>
              <w:ind w:right="282"/>
              <w:jc w:val="both"/>
              <w:rPr>
                <w:bCs/>
                <w:szCs w:val="24"/>
              </w:rPr>
            </w:pPr>
            <w:r>
              <w:rPr>
                <w:bCs/>
                <w:szCs w:val="24"/>
              </w:rPr>
              <w:t xml:space="preserve">- </w:t>
            </w:r>
            <w:r w:rsidRPr="008D00FA">
              <w:rPr>
                <w:bCs/>
                <w:szCs w:val="24"/>
              </w:rPr>
              <w:t>perkančiajai organizacijai reikalinga galimybė sumokėti dalį sumos išankstiniu mokėjimu;</w:t>
            </w:r>
          </w:p>
          <w:p w14:paraId="4AF34794" w14:textId="65668CD0" w:rsidR="008D00FA" w:rsidRPr="008D00FA" w:rsidRDefault="008D00FA" w:rsidP="008D00FA">
            <w:pPr>
              <w:ind w:right="282"/>
              <w:jc w:val="both"/>
              <w:rPr>
                <w:bCs/>
                <w:szCs w:val="24"/>
              </w:rPr>
            </w:pPr>
            <w:r>
              <w:rPr>
                <w:bCs/>
                <w:szCs w:val="24"/>
              </w:rPr>
              <w:t xml:space="preserve">- </w:t>
            </w:r>
            <w:r w:rsidRPr="008D00FA">
              <w:rPr>
                <w:bCs/>
                <w:szCs w:val="24"/>
              </w:rPr>
              <w:t>perkančiajai organizacijai reikalinga galimybė reikalauti Rangovo nurodytu terminu grąžinti į Užsakovo banko sąskaitą išankstiniu mokėjimu sumokėtą sumą, jei Rangovas sutartines prievoles vykdo netinkamai;</w:t>
            </w:r>
          </w:p>
          <w:p w14:paraId="720DD4DA" w14:textId="34443B99" w:rsidR="008D00FA" w:rsidRPr="008D00FA" w:rsidRDefault="008D00FA" w:rsidP="008D00FA">
            <w:pPr>
              <w:ind w:right="282"/>
              <w:jc w:val="both"/>
              <w:rPr>
                <w:bCs/>
                <w:szCs w:val="24"/>
              </w:rPr>
            </w:pPr>
            <w:r>
              <w:rPr>
                <w:bCs/>
                <w:szCs w:val="24"/>
              </w:rPr>
              <w:t xml:space="preserve">- </w:t>
            </w:r>
            <w:r w:rsidRPr="008D00FA">
              <w:rPr>
                <w:bCs/>
                <w:szCs w:val="24"/>
              </w:rPr>
              <w:t>perkančiajai organizacijai reikalinga galimybė reikalauti iš Rangovo pateikti išankstinio mokėjimo grąžinimo garantiją,</w:t>
            </w:r>
            <w:r w:rsidRPr="008D00FA" w:rsidDel="00B80043">
              <w:rPr>
                <w:bCs/>
                <w:szCs w:val="24"/>
              </w:rPr>
              <w:t xml:space="preserve"> </w:t>
            </w:r>
            <w:r w:rsidRPr="008D00FA">
              <w:rPr>
                <w:bCs/>
                <w:szCs w:val="24"/>
              </w:rPr>
              <w:t>išduotą banko ar kredito unijos garantijos arba draudimo bendrovės laidavimo rašto forma.</w:t>
            </w:r>
          </w:p>
          <w:p w14:paraId="2C428C14" w14:textId="77777777" w:rsidR="008860BA" w:rsidRDefault="008860BA" w:rsidP="00EE288D">
            <w:pPr>
              <w:ind w:right="282"/>
              <w:rPr>
                <w:b/>
                <w:szCs w:val="24"/>
              </w:rPr>
            </w:pPr>
          </w:p>
        </w:tc>
      </w:tr>
      <w:tr w:rsidR="008860BA" w14:paraId="395BA2CE" w14:textId="77777777" w:rsidTr="008860BA">
        <w:trPr>
          <w:trHeight w:val="278"/>
        </w:trPr>
        <w:tc>
          <w:tcPr>
            <w:tcW w:w="1020" w:type="dxa"/>
          </w:tcPr>
          <w:p w14:paraId="5D1878AA" w14:textId="5E662815" w:rsidR="008860BA" w:rsidRDefault="008860BA" w:rsidP="00EE288D">
            <w:pPr>
              <w:ind w:right="282"/>
              <w:rPr>
                <w:b/>
                <w:szCs w:val="24"/>
              </w:rPr>
            </w:pPr>
            <w:r>
              <w:rPr>
                <w:b/>
                <w:szCs w:val="24"/>
              </w:rPr>
              <w:t>3.</w:t>
            </w:r>
          </w:p>
        </w:tc>
        <w:tc>
          <w:tcPr>
            <w:tcW w:w="3851" w:type="dxa"/>
          </w:tcPr>
          <w:p w14:paraId="1FF51ADD" w14:textId="7BF895B6" w:rsidR="008860BA" w:rsidRDefault="00885017" w:rsidP="00EE288D">
            <w:pPr>
              <w:ind w:right="282"/>
              <w:rPr>
                <w:b/>
                <w:szCs w:val="24"/>
              </w:rPr>
            </w:pPr>
            <w:r>
              <w:t>Nešiojamų kompiuterių komplektai (2021 m.)</w:t>
            </w:r>
          </w:p>
        </w:tc>
        <w:tc>
          <w:tcPr>
            <w:tcW w:w="3913" w:type="dxa"/>
          </w:tcPr>
          <w:p w14:paraId="01C99F47" w14:textId="4D8857EA" w:rsidR="00885017" w:rsidRPr="00885017" w:rsidRDefault="00885017" w:rsidP="00885017">
            <w:pPr>
              <w:jc w:val="both"/>
              <w:rPr>
                <w:szCs w:val="24"/>
              </w:rPr>
            </w:pPr>
            <w:r>
              <w:rPr>
                <w:szCs w:val="24"/>
              </w:rPr>
              <w:t xml:space="preserve">- </w:t>
            </w:r>
            <w:r w:rsidRPr="00885017">
              <w:rPr>
                <w:szCs w:val="24"/>
              </w:rPr>
              <w:t xml:space="preserve">Nėra galimybės pasirinkti ar nurodyti tiksliai reikalingo garantinio aptarnavimo lygio. </w:t>
            </w:r>
            <w:proofErr w:type="spellStart"/>
            <w:r w:rsidRPr="00885017">
              <w:rPr>
                <w:szCs w:val="24"/>
              </w:rPr>
              <w:t>T.y</w:t>
            </w:r>
            <w:proofErr w:type="spellEnd"/>
            <w:r w:rsidRPr="00885017">
              <w:rPr>
                <w:szCs w:val="24"/>
              </w:rPr>
              <w:t xml:space="preserve"> reakcijos į gedimą, ar sugedęs įrenginys turėtų būti pristatomas į servisą ar atvažiuotu inžinierius į darbo vietą ir paimtų. Taip pat CVP galima įtraukti tokį reikalavimą, kad jei per 5 </w:t>
            </w:r>
            <w:proofErr w:type="spellStart"/>
            <w:r w:rsidRPr="00885017">
              <w:rPr>
                <w:szCs w:val="24"/>
              </w:rPr>
              <w:t>d.d</w:t>
            </w:r>
            <w:proofErr w:type="spellEnd"/>
            <w:r w:rsidRPr="00885017">
              <w:rPr>
                <w:szCs w:val="24"/>
              </w:rPr>
              <w:t xml:space="preserve">. nepašalina gedimo, turi būti pakeičiamas ne prastesnių parametrų preke ar pan. </w:t>
            </w:r>
          </w:p>
          <w:p w14:paraId="2EF01F24" w14:textId="63C113B8" w:rsidR="00885017" w:rsidRPr="00861371" w:rsidRDefault="00885017" w:rsidP="00885017">
            <w:pPr>
              <w:jc w:val="both"/>
              <w:rPr>
                <w:szCs w:val="24"/>
              </w:rPr>
            </w:pPr>
            <w:r>
              <w:rPr>
                <w:szCs w:val="24"/>
              </w:rPr>
              <w:t xml:space="preserve">- </w:t>
            </w:r>
            <w:r w:rsidRPr="00861371">
              <w:rPr>
                <w:szCs w:val="24"/>
              </w:rPr>
              <w:t xml:space="preserve">Nėra reikalavimo, kad kompiuteriai turi būti su </w:t>
            </w:r>
            <w:r>
              <w:rPr>
                <w:szCs w:val="24"/>
              </w:rPr>
              <w:t xml:space="preserve">integruota internetine </w:t>
            </w:r>
            <w:r w:rsidRPr="00861371">
              <w:rPr>
                <w:szCs w:val="24"/>
              </w:rPr>
              <w:t xml:space="preserve">kamera. Tiksliau, naujame CPO </w:t>
            </w:r>
            <w:r w:rsidRPr="00861371">
              <w:rPr>
                <w:szCs w:val="24"/>
              </w:rPr>
              <w:lastRenderedPageBreak/>
              <w:t xml:space="preserve">kataloge tokį reikalavimą įtraukė, bet teoriškai nėra užtikrinimo, kad kompiuteriai atvažiuos su </w:t>
            </w:r>
            <w:r>
              <w:rPr>
                <w:szCs w:val="24"/>
              </w:rPr>
              <w:t>integruota internetine kamera</w:t>
            </w:r>
            <w:r w:rsidRPr="00861371">
              <w:rPr>
                <w:szCs w:val="24"/>
              </w:rPr>
              <w:t xml:space="preserve">. </w:t>
            </w:r>
          </w:p>
          <w:p w14:paraId="4CE77255" w14:textId="03971116" w:rsidR="00885017" w:rsidRPr="00861371" w:rsidRDefault="00885017" w:rsidP="00885017">
            <w:pPr>
              <w:jc w:val="both"/>
              <w:rPr>
                <w:szCs w:val="24"/>
              </w:rPr>
            </w:pPr>
            <w:r>
              <w:rPr>
                <w:szCs w:val="24"/>
              </w:rPr>
              <w:t xml:space="preserve">- </w:t>
            </w:r>
            <w:r w:rsidRPr="00861371">
              <w:rPr>
                <w:szCs w:val="24"/>
              </w:rPr>
              <w:t xml:space="preserve">Nėra reikalavimo, kad kompiuteriai turi būti paruošti naudojimui su naujausiais saugos sertifikatais, </w:t>
            </w:r>
            <w:r>
              <w:rPr>
                <w:szCs w:val="24"/>
              </w:rPr>
              <w:t>tvarkyklėmis,</w:t>
            </w:r>
            <w:r w:rsidRPr="00861371">
              <w:rPr>
                <w:szCs w:val="24"/>
              </w:rPr>
              <w:t xml:space="preserve"> kuriose yra užtaisytos visos saugomo skylės iš senesnių versijų.</w:t>
            </w:r>
          </w:p>
          <w:p w14:paraId="661A17F2" w14:textId="085E94EA" w:rsidR="00885017" w:rsidRDefault="00885017" w:rsidP="00885017">
            <w:pPr>
              <w:jc w:val="both"/>
              <w:rPr>
                <w:szCs w:val="24"/>
              </w:rPr>
            </w:pPr>
            <w:r>
              <w:rPr>
                <w:szCs w:val="24"/>
              </w:rPr>
              <w:t xml:space="preserve">- </w:t>
            </w:r>
            <w:r w:rsidRPr="00861371">
              <w:rPr>
                <w:szCs w:val="24"/>
              </w:rPr>
              <w:t>Nėra galimyb</w:t>
            </w:r>
            <w:r>
              <w:rPr>
                <w:szCs w:val="24"/>
              </w:rPr>
              <w:t>ė</w:t>
            </w:r>
            <w:r w:rsidRPr="00861371">
              <w:rPr>
                <w:szCs w:val="24"/>
              </w:rPr>
              <w:t xml:space="preserve">s įtraukti </w:t>
            </w:r>
            <w:proofErr w:type="spellStart"/>
            <w:r w:rsidRPr="00861371">
              <w:rPr>
                <w:szCs w:val="24"/>
              </w:rPr>
              <w:t>vPro</w:t>
            </w:r>
            <w:proofErr w:type="spellEnd"/>
            <w:r w:rsidRPr="00861371">
              <w:rPr>
                <w:szCs w:val="24"/>
              </w:rPr>
              <w:t xml:space="preserve"> arba AMD DASH</w:t>
            </w:r>
            <w:r>
              <w:rPr>
                <w:szCs w:val="24"/>
              </w:rPr>
              <w:t xml:space="preserve"> </w:t>
            </w:r>
            <w:r w:rsidRPr="00861371">
              <w:rPr>
                <w:szCs w:val="24"/>
              </w:rPr>
              <w:t>(</w:t>
            </w:r>
            <w:r>
              <w:rPr>
                <w:szCs w:val="24"/>
              </w:rPr>
              <w:t>p</w:t>
            </w:r>
            <w:r w:rsidRPr="00861371">
              <w:rPr>
                <w:szCs w:val="24"/>
              </w:rPr>
              <w:t>ažangios technologijos leidžiančios valdyti nuotoliniu būdų įrenginius, nepriklausomai nuo OS, BIOS lygmenyje)</w:t>
            </w:r>
          </w:p>
          <w:p w14:paraId="19144304" w14:textId="77777777" w:rsidR="008860BA" w:rsidRDefault="008860BA" w:rsidP="00EE288D">
            <w:pPr>
              <w:ind w:right="282"/>
              <w:rPr>
                <w:b/>
                <w:szCs w:val="24"/>
              </w:rPr>
            </w:pPr>
          </w:p>
        </w:tc>
      </w:tr>
      <w:tr w:rsidR="0008406E" w14:paraId="20BAAC36" w14:textId="77777777" w:rsidTr="008860BA">
        <w:trPr>
          <w:trHeight w:val="278"/>
        </w:trPr>
        <w:tc>
          <w:tcPr>
            <w:tcW w:w="1020" w:type="dxa"/>
          </w:tcPr>
          <w:p w14:paraId="5B7A83DF" w14:textId="36935E12" w:rsidR="0008406E" w:rsidRDefault="0008406E" w:rsidP="00EE288D">
            <w:pPr>
              <w:ind w:right="282"/>
              <w:rPr>
                <w:b/>
                <w:szCs w:val="24"/>
              </w:rPr>
            </w:pPr>
            <w:r>
              <w:rPr>
                <w:b/>
                <w:szCs w:val="24"/>
              </w:rPr>
              <w:lastRenderedPageBreak/>
              <w:t>4.</w:t>
            </w:r>
          </w:p>
        </w:tc>
        <w:tc>
          <w:tcPr>
            <w:tcW w:w="3851" w:type="dxa"/>
          </w:tcPr>
          <w:p w14:paraId="0B819514" w14:textId="3264F567" w:rsidR="0008406E" w:rsidRPr="006B070A" w:rsidRDefault="0008406E" w:rsidP="00EE288D">
            <w:pPr>
              <w:ind w:right="282"/>
              <w:rPr>
                <w:bCs/>
                <w:szCs w:val="24"/>
              </w:rPr>
            </w:pPr>
            <w:r w:rsidRPr="006B070A">
              <w:rPr>
                <w:bCs/>
                <w:szCs w:val="24"/>
              </w:rPr>
              <w:t>Vertimo paslaugos LR teismams (2022 m.)</w:t>
            </w:r>
          </w:p>
        </w:tc>
        <w:tc>
          <w:tcPr>
            <w:tcW w:w="3913" w:type="dxa"/>
            <w:vMerge w:val="restart"/>
          </w:tcPr>
          <w:p w14:paraId="17F8DBAF" w14:textId="77777777" w:rsidR="0008406E" w:rsidRPr="005E0E2B" w:rsidRDefault="0008406E" w:rsidP="0008406E">
            <w:pPr>
              <w:jc w:val="both"/>
              <w:rPr>
                <w:szCs w:val="24"/>
              </w:rPr>
            </w:pPr>
            <w:r w:rsidRPr="00906099">
              <w:rPr>
                <w:szCs w:val="24"/>
              </w:rPr>
              <w:t>Perkančioji organizacija negali pateikti konkrečių tikslių duomenų, reikalingų įsigyti paslaugas per CPO katalogą ir atitinkamai sudaryti ilgalaikės sutarties. Taip pat netinkamos sąlygos dėl paslaugų privalomo išpirkimo (yra pareiga nupirkti paslaugų ne mažiau kaip nuo 50 iki 100 proc.) ir atsakomybės mechanizmo (</w:t>
            </w:r>
            <w:r w:rsidRPr="0008406E">
              <w:rPr>
                <w:szCs w:val="24"/>
              </w:rPr>
              <w:t>neišpirkus nurodyto privalomo procento paslaugų yra taikoma 10 (dešimties) procentų nuo neįvykdytų įsipareigojimų kainos dydžio bauda)</w:t>
            </w:r>
            <w:r w:rsidRPr="00906099">
              <w:rPr>
                <w:szCs w:val="24"/>
              </w:rPr>
              <w:t>. Taip pat per CPO katalogą nėra galimybės nupirkti vertimo paslaugas žodžiu ir raštu visomis pageidaujamomis kalbomis</w:t>
            </w:r>
            <w:r w:rsidRPr="0008406E">
              <w:rPr>
                <w:szCs w:val="24"/>
              </w:rPr>
              <w:t>.</w:t>
            </w:r>
          </w:p>
          <w:p w14:paraId="0540C463" w14:textId="77777777" w:rsidR="0008406E" w:rsidRPr="0008406E" w:rsidRDefault="0008406E" w:rsidP="0008406E">
            <w:pPr>
              <w:ind w:right="282"/>
              <w:rPr>
                <w:szCs w:val="24"/>
              </w:rPr>
            </w:pPr>
          </w:p>
        </w:tc>
      </w:tr>
      <w:tr w:rsidR="0008406E" w14:paraId="6313C8F7" w14:textId="77777777" w:rsidTr="008860BA">
        <w:trPr>
          <w:trHeight w:val="278"/>
        </w:trPr>
        <w:tc>
          <w:tcPr>
            <w:tcW w:w="1020" w:type="dxa"/>
          </w:tcPr>
          <w:p w14:paraId="11B6B5B2" w14:textId="469AEF86" w:rsidR="0008406E" w:rsidRDefault="0008406E" w:rsidP="00EE288D">
            <w:pPr>
              <w:ind w:right="282"/>
              <w:rPr>
                <w:b/>
                <w:szCs w:val="24"/>
              </w:rPr>
            </w:pPr>
            <w:r>
              <w:rPr>
                <w:b/>
                <w:szCs w:val="24"/>
              </w:rPr>
              <w:t xml:space="preserve">5. </w:t>
            </w:r>
          </w:p>
        </w:tc>
        <w:tc>
          <w:tcPr>
            <w:tcW w:w="3851" w:type="dxa"/>
          </w:tcPr>
          <w:p w14:paraId="29653A9E" w14:textId="791FAE8E" w:rsidR="0008406E" w:rsidRPr="006B070A" w:rsidRDefault="0008406E" w:rsidP="00EE288D">
            <w:pPr>
              <w:ind w:right="282"/>
              <w:rPr>
                <w:bCs/>
                <w:szCs w:val="24"/>
              </w:rPr>
            </w:pPr>
            <w:r w:rsidRPr="006B070A">
              <w:rPr>
                <w:bCs/>
                <w:szCs w:val="24"/>
              </w:rPr>
              <w:t>Vertimo paslaugos LR teismams ir Nacionalinei teismų administracijai (2022 m.)</w:t>
            </w:r>
          </w:p>
        </w:tc>
        <w:tc>
          <w:tcPr>
            <w:tcW w:w="3913" w:type="dxa"/>
            <w:vMerge/>
          </w:tcPr>
          <w:p w14:paraId="2B8687C8" w14:textId="77777777" w:rsidR="0008406E" w:rsidRDefault="0008406E" w:rsidP="00EE288D">
            <w:pPr>
              <w:ind w:right="282"/>
              <w:rPr>
                <w:b/>
                <w:szCs w:val="24"/>
              </w:rPr>
            </w:pPr>
          </w:p>
        </w:tc>
      </w:tr>
      <w:tr w:rsidR="0008406E" w14:paraId="5947F770" w14:textId="77777777" w:rsidTr="008860BA">
        <w:trPr>
          <w:trHeight w:val="278"/>
        </w:trPr>
        <w:tc>
          <w:tcPr>
            <w:tcW w:w="1020" w:type="dxa"/>
          </w:tcPr>
          <w:p w14:paraId="73139F22" w14:textId="604E0462" w:rsidR="0008406E" w:rsidRDefault="0008406E" w:rsidP="00EE288D">
            <w:pPr>
              <w:ind w:right="282"/>
              <w:rPr>
                <w:b/>
                <w:szCs w:val="24"/>
              </w:rPr>
            </w:pPr>
            <w:r>
              <w:rPr>
                <w:b/>
                <w:szCs w:val="24"/>
              </w:rPr>
              <w:t>6.</w:t>
            </w:r>
          </w:p>
        </w:tc>
        <w:tc>
          <w:tcPr>
            <w:tcW w:w="3851" w:type="dxa"/>
          </w:tcPr>
          <w:p w14:paraId="52CCD08A" w14:textId="77777777" w:rsidR="0008406E" w:rsidRDefault="0008406E" w:rsidP="00EE288D">
            <w:pPr>
              <w:ind w:right="282"/>
              <w:rPr>
                <w:b/>
                <w:szCs w:val="24"/>
              </w:rPr>
            </w:pPr>
          </w:p>
        </w:tc>
        <w:tc>
          <w:tcPr>
            <w:tcW w:w="3913" w:type="dxa"/>
          </w:tcPr>
          <w:p w14:paraId="16691B46" w14:textId="77777777" w:rsidR="0008406E" w:rsidRDefault="0008406E" w:rsidP="00EE288D">
            <w:pPr>
              <w:ind w:right="282"/>
              <w:rPr>
                <w:b/>
                <w:szCs w:val="24"/>
              </w:rPr>
            </w:pPr>
          </w:p>
        </w:tc>
      </w:tr>
    </w:tbl>
    <w:p w14:paraId="35BD21CD" w14:textId="52F1116C" w:rsidR="008860BA" w:rsidRDefault="008860BA" w:rsidP="00EE288D">
      <w:pPr>
        <w:ind w:right="282"/>
        <w:rPr>
          <w:b/>
          <w:szCs w:val="24"/>
        </w:rPr>
      </w:pPr>
    </w:p>
    <w:p w14:paraId="05362FC9" w14:textId="7B1EE638" w:rsidR="00120EC1" w:rsidRPr="00120EC1" w:rsidRDefault="00120EC1" w:rsidP="00EE288D">
      <w:pPr>
        <w:ind w:right="282"/>
        <w:rPr>
          <w:bCs/>
          <w:szCs w:val="24"/>
        </w:rPr>
      </w:pPr>
      <w:r w:rsidRPr="00120EC1">
        <w:rPr>
          <w:bCs/>
          <w:szCs w:val="24"/>
        </w:rPr>
        <w:t>*teikiama informacija apie tuos pirkimus, kuriuos, vadovaujantis Viešųjų pirkimų įstatymo nuostatomis, privaloma vykdyti per CPO katalogą</w:t>
      </w:r>
      <w:r w:rsidR="00FA26D4">
        <w:rPr>
          <w:bCs/>
          <w:szCs w:val="24"/>
        </w:rPr>
        <w:t>, o nusprendus vykdyti kitais būdais – išviešinti tokio sprendimo pagrindimą</w:t>
      </w:r>
    </w:p>
    <w:sectPr w:rsidR="00120EC1" w:rsidRPr="00120EC1" w:rsidSect="00F7499B">
      <w:pgSz w:w="11906" w:h="16838"/>
      <w:pgMar w:top="1134" w:right="1274"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F1E0" w14:textId="77777777" w:rsidR="00415527" w:rsidRDefault="00415527" w:rsidP="002E58AA">
      <w:r>
        <w:separator/>
      </w:r>
    </w:p>
  </w:endnote>
  <w:endnote w:type="continuationSeparator" w:id="0">
    <w:p w14:paraId="531725A4" w14:textId="77777777" w:rsidR="00415527" w:rsidRDefault="00415527" w:rsidP="002E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5FA9" w14:textId="77777777" w:rsidR="00415527" w:rsidRDefault="00415527" w:rsidP="002E58AA">
      <w:r>
        <w:separator/>
      </w:r>
    </w:p>
  </w:footnote>
  <w:footnote w:type="continuationSeparator" w:id="0">
    <w:p w14:paraId="0439B810" w14:textId="77777777" w:rsidR="00415527" w:rsidRDefault="00415527" w:rsidP="002E5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919"/>
    <w:multiLevelType w:val="multilevel"/>
    <w:tmpl w:val="BB623DE4"/>
    <w:lvl w:ilvl="0">
      <w:start w:val="3"/>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8170DD5"/>
    <w:multiLevelType w:val="multilevel"/>
    <w:tmpl w:val="A33A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E114D"/>
    <w:multiLevelType w:val="hybridMultilevel"/>
    <w:tmpl w:val="B2340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16596"/>
    <w:multiLevelType w:val="multilevel"/>
    <w:tmpl w:val="82EC293A"/>
    <w:lvl w:ilvl="0">
      <w:start w:val="2"/>
      <w:numFmt w:val="decimal"/>
      <w:lvlText w:val="%1."/>
      <w:lvlJc w:val="left"/>
      <w:pPr>
        <w:tabs>
          <w:tab w:val="num" w:pos="720"/>
        </w:tabs>
        <w:ind w:left="720" w:hanging="360"/>
      </w:pPr>
    </w:lvl>
    <w:lvl w:ilvl="1">
      <w:start w:val="1"/>
      <w:numFmt w:val="decimal"/>
      <w:isLgl/>
      <w:suff w:val="space"/>
      <w:lvlText w:val="%2."/>
      <w:lvlJc w:val="left"/>
      <w:pPr>
        <w:ind w:left="876" w:hanging="450"/>
      </w:pPr>
      <w:rPr>
        <w:rFonts w:ascii="Times New Roman" w:eastAsia="Courier New" w:hAnsi="Times New Roman" w:cs="Times New Roman" w:hint="default"/>
        <w:sz w:val="24"/>
      </w:rPr>
    </w:lvl>
    <w:lvl w:ilvl="2">
      <w:start w:val="1"/>
      <w:numFmt w:val="decimal"/>
      <w:isLgl/>
      <w:lvlText w:val="%1.%2.%3."/>
      <w:lvlJc w:val="left"/>
      <w:pPr>
        <w:ind w:left="1440" w:hanging="720"/>
      </w:pPr>
      <w:rPr>
        <w:sz w:val="24"/>
      </w:rPr>
    </w:lvl>
    <w:lvl w:ilvl="3">
      <w:start w:val="1"/>
      <w:numFmt w:val="decimal"/>
      <w:isLgl/>
      <w:lvlText w:val="%1.%2.%3.%4."/>
      <w:lvlJc w:val="left"/>
      <w:pPr>
        <w:ind w:left="1620" w:hanging="720"/>
      </w:pPr>
      <w:rPr>
        <w:sz w:val="24"/>
      </w:rPr>
    </w:lvl>
    <w:lvl w:ilvl="4">
      <w:start w:val="1"/>
      <w:numFmt w:val="decimal"/>
      <w:isLgl/>
      <w:lvlText w:val="%1.%2.%3.%4.%5."/>
      <w:lvlJc w:val="left"/>
      <w:pPr>
        <w:ind w:left="2160" w:hanging="1080"/>
      </w:pPr>
      <w:rPr>
        <w:sz w:val="24"/>
      </w:rPr>
    </w:lvl>
    <w:lvl w:ilvl="5">
      <w:start w:val="1"/>
      <w:numFmt w:val="decimal"/>
      <w:isLgl/>
      <w:lvlText w:val="%1.%2.%3.%4.%5.%6."/>
      <w:lvlJc w:val="left"/>
      <w:pPr>
        <w:ind w:left="2340" w:hanging="1080"/>
      </w:pPr>
      <w:rPr>
        <w:sz w:val="24"/>
      </w:rPr>
    </w:lvl>
    <w:lvl w:ilvl="6">
      <w:start w:val="1"/>
      <w:numFmt w:val="decimal"/>
      <w:isLgl/>
      <w:lvlText w:val="%1.%2.%3.%4.%5.%6.%7."/>
      <w:lvlJc w:val="left"/>
      <w:pPr>
        <w:ind w:left="2880" w:hanging="1440"/>
      </w:pPr>
      <w:rPr>
        <w:sz w:val="24"/>
      </w:rPr>
    </w:lvl>
    <w:lvl w:ilvl="7">
      <w:start w:val="1"/>
      <w:numFmt w:val="decimal"/>
      <w:isLgl/>
      <w:lvlText w:val="%1.%2.%3.%4.%5.%6.%7.%8."/>
      <w:lvlJc w:val="left"/>
      <w:pPr>
        <w:ind w:left="3060" w:hanging="1440"/>
      </w:pPr>
      <w:rPr>
        <w:sz w:val="24"/>
      </w:rPr>
    </w:lvl>
    <w:lvl w:ilvl="8">
      <w:start w:val="1"/>
      <w:numFmt w:val="decimal"/>
      <w:isLgl/>
      <w:lvlText w:val="%1.%2.%3.%4.%5.%6.%7.%8.%9."/>
      <w:lvlJc w:val="left"/>
      <w:pPr>
        <w:ind w:left="3600" w:hanging="1800"/>
      </w:pPr>
      <w:rPr>
        <w:sz w:val="24"/>
      </w:rPr>
    </w:lvl>
  </w:abstractNum>
  <w:abstractNum w:abstractNumId="4" w15:restartNumberingAfterBreak="0">
    <w:nsid w:val="11FF0462"/>
    <w:multiLevelType w:val="hybridMultilevel"/>
    <w:tmpl w:val="A192F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D05649"/>
    <w:multiLevelType w:val="hybridMultilevel"/>
    <w:tmpl w:val="CEE479F0"/>
    <w:lvl w:ilvl="0" w:tplc="E954C71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4771BC"/>
    <w:multiLevelType w:val="multilevel"/>
    <w:tmpl w:val="17A2E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82799"/>
    <w:multiLevelType w:val="multilevel"/>
    <w:tmpl w:val="B3E29AAA"/>
    <w:lvl w:ilvl="0">
      <w:start w:val="3"/>
      <w:numFmt w:val="decimal"/>
      <w:lvlText w:val="%1."/>
      <w:lvlJc w:val="left"/>
      <w:pPr>
        <w:ind w:left="360" w:hanging="360"/>
      </w:pPr>
      <w:rPr>
        <w:rFonts w:eastAsia="Times New Roman" w:hint="default"/>
      </w:rPr>
    </w:lvl>
    <w:lvl w:ilvl="1">
      <w:start w:val="2"/>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8" w15:restartNumberingAfterBreak="0">
    <w:nsid w:val="18E778CB"/>
    <w:multiLevelType w:val="multilevel"/>
    <w:tmpl w:val="9D6A6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65DCB"/>
    <w:multiLevelType w:val="hybridMultilevel"/>
    <w:tmpl w:val="FB04918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68E4F07"/>
    <w:multiLevelType w:val="hybridMultilevel"/>
    <w:tmpl w:val="2C46C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26740F"/>
    <w:multiLevelType w:val="multilevel"/>
    <w:tmpl w:val="68A61C6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7B02F2"/>
    <w:multiLevelType w:val="multilevel"/>
    <w:tmpl w:val="78FA7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1270FA"/>
    <w:multiLevelType w:val="hybridMultilevel"/>
    <w:tmpl w:val="DA407D58"/>
    <w:lvl w:ilvl="0" w:tplc="DA00CC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647492"/>
    <w:multiLevelType w:val="hybridMultilevel"/>
    <w:tmpl w:val="82EE7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DB1DB4"/>
    <w:multiLevelType w:val="hybridMultilevel"/>
    <w:tmpl w:val="39086290"/>
    <w:lvl w:ilvl="0" w:tplc="4BECEAB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B3179"/>
    <w:multiLevelType w:val="multilevel"/>
    <w:tmpl w:val="9E3285C2"/>
    <w:lvl w:ilvl="0">
      <w:start w:val="4"/>
      <w:numFmt w:val="decimal"/>
      <w:lvlText w:val="%1."/>
      <w:lvlJc w:val="left"/>
      <w:pPr>
        <w:ind w:left="360" w:hanging="360"/>
      </w:pPr>
      <w:rPr>
        <w:rFonts w:hint="default"/>
      </w:rPr>
    </w:lvl>
    <w:lvl w:ilvl="1">
      <w:start w:val="4"/>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580E50C7"/>
    <w:multiLevelType w:val="multilevel"/>
    <w:tmpl w:val="60E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658F7"/>
    <w:multiLevelType w:val="multilevel"/>
    <w:tmpl w:val="AE30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CE4AB0"/>
    <w:multiLevelType w:val="multilevel"/>
    <w:tmpl w:val="EAA0BBE4"/>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67FC74CE"/>
    <w:multiLevelType w:val="multilevel"/>
    <w:tmpl w:val="82EC293A"/>
    <w:lvl w:ilvl="0">
      <w:start w:val="2"/>
      <w:numFmt w:val="decimal"/>
      <w:lvlText w:val="%1."/>
      <w:lvlJc w:val="left"/>
      <w:pPr>
        <w:tabs>
          <w:tab w:val="num" w:pos="720"/>
        </w:tabs>
        <w:ind w:left="720" w:hanging="360"/>
      </w:pPr>
    </w:lvl>
    <w:lvl w:ilvl="1">
      <w:start w:val="1"/>
      <w:numFmt w:val="decimal"/>
      <w:isLgl/>
      <w:suff w:val="space"/>
      <w:lvlText w:val="%2."/>
      <w:lvlJc w:val="left"/>
      <w:pPr>
        <w:ind w:left="876" w:hanging="450"/>
      </w:pPr>
      <w:rPr>
        <w:rFonts w:ascii="Times New Roman" w:eastAsia="Courier New" w:hAnsi="Times New Roman" w:cs="Times New Roman" w:hint="default"/>
        <w:sz w:val="24"/>
      </w:rPr>
    </w:lvl>
    <w:lvl w:ilvl="2">
      <w:start w:val="1"/>
      <w:numFmt w:val="decimal"/>
      <w:isLgl/>
      <w:lvlText w:val="%1.%2.%3."/>
      <w:lvlJc w:val="left"/>
      <w:pPr>
        <w:ind w:left="1440" w:hanging="720"/>
      </w:pPr>
      <w:rPr>
        <w:sz w:val="24"/>
      </w:rPr>
    </w:lvl>
    <w:lvl w:ilvl="3">
      <w:start w:val="1"/>
      <w:numFmt w:val="decimal"/>
      <w:isLgl/>
      <w:lvlText w:val="%1.%2.%3.%4."/>
      <w:lvlJc w:val="left"/>
      <w:pPr>
        <w:ind w:left="1620" w:hanging="720"/>
      </w:pPr>
      <w:rPr>
        <w:sz w:val="24"/>
      </w:rPr>
    </w:lvl>
    <w:lvl w:ilvl="4">
      <w:start w:val="1"/>
      <w:numFmt w:val="decimal"/>
      <w:isLgl/>
      <w:lvlText w:val="%1.%2.%3.%4.%5."/>
      <w:lvlJc w:val="left"/>
      <w:pPr>
        <w:ind w:left="2160" w:hanging="1080"/>
      </w:pPr>
      <w:rPr>
        <w:sz w:val="24"/>
      </w:rPr>
    </w:lvl>
    <w:lvl w:ilvl="5">
      <w:start w:val="1"/>
      <w:numFmt w:val="decimal"/>
      <w:isLgl/>
      <w:lvlText w:val="%1.%2.%3.%4.%5.%6."/>
      <w:lvlJc w:val="left"/>
      <w:pPr>
        <w:ind w:left="2340" w:hanging="1080"/>
      </w:pPr>
      <w:rPr>
        <w:sz w:val="24"/>
      </w:rPr>
    </w:lvl>
    <w:lvl w:ilvl="6">
      <w:start w:val="1"/>
      <w:numFmt w:val="decimal"/>
      <w:isLgl/>
      <w:lvlText w:val="%1.%2.%3.%4.%5.%6.%7."/>
      <w:lvlJc w:val="left"/>
      <w:pPr>
        <w:ind w:left="2880" w:hanging="1440"/>
      </w:pPr>
      <w:rPr>
        <w:sz w:val="24"/>
      </w:rPr>
    </w:lvl>
    <w:lvl w:ilvl="7">
      <w:start w:val="1"/>
      <w:numFmt w:val="decimal"/>
      <w:isLgl/>
      <w:lvlText w:val="%1.%2.%3.%4.%5.%6.%7.%8."/>
      <w:lvlJc w:val="left"/>
      <w:pPr>
        <w:ind w:left="3060" w:hanging="1440"/>
      </w:pPr>
      <w:rPr>
        <w:sz w:val="24"/>
      </w:rPr>
    </w:lvl>
    <w:lvl w:ilvl="8">
      <w:start w:val="1"/>
      <w:numFmt w:val="decimal"/>
      <w:isLgl/>
      <w:lvlText w:val="%1.%2.%3.%4.%5.%6.%7.%8.%9."/>
      <w:lvlJc w:val="left"/>
      <w:pPr>
        <w:ind w:left="3600" w:hanging="1800"/>
      </w:pPr>
      <w:rPr>
        <w:sz w:val="24"/>
      </w:rPr>
    </w:lvl>
  </w:abstractNum>
  <w:abstractNum w:abstractNumId="21" w15:restartNumberingAfterBreak="0">
    <w:nsid w:val="72CE127A"/>
    <w:multiLevelType w:val="hybridMultilevel"/>
    <w:tmpl w:val="0CD25A3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4040ED9"/>
    <w:multiLevelType w:val="multilevel"/>
    <w:tmpl w:val="7F1C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A04149"/>
    <w:multiLevelType w:val="hybridMultilevel"/>
    <w:tmpl w:val="798EB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8132A6"/>
    <w:multiLevelType w:val="multilevel"/>
    <w:tmpl w:val="8A2E8C84"/>
    <w:lvl w:ilvl="0">
      <w:start w:val="3"/>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916628060">
    <w:abstractNumId w:val="15"/>
  </w:num>
  <w:num w:numId="2" w16cid:durableId="482237348">
    <w:abstractNumId w:val="13"/>
  </w:num>
  <w:num w:numId="3" w16cid:durableId="182308517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9466172">
    <w:abstractNumId w:val="19"/>
  </w:num>
  <w:num w:numId="5" w16cid:durableId="238486237">
    <w:abstractNumId w:val="11"/>
  </w:num>
  <w:num w:numId="6" w16cid:durableId="1221944938">
    <w:abstractNumId w:val="5"/>
  </w:num>
  <w:num w:numId="7" w16cid:durableId="5332068">
    <w:abstractNumId w:val="1"/>
  </w:num>
  <w:num w:numId="8" w16cid:durableId="2089227705">
    <w:abstractNumId w:val="16"/>
  </w:num>
  <w:num w:numId="9" w16cid:durableId="866672608">
    <w:abstractNumId w:val="24"/>
  </w:num>
  <w:num w:numId="10" w16cid:durableId="1532721751">
    <w:abstractNumId w:val="4"/>
  </w:num>
  <w:num w:numId="11" w16cid:durableId="142744602">
    <w:abstractNumId w:val="21"/>
  </w:num>
  <w:num w:numId="12" w16cid:durableId="1153255534">
    <w:abstractNumId w:val="0"/>
  </w:num>
  <w:num w:numId="13" w16cid:durableId="813570672">
    <w:abstractNumId w:val="8"/>
    <w:lvlOverride w:ilvl="0">
      <w:startOverride w:val="3"/>
    </w:lvlOverride>
  </w:num>
  <w:num w:numId="14" w16cid:durableId="1736390804">
    <w:abstractNumId w:val="18"/>
  </w:num>
  <w:num w:numId="15" w16cid:durableId="1985697034">
    <w:abstractNumId w:val="6"/>
  </w:num>
  <w:num w:numId="16" w16cid:durableId="1127822993">
    <w:abstractNumId w:val="17"/>
  </w:num>
  <w:num w:numId="17" w16cid:durableId="1407848983">
    <w:abstractNumId w:val="22"/>
  </w:num>
  <w:num w:numId="18" w16cid:durableId="1472357643">
    <w:abstractNumId w:val="9"/>
  </w:num>
  <w:num w:numId="19" w16cid:durableId="874198373">
    <w:abstractNumId w:val="3"/>
  </w:num>
  <w:num w:numId="20" w16cid:durableId="1653606648">
    <w:abstractNumId w:val="14"/>
  </w:num>
  <w:num w:numId="21" w16cid:durableId="27950208">
    <w:abstractNumId w:val="7"/>
  </w:num>
  <w:num w:numId="22" w16cid:durableId="1123380410">
    <w:abstractNumId w:val="10"/>
  </w:num>
  <w:num w:numId="23" w16cid:durableId="2065595507">
    <w:abstractNumId w:val="12"/>
  </w:num>
  <w:num w:numId="24" w16cid:durableId="839394038">
    <w:abstractNumId w:val="2"/>
  </w:num>
  <w:num w:numId="25" w16cid:durableId="17476124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AA"/>
    <w:rsid w:val="00006FAE"/>
    <w:rsid w:val="000143E2"/>
    <w:rsid w:val="00031010"/>
    <w:rsid w:val="000409D3"/>
    <w:rsid w:val="00061A28"/>
    <w:rsid w:val="00081372"/>
    <w:rsid w:val="00081E3A"/>
    <w:rsid w:val="0008406E"/>
    <w:rsid w:val="0008457F"/>
    <w:rsid w:val="00090AFA"/>
    <w:rsid w:val="00094EDF"/>
    <w:rsid w:val="000B2E00"/>
    <w:rsid w:val="000B44FB"/>
    <w:rsid w:val="000B51F6"/>
    <w:rsid w:val="000D37F5"/>
    <w:rsid w:val="000D5D8F"/>
    <w:rsid w:val="000E1DD7"/>
    <w:rsid w:val="000E55EE"/>
    <w:rsid w:val="0010300D"/>
    <w:rsid w:val="00110769"/>
    <w:rsid w:val="00120EC1"/>
    <w:rsid w:val="001240B7"/>
    <w:rsid w:val="001305D1"/>
    <w:rsid w:val="00133131"/>
    <w:rsid w:val="00142845"/>
    <w:rsid w:val="001479C5"/>
    <w:rsid w:val="00162A98"/>
    <w:rsid w:val="001C0063"/>
    <w:rsid w:val="001E1AB8"/>
    <w:rsid w:val="0020671E"/>
    <w:rsid w:val="0021714A"/>
    <w:rsid w:val="002402BF"/>
    <w:rsid w:val="00243C88"/>
    <w:rsid w:val="002440B1"/>
    <w:rsid w:val="00244722"/>
    <w:rsid w:val="00255D10"/>
    <w:rsid w:val="002728A5"/>
    <w:rsid w:val="00274133"/>
    <w:rsid w:val="00284357"/>
    <w:rsid w:val="002902C6"/>
    <w:rsid w:val="002A1414"/>
    <w:rsid w:val="002B3F2F"/>
    <w:rsid w:val="002B47E0"/>
    <w:rsid w:val="002C492B"/>
    <w:rsid w:val="002E58AA"/>
    <w:rsid w:val="002F46A7"/>
    <w:rsid w:val="00313115"/>
    <w:rsid w:val="003408EC"/>
    <w:rsid w:val="003420FA"/>
    <w:rsid w:val="00343622"/>
    <w:rsid w:val="0034560D"/>
    <w:rsid w:val="00353439"/>
    <w:rsid w:val="00392BAE"/>
    <w:rsid w:val="0039336B"/>
    <w:rsid w:val="00395A1A"/>
    <w:rsid w:val="003A5CBE"/>
    <w:rsid w:val="003A62CB"/>
    <w:rsid w:val="003B593E"/>
    <w:rsid w:val="003D4DC7"/>
    <w:rsid w:val="003E1C96"/>
    <w:rsid w:val="003F71AE"/>
    <w:rsid w:val="00401FCF"/>
    <w:rsid w:val="00415527"/>
    <w:rsid w:val="00430137"/>
    <w:rsid w:val="00433D91"/>
    <w:rsid w:val="00434D97"/>
    <w:rsid w:val="00435B13"/>
    <w:rsid w:val="00460E07"/>
    <w:rsid w:val="004632CF"/>
    <w:rsid w:val="004805AE"/>
    <w:rsid w:val="004815CB"/>
    <w:rsid w:val="004A36A2"/>
    <w:rsid w:val="004A63D2"/>
    <w:rsid w:val="004B24F5"/>
    <w:rsid w:val="004B2C5E"/>
    <w:rsid w:val="004C0858"/>
    <w:rsid w:val="004C6FDC"/>
    <w:rsid w:val="004D43C0"/>
    <w:rsid w:val="00521159"/>
    <w:rsid w:val="00523585"/>
    <w:rsid w:val="00551447"/>
    <w:rsid w:val="0056221B"/>
    <w:rsid w:val="00562B00"/>
    <w:rsid w:val="00570F02"/>
    <w:rsid w:val="00597915"/>
    <w:rsid w:val="005A7804"/>
    <w:rsid w:val="005B098C"/>
    <w:rsid w:val="005D5A6D"/>
    <w:rsid w:val="005E75C8"/>
    <w:rsid w:val="00602F1E"/>
    <w:rsid w:val="006043EA"/>
    <w:rsid w:val="00605A31"/>
    <w:rsid w:val="00610359"/>
    <w:rsid w:val="00615A4C"/>
    <w:rsid w:val="006364EB"/>
    <w:rsid w:val="00651235"/>
    <w:rsid w:val="00655448"/>
    <w:rsid w:val="00660F69"/>
    <w:rsid w:val="00663CEA"/>
    <w:rsid w:val="00675D83"/>
    <w:rsid w:val="006928FE"/>
    <w:rsid w:val="00695664"/>
    <w:rsid w:val="006A3131"/>
    <w:rsid w:val="006A6ED0"/>
    <w:rsid w:val="006B070A"/>
    <w:rsid w:val="006B0FB3"/>
    <w:rsid w:val="006C4BD1"/>
    <w:rsid w:val="006D27CF"/>
    <w:rsid w:val="006D44A2"/>
    <w:rsid w:val="006D62D8"/>
    <w:rsid w:val="006E166B"/>
    <w:rsid w:val="006E176E"/>
    <w:rsid w:val="006E3F80"/>
    <w:rsid w:val="006F1AAA"/>
    <w:rsid w:val="0072435D"/>
    <w:rsid w:val="007314F9"/>
    <w:rsid w:val="00734D25"/>
    <w:rsid w:val="00762E95"/>
    <w:rsid w:val="00786090"/>
    <w:rsid w:val="00791AAF"/>
    <w:rsid w:val="00794EC3"/>
    <w:rsid w:val="007A1396"/>
    <w:rsid w:val="007B2CAF"/>
    <w:rsid w:val="007D7EDD"/>
    <w:rsid w:val="007E1EC2"/>
    <w:rsid w:val="007E7557"/>
    <w:rsid w:val="0080179B"/>
    <w:rsid w:val="00825E73"/>
    <w:rsid w:val="00844368"/>
    <w:rsid w:val="00857D69"/>
    <w:rsid w:val="00860882"/>
    <w:rsid w:val="008645C2"/>
    <w:rsid w:val="008738EE"/>
    <w:rsid w:val="00885017"/>
    <w:rsid w:val="008860BA"/>
    <w:rsid w:val="00890CAD"/>
    <w:rsid w:val="00891F77"/>
    <w:rsid w:val="00894C23"/>
    <w:rsid w:val="008A6135"/>
    <w:rsid w:val="008A7C5E"/>
    <w:rsid w:val="008B4878"/>
    <w:rsid w:val="008B6FD3"/>
    <w:rsid w:val="008C0258"/>
    <w:rsid w:val="008C367D"/>
    <w:rsid w:val="008C7F2E"/>
    <w:rsid w:val="008D00FA"/>
    <w:rsid w:val="008D6B76"/>
    <w:rsid w:val="008E35AA"/>
    <w:rsid w:val="008F2494"/>
    <w:rsid w:val="008F6490"/>
    <w:rsid w:val="009006A6"/>
    <w:rsid w:val="0091495A"/>
    <w:rsid w:val="009150D0"/>
    <w:rsid w:val="00925B89"/>
    <w:rsid w:val="00944C3F"/>
    <w:rsid w:val="0095001B"/>
    <w:rsid w:val="009536EE"/>
    <w:rsid w:val="00961C87"/>
    <w:rsid w:val="00974682"/>
    <w:rsid w:val="00981195"/>
    <w:rsid w:val="009841A5"/>
    <w:rsid w:val="00997D9D"/>
    <w:rsid w:val="009A3AF9"/>
    <w:rsid w:val="009A7616"/>
    <w:rsid w:val="009B763C"/>
    <w:rsid w:val="009E236A"/>
    <w:rsid w:val="009F0C0E"/>
    <w:rsid w:val="009F120B"/>
    <w:rsid w:val="009F5B33"/>
    <w:rsid w:val="00A12AB9"/>
    <w:rsid w:val="00A21C10"/>
    <w:rsid w:val="00A278AC"/>
    <w:rsid w:val="00A34DD8"/>
    <w:rsid w:val="00A51A9D"/>
    <w:rsid w:val="00A521B7"/>
    <w:rsid w:val="00A54691"/>
    <w:rsid w:val="00A55668"/>
    <w:rsid w:val="00A63C01"/>
    <w:rsid w:val="00A65694"/>
    <w:rsid w:val="00A729D6"/>
    <w:rsid w:val="00A80867"/>
    <w:rsid w:val="00A90FB4"/>
    <w:rsid w:val="00A94F3E"/>
    <w:rsid w:val="00A97368"/>
    <w:rsid w:val="00AB5FD1"/>
    <w:rsid w:val="00AB6E2C"/>
    <w:rsid w:val="00AB73A5"/>
    <w:rsid w:val="00AC0DFD"/>
    <w:rsid w:val="00AC2842"/>
    <w:rsid w:val="00AD4505"/>
    <w:rsid w:val="00AE0AF3"/>
    <w:rsid w:val="00B07D09"/>
    <w:rsid w:val="00B25666"/>
    <w:rsid w:val="00B42CDB"/>
    <w:rsid w:val="00B43526"/>
    <w:rsid w:val="00B56FBF"/>
    <w:rsid w:val="00B6448B"/>
    <w:rsid w:val="00B72EE9"/>
    <w:rsid w:val="00B815DD"/>
    <w:rsid w:val="00B8192D"/>
    <w:rsid w:val="00B836F9"/>
    <w:rsid w:val="00B97019"/>
    <w:rsid w:val="00BA0F51"/>
    <w:rsid w:val="00BB2311"/>
    <w:rsid w:val="00BC6028"/>
    <w:rsid w:val="00BC74F2"/>
    <w:rsid w:val="00BD0EE4"/>
    <w:rsid w:val="00BD23BC"/>
    <w:rsid w:val="00BD2FCD"/>
    <w:rsid w:val="00BE442E"/>
    <w:rsid w:val="00BE60E9"/>
    <w:rsid w:val="00BE7875"/>
    <w:rsid w:val="00C110FE"/>
    <w:rsid w:val="00C14612"/>
    <w:rsid w:val="00C311D8"/>
    <w:rsid w:val="00C33B92"/>
    <w:rsid w:val="00C33BE0"/>
    <w:rsid w:val="00C4399E"/>
    <w:rsid w:val="00C46ECF"/>
    <w:rsid w:val="00C47B4F"/>
    <w:rsid w:val="00C51981"/>
    <w:rsid w:val="00C5338E"/>
    <w:rsid w:val="00CA51BF"/>
    <w:rsid w:val="00CB2B63"/>
    <w:rsid w:val="00CC523F"/>
    <w:rsid w:val="00CD4C20"/>
    <w:rsid w:val="00CE3294"/>
    <w:rsid w:val="00D10523"/>
    <w:rsid w:val="00D23499"/>
    <w:rsid w:val="00D31823"/>
    <w:rsid w:val="00D53FCD"/>
    <w:rsid w:val="00D60423"/>
    <w:rsid w:val="00D71D2E"/>
    <w:rsid w:val="00D754F1"/>
    <w:rsid w:val="00D91280"/>
    <w:rsid w:val="00DA2066"/>
    <w:rsid w:val="00DA3DEB"/>
    <w:rsid w:val="00DB0BB9"/>
    <w:rsid w:val="00DC6C2A"/>
    <w:rsid w:val="00DD0EE0"/>
    <w:rsid w:val="00DF2597"/>
    <w:rsid w:val="00DF62E9"/>
    <w:rsid w:val="00E0490A"/>
    <w:rsid w:val="00E04A7B"/>
    <w:rsid w:val="00E22187"/>
    <w:rsid w:val="00E224A0"/>
    <w:rsid w:val="00E225CD"/>
    <w:rsid w:val="00E30A67"/>
    <w:rsid w:val="00E40883"/>
    <w:rsid w:val="00E56E09"/>
    <w:rsid w:val="00E81C22"/>
    <w:rsid w:val="00E90968"/>
    <w:rsid w:val="00EA6EA4"/>
    <w:rsid w:val="00EB25F5"/>
    <w:rsid w:val="00EC6832"/>
    <w:rsid w:val="00ED1A2D"/>
    <w:rsid w:val="00EE288D"/>
    <w:rsid w:val="00F005E1"/>
    <w:rsid w:val="00F05C45"/>
    <w:rsid w:val="00F247C3"/>
    <w:rsid w:val="00F56D1A"/>
    <w:rsid w:val="00F65B8B"/>
    <w:rsid w:val="00F7499B"/>
    <w:rsid w:val="00F77C8B"/>
    <w:rsid w:val="00F92BB3"/>
    <w:rsid w:val="00FA0536"/>
    <w:rsid w:val="00FA26D4"/>
    <w:rsid w:val="00FA39F9"/>
    <w:rsid w:val="00FA7442"/>
    <w:rsid w:val="00FC3805"/>
    <w:rsid w:val="00FD59BD"/>
    <w:rsid w:val="00FD5B86"/>
    <w:rsid w:val="00FF20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5345"/>
  <w15:docId w15:val="{EF163753-A52E-4B19-BF09-DD6267AD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AA"/>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A521B7"/>
    <w:pPr>
      <w:spacing w:before="120" w:after="120"/>
      <w:outlineLvl w:val="1"/>
    </w:pPr>
    <w:rPr>
      <w:b/>
      <w:bCs/>
      <w:color w:val="777777"/>
      <w:sz w:val="26"/>
      <w:szCs w:val="26"/>
      <w:lang w:eastAsia="lt-LT"/>
    </w:rPr>
  </w:style>
  <w:style w:type="paragraph" w:styleId="Heading3">
    <w:name w:val="heading 3"/>
    <w:basedOn w:val="Normal"/>
    <w:link w:val="Heading3Char"/>
    <w:uiPriority w:val="9"/>
    <w:qFormat/>
    <w:rsid w:val="00A521B7"/>
    <w:pPr>
      <w:spacing w:before="120" w:after="120"/>
      <w:outlineLvl w:val="2"/>
    </w:pPr>
    <w:rPr>
      <w:b/>
      <w:bCs/>
      <w:color w:val="777777"/>
      <w:sz w:val="18"/>
      <w:szCs w:val="1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58AA"/>
    <w:pPr>
      <w:spacing w:line="360" w:lineRule="auto"/>
      <w:jc w:val="both"/>
    </w:pPr>
    <w:rPr>
      <w:szCs w:val="24"/>
    </w:rPr>
  </w:style>
  <w:style w:type="character" w:customStyle="1" w:styleId="BodyTextChar">
    <w:name w:val="Body Text Char"/>
    <w:basedOn w:val="DefaultParagraphFont"/>
    <w:link w:val="BodyText"/>
    <w:rsid w:val="002E58A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E58AA"/>
    <w:rPr>
      <w:sz w:val="20"/>
    </w:rPr>
  </w:style>
  <w:style w:type="character" w:customStyle="1" w:styleId="FootnoteTextChar">
    <w:name w:val="Footnote Text Char"/>
    <w:basedOn w:val="DefaultParagraphFont"/>
    <w:link w:val="FootnoteText"/>
    <w:uiPriority w:val="99"/>
    <w:semiHidden/>
    <w:rsid w:val="002E58AA"/>
    <w:rPr>
      <w:rFonts w:ascii="Times New Roman" w:eastAsia="Times New Roman" w:hAnsi="Times New Roman" w:cs="Times New Roman"/>
      <w:sz w:val="20"/>
      <w:szCs w:val="20"/>
    </w:rPr>
  </w:style>
  <w:style w:type="character" w:styleId="FootnoteReference">
    <w:name w:val="footnote reference"/>
    <w:uiPriority w:val="99"/>
    <w:semiHidden/>
    <w:unhideWhenUsed/>
    <w:rsid w:val="002E58AA"/>
    <w:rPr>
      <w:vertAlign w:val="superscript"/>
    </w:rPr>
  </w:style>
  <w:style w:type="paragraph" w:customStyle="1" w:styleId="Sraopastraipa1">
    <w:name w:val="Sąrašo pastraipa1"/>
    <w:basedOn w:val="Normal"/>
    <w:rsid w:val="002E58AA"/>
    <w:pPr>
      <w:ind w:left="720"/>
    </w:pPr>
    <w:rPr>
      <w:rFonts w:eastAsia="Calibri"/>
    </w:rPr>
  </w:style>
  <w:style w:type="character" w:styleId="Emphasis">
    <w:name w:val="Emphasis"/>
    <w:uiPriority w:val="99"/>
    <w:qFormat/>
    <w:rsid w:val="002E58AA"/>
    <w:rPr>
      <w:rFonts w:ascii="Times New Roman" w:hAnsi="Times New Roman" w:cs="Times New Roman" w:hint="default"/>
      <w:i/>
      <w:iCs/>
    </w:rPr>
  </w:style>
  <w:style w:type="character" w:styleId="Strong">
    <w:name w:val="Strong"/>
    <w:uiPriority w:val="22"/>
    <w:qFormat/>
    <w:rsid w:val="002E58AA"/>
    <w:rPr>
      <w:b/>
      <w:bCs/>
    </w:rPr>
  </w:style>
  <w:style w:type="paragraph" w:styleId="HTMLPreformatted">
    <w:name w:val="HTML Preformatted"/>
    <w:basedOn w:val="Normal"/>
    <w:link w:val="HTMLPreformattedChar"/>
    <w:rsid w:val="002E5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lang w:val="en-GB"/>
    </w:rPr>
  </w:style>
  <w:style w:type="character" w:customStyle="1" w:styleId="HTMLPreformattedChar">
    <w:name w:val="HTML Preformatted Char"/>
    <w:basedOn w:val="DefaultParagraphFont"/>
    <w:link w:val="HTMLPreformatted"/>
    <w:rsid w:val="002E58AA"/>
    <w:rPr>
      <w:rFonts w:ascii="Courier New" w:eastAsia="Courier New" w:hAnsi="Courier New" w:cs="Times New Roman"/>
      <w:noProof/>
      <w:sz w:val="20"/>
      <w:szCs w:val="20"/>
      <w:lang w:val="en-GB"/>
    </w:rPr>
  </w:style>
  <w:style w:type="paragraph" w:styleId="Header">
    <w:name w:val="header"/>
    <w:basedOn w:val="Normal"/>
    <w:link w:val="HeaderChar"/>
    <w:uiPriority w:val="99"/>
    <w:unhideWhenUsed/>
    <w:rsid w:val="002E58AA"/>
    <w:pPr>
      <w:tabs>
        <w:tab w:val="center" w:pos="4819"/>
        <w:tab w:val="right" w:pos="9638"/>
      </w:tabs>
    </w:pPr>
  </w:style>
  <w:style w:type="character" w:customStyle="1" w:styleId="HeaderChar">
    <w:name w:val="Header Char"/>
    <w:basedOn w:val="DefaultParagraphFont"/>
    <w:link w:val="Header"/>
    <w:uiPriority w:val="99"/>
    <w:rsid w:val="002E58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E58AA"/>
    <w:pPr>
      <w:tabs>
        <w:tab w:val="center" w:pos="4819"/>
        <w:tab w:val="right" w:pos="9638"/>
      </w:tabs>
    </w:pPr>
  </w:style>
  <w:style w:type="character" w:customStyle="1" w:styleId="FooterChar">
    <w:name w:val="Footer Char"/>
    <w:basedOn w:val="DefaultParagraphFont"/>
    <w:link w:val="Footer"/>
    <w:uiPriority w:val="99"/>
    <w:rsid w:val="002E58AA"/>
    <w:rPr>
      <w:rFonts w:ascii="Times New Roman" w:eastAsia="Times New Roman" w:hAnsi="Times New Roman" w:cs="Times New Roman"/>
      <w:sz w:val="24"/>
      <w:szCs w:val="20"/>
    </w:rPr>
  </w:style>
  <w:style w:type="paragraph" w:styleId="ListParagraph">
    <w:name w:val="List Paragraph"/>
    <w:basedOn w:val="Normal"/>
    <w:uiPriority w:val="34"/>
    <w:qFormat/>
    <w:rsid w:val="009F120B"/>
    <w:pPr>
      <w:ind w:left="720"/>
      <w:contextualSpacing/>
    </w:pPr>
  </w:style>
  <w:style w:type="character" w:customStyle="1" w:styleId="hps">
    <w:name w:val="hps"/>
    <w:basedOn w:val="DefaultParagraphFont"/>
    <w:rsid w:val="008C0258"/>
  </w:style>
  <w:style w:type="character" w:customStyle="1" w:styleId="Heading2Char">
    <w:name w:val="Heading 2 Char"/>
    <w:basedOn w:val="DefaultParagraphFont"/>
    <w:link w:val="Heading2"/>
    <w:uiPriority w:val="9"/>
    <w:rsid w:val="00A521B7"/>
    <w:rPr>
      <w:rFonts w:ascii="Times New Roman" w:eastAsia="Times New Roman" w:hAnsi="Times New Roman" w:cs="Times New Roman"/>
      <w:b/>
      <w:bCs/>
      <w:color w:val="777777"/>
      <w:sz w:val="26"/>
      <w:szCs w:val="26"/>
      <w:lang w:eastAsia="lt-LT"/>
    </w:rPr>
  </w:style>
  <w:style w:type="character" w:customStyle="1" w:styleId="Heading3Char">
    <w:name w:val="Heading 3 Char"/>
    <w:basedOn w:val="DefaultParagraphFont"/>
    <w:link w:val="Heading3"/>
    <w:uiPriority w:val="9"/>
    <w:rsid w:val="00A521B7"/>
    <w:rPr>
      <w:rFonts w:ascii="Times New Roman" w:eastAsia="Times New Roman" w:hAnsi="Times New Roman" w:cs="Times New Roman"/>
      <w:b/>
      <w:bCs/>
      <w:color w:val="777777"/>
      <w:sz w:val="18"/>
      <w:szCs w:val="18"/>
      <w:lang w:eastAsia="lt-LT"/>
    </w:rPr>
  </w:style>
  <w:style w:type="paragraph" w:styleId="NormalWeb">
    <w:name w:val="Normal (Web)"/>
    <w:basedOn w:val="Normal"/>
    <w:uiPriority w:val="99"/>
    <w:semiHidden/>
    <w:unhideWhenUsed/>
    <w:rsid w:val="00A521B7"/>
    <w:pPr>
      <w:spacing w:before="100" w:beforeAutospacing="1" w:after="240"/>
    </w:pPr>
    <w:rPr>
      <w:szCs w:val="24"/>
      <w:lang w:eastAsia="lt-LT"/>
    </w:rPr>
  </w:style>
  <w:style w:type="paragraph" w:customStyle="1" w:styleId="Default">
    <w:name w:val="Default"/>
    <w:rsid w:val="00EA6EA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86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74198">
      <w:bodyDiv w:val="1"/>
      <w:marLeft w:val="0"/>
      <w:marRight w:val="0"/>
      <w:marTop w:val="0"/>
      <w:marBottom w:val="0"/>
      <w:divBdr>
        <w:top w:val="none" w:sz="0" w:space="0" w:color="auto"/>
        <w:left w:val="none" w:sz="0" w:space="0" w:color="auto"/>
        <w:bottom w:val="none" w:sz="0" w:space="0" w:color="auto"/>
        <w:right w:val="none" w:sz="0" w:space="0" w:color="auto"/>
      </w:divBdr>
    </w:div>
    <w:div w:id="589120673">
      <w:bodyDiv w:val="1"/>
      <w:marLeft w:val="0"/>
      <w:marRight w:val="0"/>
      <w:marTop w:val="0"/>
      <w:marBottom w:val="0"/>
      <w:divBdr>
        <w:top w:val="none" w:sz="0" w:space="0" w:color="auto"/>
        <w:left w:val="none" w:sz="0" w:space="0" w:color="auto"/>
        <w:bottom w:val="none" w:sz="0" w:space="0" w:color="auto"/>
        <w:right w:val="none" w:sz="0" w:space="0" w:color="auto"/>
      </w:divBdr>
    </w:div>
    <w:div w:id="844785948">
      <w:bodyDiv w:val="1"/>
      <w:marLeft w:val="0"/>
      <w:marRight w:val="0"/>
      <w:marTop w:val="0"/>
      <w:marBottom w:val="0"/>
      <w:divBdr>
        <w:top w:val="none" w:sz="0" w:space="0" w:color="auto"/>
        <w:left w:val="none" w:sz="0" w:space="0" w:color="auto"/>
        <w:bottom w:val="none" w:sz="0" w:space="0" w:color="auto"/>
        <w:right w:val="none" w:sz="0" w:space="0" w:color="auto"/>
      </w:divBdr>
      <w:divsChild>
        <w:div w:id="2123067875">
          <w:marLeft w:val="0"/>
          <w:marRight w:val="0"/>
          <w:marTop w:val="0"/>
          <w:marBottom w:val="0"/>
          <w:divBdr>
            <w:top w:val="none" w:sz="0" w:space="0" w:color="auto"/>
            <w:left w:val="none" w:sz="0" w:space="0" w:color="auto"/>
            <w:bottom w:val="none" w:sz="0" w:space="0" w:color="auto"/>
            <w:right w:val="none" w:sz="0" w:space="0" w:color="auto"/>
          </w:divBdr>
        </w:div>
      </w:divsChild>
    </w:div>
    <w:div w:id="1130825728">
      <w:bodyDiv w:val="1"/>
      <w:marLeft w:val="0"/>
      <w:marRight w:val="0"/>
      <w:marTop w:val="0"/>
      <w:marBottom w:val="0"/>
      <w:divBdr>
        <w:top w:val="none" w:sz="0" w:space="0" w:color="auto"/>
        <w:left w:val="none" w:sz="0" w:space="0" w:color="auto"/>
        <w:bottom w:val="none" w:sz="0" w:space="0" w:color="auto"/>
        <w:right w:val="none" w:sz="0" w:space="0" w:color="auto"/>
      </w:divBdr>
    </w:div>
    <w:div w:id="1158300588">
      <w:bodyDiv w:val="1"/>
      <w:marLeft w:val="0"/>
      <w:marRight w:val="0"/>
      <w:marTop w:val="0"/>
      <w:marBottom w:val="0"/>
      <w:divBdr>
        <w:top w:val="none" w:sz="0" w:space="0" w:color="auto"/>
        <w:left w:val="none" w:sz="0" w:space="0" w:color="auto"/>
        <w:bottom w:val="none" w:sz="0" w:space="0" w:color="auto"/>
        <w:right w:val="none" w:sz="0" w:space="0" w:color="auto"/>
      </w:divBdr>
    </w:div>
    <w:div w:id="1174806879">
      <w:bodyDiv w:val="1"/>
      <w:marLeft w:val="0"/>
      <w:marRight w:val="0"/>
      <w:marTop w:val="0"/>
      <w:marBottom w:val="0"/>
      <w:divBdr>
        <w:top w:val="none" w:sz="0" w:space="0" w:color="auto"/>
        <w:left w:val="none" w:sz="0" w:space="0" w:color="auto"/>
        <w:bottom w:val="none" w:sz="0" w:space="0" w:color="auto"/>
        <w:right w:val="none" w:sz="0" w:space="0" w:color="auto"/>
      </w:divBdr>
    </w:div>
    <w:div w:id="1241912900">
      <w:bodyDiv w:val="1"/>
      <w:marLeft w:val="0"/>
      <w:marRight w:val="0"/>
      <w:marTop w:val="0"/>
      <w:marBottom w:val="0"/>
      <w:divBdr>
        <w:top w:val="none" w:sz="0" w:space="0" w:color="auto"/>
        <w:left w:val="none" w:sz="0" w:space="0" w:color="auto"/>
        <w:bottom w:val="none" w:sz="0" w:space="0" w:color="auto"/>
        <w:right w:val="none" w:sz="0" w:space="0" w:color="auto"/>
      </w:divBdr>
    </w:div>
    <w:div w:id="1262570014">
      <w:bodyDiv w:val="1"/>
      <w:marLeft w:val="0"/>
      <w:marRight w:val="0"/>
      <w:marTop w:val="0"/>
      <w:marBottom w:val="0"/>
      <w:divBdr>
        <w:top w:val="none" w:sz="0" w:space="0" w:color="auto"/>
        <w:left w:val="none" w:sz="0" w:space="0" w:color="auto"/>
        <w:bottom w:val="none" w:sz="0" w:space="0" w:color="auto"/>
        <w:right w:val="none" w:sz="0" w:space="0" w:color="auto"/>
      </w:divBdr>
    </w:div>
    <w:div w:id="1566062094">
      <w:bodyDiv w:val="1"/>
      <w:marLeft w:val="0"/>
      <w:marRight w:val="0"/>
      <w:marTop w:val="0"/>
      <w:marBottom w:val="0"/>
      <w:divBdr>
        <w:top w:val="none" w:sz="0" w:space="0" w:color="auto"/>
        <w:left w:val="none" w:sz="0" w:space="0" w:color="auto"/>
        <w:bottom w:val="none" w:sz="0" w:space="0" w:color="auto"/>
        <w:right w:val="none" w:sz="0" w:space="0" w:color="auto"/>
      </w:divBdr>
    </w:div>
    <w:div w:id="1764762772">
      <w:bodyDiv w:val="1"/>
      <w:marLeft w:val="0"/>
      <w:marRight w:val="0"/>
      <w:marTop w:val="0"/>
      <w:marBottom w:val="0"/>
      <w:divBdr>
        <w:top w:val="none" w:sz="0" w:space="0" w:color="auto"/>
        <w:left w:val="none" w:sz="0" w:space="0" w:color="auto"/>
        <w:bottom w:val="none" w:sz="0" w:space="0" w:color="auto"/>
        <w:right w:val="none" w:sz="0" w:space="0" w:color="auto"/>
      </w:divBdr>
    </w:div>
    <w:div w:id="18692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76EFF-D48B-4734-B882-A37AED65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1954</Words>
  <Characters>1115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v.valcackiene</dc:creator>
  <cp:lastModifiedBy>Eglė Gaidelytė</cp:lastModifiedBy>
  <cp:revision>4</cp:revision>
  <cp:lastPrinted>2019-02-07T12:18:00Z</cp:lastPrinted>
  <dcterms:created xsi:type="dcterms:W3CDTF">2022-10-31T08:15:00Z</dcterms:created>
  <dcterms:modified xsi:type="dcterms:W3CDTF">2022-10-31T08:18:00Z</dcterms:modified>
</cp:coreProperties>
</file>