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AAC" w14:textId="36C22A83" w:rsidR="00DB3FA6" w:rsidRDefault="00DB3FA6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7B7F6C">
        <w:rPr>
          <w:b w:val="0"/>
          <w:noProof/>
        </w:rPr>
        <w:drawing>
          <wp:inline distT="0" distB="0" distL="0" distR="0" wp14:anchorId="3CA1E4C7" wp14:editId="29D27C3D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0D56CB9C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C90EC5">
        <w:rPr>
          <w:sz w:val="24"/>
          <w:szCs w:val="24"/>
        </w:rPr>
        <w:t>JUOZO ŽILIO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345B92C3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D34163">
        <w:t>2</w:t>
      </w:r>
      <w:r>
        <w:t xml:space="preserve"> m</w:t>
      </w:r>
      <w:r w:rsidR="00DB3FA6">
        <w:t xml:space="preserve">. lapkričio 25 </w:t>
      </w:r>
      <w:r>
        <w:t xml:space="preserve">d. Nr. </w:t>
      </w:r>
      <w:r w:rsidRPr="00CB631F">
        <w:t>13P</w:t>
      </w:r>
      <w:r w:rsidR="00155886" w:rsidRPr="00CB631F">
        <w:t>-</w:t>
      </w:r>
      <w:r w:rsidR="00155886">
        <w:t>217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603C3A3F" w:rsidR="00623967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</w:t>
      </w:r>
      <w:r w:rsidR="00D34163">
        <w:rPr>
          <w:b w:val="0"/>
          <w:sz w:val="24"/>
          <w:szCs w:val="24"/>
        </w:rPr>
        <w:t>2</w:t>
      </w:r>
      <w:r w:rsidRPr="00CB62FF">
        <w:rPr>
          <w:b w:val="0"/>
          <w:sz w:val="24"/>
          <w:szCs w:val="24"/>
        </w:rPr>
        <w:t xml:space="preserve"> m. lapkričio </w:t>
      </w:r>
      <w:r w:rsidR="00D34163">
        <w:rPr>
          <w:b w:val="0"/>
          <w:sz w:val="24"/>
          <w:szCs w:val="24"/>
        </w:rPr>
        <w:t>17</w:t>
      </w:r>
      <w:r w:rsidRPr="00CB62FF">
        <w:rPr>
          <w:b w:val="0"/>
          <w:sz w:val="24"/>
          <w:szCs w:val="24"/>
        </w:rPr>
        <w:t xml:space="preserve">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6TV-</w:t>
      </w:r>
      <w:r w:rsidR="00C90EC5">
        <w:rPr>
          <w:b w:val="0"/>
          <w:sz w:val="24"/>
          <w:szCs w:val="24"/>
        </w:rPr>
        <w:t>1</w:t>
      </w:r>
      <w:r w:rsidRPr="00CB62FF">
        <w:rPr>
          <w:b w:val="0"/>
          <w:sz w:val="24"/>
          <w:szCs w:val="24"/>
        </w:rPr>
        <w:t>-(7.6.4</w:t>
      </w:r>
      <w:r w:rsidR="00D34163">
        <w:rPr>
          <w:b w:val="0"/>
          <w:sz w:val="24"/>
          <w:szCs w:val="24"/>
        </w:rPr>
        <w:t>.</w:t>
      </w:r>
      <w:r w:rsidRPr="00CB62FF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>įvertinusi</w:t>
      </w:r>
      <w:r w:rsidR="00C90EC5" w:rsidRPr="00C90EC5">
        <w:rPr>
          <w:rStyle w:val="Bodytext2"/>
          <w:b w:val="0"/>
          <w:color w:val="000000"/>
          <w:sz w:val="24"/>
          <w:szCs w:val="24"/>
        </w:rPr>
        <w:t xml:space="preserve"> prof. dr. Juozo Žilio svarų ir esminį indėlį į Lietuvos konstitucionalizmą, teismų autoriteto stiprinimą, visuomenės pasitikėjimo teismais didinimą, teisinių žinių ir profesionalumo skatinimą bei plėtojimą, jo nuopelnus vykdant teisingumą, teisingumo sektoriaus politikos kūrimą ir įgyvendinimą, </w:t>
      </w:r>
      <w:r w:rsidR="00C90EC5" w:rsidRPr="003B0685">
        <w:rPr>
          <w:rStyle w:val="Bodytext2"/>
          <w:b w:val="0"/>
          <w:color w:val="000000"/>
          <w:sz w:val="24"/>
          <w:szCs w:val="24"/>
        </w:rPr>
        <w:t>svarbius mokslo pasiekimus teisės srityje</w:t>
      </w:r>
      <w:r w:rsidR="00D34163" w:rsidRPr="00D34163">
        <w:rPr>
          <w:rStyle w:val="Bodytext4"/>
          <w:b w:val="0"/>
          <w:bCs/>
          <w:color w:val="000000"/>
          <w:sz w:val="24"/>
          <w:szCs w:val="24"/>
        </w:rPr>
        <w:t xml:space="preserve">, </w:t>
      </w:r>
      <w:r w:rsidRPr="00D676E7">
        <w:rPr>
          <w:rStyle w:val="Bodytext2"/>
          <w:b w:val="0"/>
          <w:bCs/>
          <w:color w:val="000000"/>
          <w:sz w:val="24"/>
          <w:szCs w:val="24"/>
        </w:rPr>
        <w:t>v</w:t>
      </w:r>
      <w:r w:rsidR="00623967" w:rsidRPr="00D676E7">
        <w:rPr>
          <w:b w:val="0"/>
          <w:bCs/>
          <w:sz w:val="24"/>
          <w:szCs w:val="24"/>
        </w:rPr>
        <w:t>adovaudamasi</w:t>
      </w:r>
      <w:r w:rsidR="00623967">
        <w:rPr>
          <w:b w:val="0"/>
          <w:sz w:val="24"/>
          <w:szCs w:val="24"/>
        </w:rPr>
        <w:t xml:space="preserve"> Teismų įstatymo </w:t>
      </w:r>
      <w:r w:rsidR="00623967" w:rsidRPr="00623967">
        <w:rPr>
          <w:b w:val="0"/>
          <w:sz w:val="24"/>
          <w:szCs w:val="24"/>
        </w:rPr>
        <w:t>130</w:t>
      </w:r>
      <w:r w:rsidR="00623967" w:rsidRPr="00623967">
        <w:rPr>
          <w:b w:val="0"/>
          <w:sz w:val="24"/>
          <w:szCs w:val="24"/>
          <w:vertAlign w:val="superscript"/>
        </w:rPr>
        <w:t>1</w:t>
      </w:r>
      <w:r w:rsidR="00623967">
        <w:rPr>
          <w:b w:val="0"/>
          <w:sz w:val="24"/>
          <w:szCs w:val="24"/>
        </w:rPr>
        <w:t xml:space="preserve"> straipsniu ir </w:t>
      </w:r>
      <w:r w:rsidR="00623967" w:rsidRPr="00E62594">
        <w:rPr>
          <w:b w:val="0"/>
          <w:bCs/>
          <w:sz w:val="24"/>
          <w:szCs w:val="24"/>
        </w:rPr>
        <w:t>Teismų sistemos apdovanojimų tvarkos aprašo, patvirtinto Teisėjų tarybos 2017 m. kovo 31 d. nutarimu Nr. 13P-55-(7.1.2</w:t>
      </w:r>
      <w:r w:rsidR="00D34163">
        <w:rPr>
          <w:b w:val="0"/>
          <w:bCs/>
          <w:sz w:val="24"/>
          <w:szCs w:val="24"/>
        </w:rPr>
        <w:t>.</w:t>
      </w:r>
      <w:r w:rsidR="00623967" w:rsidRPr="00E62594">
        <w:rPr>
          <w:b w:val="0"/>
          <w:bCs/>
          <w:sz w:val="24"/>
          <w:szCs w:val="24"/>
        </w:rPr>
        <w:t>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37A94FAD" w14:textId="1DDA79FD" w:rsidR="009D7B2E" w:rsidRDefault="00F5434F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  <w:r w:rsidRPr="00D676E7">
        <w:rPr>
          <w:rFonts w:ascii="Times New Roman" w:hAnsi="Times New Roman"/>
          <w:sz w:val="24"/>
          <w:szCs w:val="24"/>
        </w:rPr>
        <w:t>Apdo</w:t>
      </w:r>
      <w:r w:rsidR="000A1DE2" w:rsidRPr="00D676E7">
        <w:rPr>
          <w:rFonts w:ascii="Times New Roman" w:hAnsi="Times New Roman"/>
          <w:sz w:val="24"/>
          <w:szCs w:val="24"/>
        </w:rPr>
        <w:t>vanoti</w:t>
      </w:r>
      <w:r w:rsidR="00F5287B" w:rsidRPr="00D676E7">
        <w:rPr>
          <w:rFonts w:ascii="Times New Roman" w:hAnsi="Times New Roman"/>
          <w:sz w:val="24"/>
          <w:szCs w:val="24"/>
        </w:rPr>
        <w:t xml:space="preserve"> </w:t>
      </w:r>
      <w:r w:rsidR="00C90EC5" w:rsidRPr="00C90EC5">
        <w:rPr>
          <w:rStyle w:val="Bodytext4"/>
          <w:rFonts w:ascii="Times New Roman" w:hAnsi="Times New Roman"/>
          <w:color w:val="000000"/>
          <w:sz w:val="24"/>
          <w:szCs w:val="24"/>
        </w:rPr>
        <w:t>prof. dr. JUOZĄ ŽILĮ 1-ojo laipsnio pasižymėjimo ženklu „Už nuopelnus teismų sistemai“.</w:t>
      </w:r>
    </w:p>
    <w:p w14:paraId="6186965B" w14:textId="77777777" w:rsidR="00DB3FA6" w:rsidRDefault="00DB3FA6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DB3FA6" w:rsidRPr="00DB3FA6" w14:paraId="479E0A26" w14:textId="77777777" w:rsidTr="00A307BA">
        <w:tc>
          <w:tcPr>
            <w:tcW w:w="7308" w:type="dxa"/>
          </w:tcPr>
          <w:p w14:paraId="59D0016C" w14:textId="77777777" w:rsidR="00DB3FA6" w:rsidRPr="00A307BA" w:rsidRDefault="00DB3FA6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A307BA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1BD3834C" w14:textId="77777777" w:rsidR="00DB3FA6" w:rsidRPr="00A307BA" w:rsidRDefault="00DB3FA6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A307BA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1C60C624" w14:textId="77777777" w:rsidR="00DB3FA6" w:rsidRPr="00A307BA" w:rsidRDefault="00DB3FA6" w:rsidP="0002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FA6" w:rsidRPr="00DB3FA6" w14:paraId="4D28D9F9" w14:textId="77777777" w:rsidTr="00A307BA">
        <w:tc>
          <w:tcPr>
            <w:tcW w:w="7308" w:type="dxa"/>
          </w:tcPr>
          <w:p w14:paraId="5EBB561B" w14:textId="77777777" w:rsidR="00DB3FA6" w:rsidRPr="00A307BA" w:rsidRDefault="00DB3FA6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A307B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53E32C57" w14:textId="77777777" w:rsidR="00DB3FA6" w:rsidRPr="00A307BA" w:rsidRDefault="00DB3FA6" w:rsidP="00022983">
            <w:pPr>
              <w:rPr>
                <w:rFonts w:ascii="Times New Roman" w:hAnsi="Times New Roman"/>
                <w:sz w:val="24"/>
                <w:szCs w:val="24"/>
              </w:rPr>
            </w:pPr>
            <w:r w:rsidRPr="00A307BA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333F1387" w14:textId="77777777" w:rsidR="00DB3FA6" w:rsidRPr="00DB3FA6" w:rsidRDefault="00DB3FA6" w:rsidP="00DB3FA6">
      <w:pPr>
        <w:pStyle w:val="Paantrat"/>
        <w:ind w:firstLine="1134"/>
        <w:jc w:val="both"/>
      </w:pPr>
    </w:p>
    <w:p w14:paraId="794F409D" w14:textId="77777777" w:rsidR="00C90EC5" w:rsidRDefault="00C90EC5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63FF2" w14:textId="77777777" w:rsidR="003A4D4D" w:rsidRDefault="003A4D4D">
      <w:pPr>
        <w:spacing w:after="0" w:line="240" w:lineRule="auto"/>
      </w:pPr>
      <w:r>
        <w:separator/>
      </w:r>
    </w:p>
  </w:endnote>
  <w:endnote w:type="continuationSeparator" w:id="0">
    <w:p w14:paraId="08AFBFBF" w14:textId="77777777" w:rsidR="003A4D4D" w:rsidRDefault="003A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8105" w14:textId="77777777" w:rsidR="003A4D4D" w:rsidRDefault="003A4D4D">
      <w:pPr>
        <w:spacing w:after="0" w:line="240" w:lineRule="auto"/>
      </w:pPr>
      <w:r>
        <w:separator/>
      </w:r>
    </w:p>
  </w:footnote>
  <w:footnote w:type="continuationSeparator" w:id="0">
    <w:p w14:paraId="0509108D" w14:textId="77777777" w:rsidR="003A4D4D" w:rsidRDefault="003A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39F8" w14:textId="2A74DD47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9010E0"/>
    <w:rsid w:val="00903963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257B"/>
    <w:rsid w:val="0096453D"/>
    <w:rsid w:val="00972B6B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34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961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9</cp:revision>
  <cp:lastPrinted>2021-11-23T11:12:00Z</cp:lastPrinted>
  <dcterms:created xsi:type="dcterms:W3CDTF">2022-11-21T07:25:00Z</dcterms:created>
  <dcterms:modified xsi:type="dcterms:W3CDTF">2022-11-25T12:41:00Z</dcterms:modified>
</cp:coreProperties>
</file>