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710B8" w14:textId="2491455B" w:rsidR="00DF2991" w:rsidRPr="00DF2991" w:rsidRDefault="00DF2991" w:rsidP="00DF2991">
      <w:pPr>
        <w:tabs>
          <w:tab w:val="center" w:pos="4819"/>
          <w:tab w:val="right" w:pos="9638"/>
        </w:tabs>
        <w:ind w:left="4819"/>
        <w:jc w:val="center"/>
        <w:rPr>
          <w:szCs w:val="24"/>
          <w:lang w:eastAsia="lt-LT"/>
        </w:rPr>
      </w:pPr>
    </w:p>
    <w:p w14:paraId="78592F7E" w14:textId="6A939168" w:rsidR="00DF2991" w:rsidRPr="00DF2991" w:rsidRDefault="0036720C" w:rsidP="00DF2991">
      <w:pPr>
        <w:jc w:val="center"/>
        <w:rPr>
          <w:szCs w:val="24"/>
          <w:lang w:eastAsia="lt-LT"/>
        </w:rPr>
      </w:pPr>
      <w:r>
        <w:rPr>
          <w:noProof/>
          <w:lang w:eastAsia="lt-LT"/>
        </w:rPr>
        <w:drawing>
          <wp:inline distT="0" distB="0" distL="0" distR="0" wp14:anchorId="3A3E3353" wp14:editId="7F43CA3F">
            <wp:extent cx="733425" cy="762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107FEE03" w14:textId="77777777" w:rsidR="00DF2991" w:rsidRPr="00DF2991" w:rsidRDefault="00DF2991" w:rsidP="00DF2991">
      <w:pPr>
        <w:overflowPunct w:val="0"/>
        <w:jc w:val="center"/>
        <w:textAlignment w:val="baseline"/>
        <w:rPr>
          <w:b/>
          <w:szCs w:val="24"/>
        </w:rPr>
      </w:pPr>
      <w:r w:rsidRPr="00DF2991">
        <w:rPr>
          <w:b/>
          <w:szCs w:val="24"/>
        </w:rPr>
        <w:t>TEISĖJŲ TARYBA</w:t>
      </w:r>
    </w:p>
    <w:p w14:paraId="16DA98AC" w14:textId="77777777" w:rsidR="00DF2991" w:rsidRPr="00DF2991" w:rsidRDefault="00DF2991" w:rsidP="00DF2991">
      <w:pPr>
        <w:overflowPunct w:val="0"/>
        <w:jc w:val="center"/>
        <w:textAlignment w:val="baseline"/>
        <w:rPr>
          <w:b/>
          <w:szCs w:val="24"/>
        </w:rPr>
      </w:pPr>
    </w:p>
    <w:p w14:paraId="5B1FBF12" w14:textId="77777777" w:rsidR="00DF2991" w:rsidRPr="00DF2991" w:rsidRDefault="00DF2991" w:rsidP="00DF2991">
      <w:pPr>
        <w:overflowPunct w:val="0"/>
        <w:jc w:val="center"/>
        <w:textAlignment w:val="baseline"/>
        <w:rPr>
          <w:b/>
          <w:szCs w:val="24"/>
        </w:rPr>
      </w:pPr>
      <w:r w:rsidRPr="00DF2991">
        <w:rPr>
          <w:b/>
          <w:szCs w:val="24"/>
        </w:rPr>
        <w:t>NUTARIMAS</w:t>
      </w:r>
    </w:p>
    <w:p w14:paraId="6BF20568" w14:textId="77777777" w:rsidR="00DF2991" w:rsidRPr="00DF2991" w:rsidRDefault="00DF2991" w:rsidP="00DF2991">
      <w:pPr>
        <w:overflowPunct w:val="0"/>
        <w:jc w:val="center"/>
        <w:textAlignment w:val="baseline"/>
        <w:rPr>
          <w:b/>
          <w:caps/>
          <w:szCs w:val="24"/>
        </w:rPr>
      </w:pPr>
      <w:r w:rsidRPr="00DF2991">
        <w:rPr>
          <w:b/>
          <w:caps/>
          <w:szCs w:val="24"/>
        </w:rPr>
        <w:t>DĖL TEISĖJŲ TARYBOS 2014 m. spalio 31 d. NUTARIMO NR. 13P-135-(7.1.2)</w:t>
      </w:r>
    </w:p>
    <w:p w14:paraId="3EC647E4" w14:textId="77777777" w:rsidR="00DF2991" w:rsidRPr="00DF2991" w:rsidRDefault="00DF2991" w:rsidP="00DF2991">
      <w:pPr>
        <w:overflowPunct w:val="0"/>
        <w:jc w:val="center"/>
        <w:textAlignment w:val="baseline"/>
        <w:rPr>
          <w:b/>
          <w:caps/>
          <w:szCs w:val="24"/>
        </w:rPr>
      </w:pPr>
      <w:r w:rsidRPr="00DF2991">
        <w:rPr>
          <w:b/>
          <w:caps/>
          <w:szCs w:val="24"/>
        </w:rPr>
        <w:t>„DĖL TEISĖJŲ VEIKLOS VERTINIMO TVARKOS APRAŠO PATVIRTINIMO“</w:t>
      </w:r>
      <w:r w:rsidRPr="00DF2991">
        <w:rPr>
          <w:caps/>
          <w:szCs w:val="24"/>
        </w:rPr>
        <w:t xml:space="preserve"> </w:t>
      </w:r>
      <w:r w:rsidRPr="00DF2991">
        <w:rPr>
          <w:b/>
          <w:caps/>
          <w:szCs w:val="24"/>
        </w:rPr>
        <w:t>PAKEITIMO</w:t>
      </w:r>
    </w:p>
    <w:p w14:paraId="57C0B8E3" w14:textId="77777777" w:rsidR="00DF2991" w:rsidRPr="00DF2991" w:rsidRDefault="00DF2991" w:rsidP="00DF2991">
      <w:pPr>
        <w:overflowPunct w:val="0"/>
        <w:spacing w:line="360" w:lineRule="atLeast"/>
        <w:jc w:val="center"/>
        <w:textAlignment w:val="baseline"/>
        <w:rPr>
          <w:rFonts w:ascii="Tahoma" w:hAnsi="Tahoma"/>
          <w:b/>
          <w:sz w:val="28"/>
          <w:szCs w:val="24"/>
        </w:rPr>
      </w:pPr>
    </w:p>
    <w:p w14:paraId="1781CC1C" w14:textId="3F1047EC" w:rsidR="00DF2991" w:rsidRPr="00DF2991" w:rsidRDefault="00DF2991" w:rsidP="00DF2991">
      <w:pPr>
        <w:jc w:val="center"/>
        <w:rPr>
          <w:szCs w:val="24"/>
        </w:rPr>
      </w:pPr>
      <w:r w:rsidRPr="00DF2991">
        <w:rPr>
          <w:szCs w:val="24"/>
        </w:rPr>
        <w:t xml:space="preserve">2022 m. </w:t>
      </w:r>
      <w:r w:rsidR="0036720C">
        <w:rPr>
          <w:szCs w:val="24"/>
        </w:rPr>
        <w:t>gruodžio 19</w:t>
      </w:r>
      <w:r w:rsidRPr="00DF2991">
        <w:rPr>
          <w:szCs w:val="24"/>
        </w:rPr>
        <w:t xml:space="preserve"> d. Nr. 13P</w:t>
      </w:r>
      <w:r w:rsidR="00FF558B" w:rsidRPr="00DF2991">
        <w:rPr>
          <w:szCs w:val="24"/>
        </w:rPr>
        <w:t>-</w:t>
      </w:r>
      <w:r w:rsidR="00FF558B">
        <w:rPr>
          <w:szCs w:val="24"/>
        </w:rPr>
        <w:t>231</w:t>
      </w:r>
      <w:r w:rsidR="0036720C">
        <w:rPr>
          <w:szCs w:val="24"/>
        </w:rPr>
        <w:t>-(7.1.2.)</w:t>
      </w:r>
    </w:p>
    <w:p w14:paraId="69801A5F" w14:textId="77777777" w:rsidR="00DF2991" w:rsidRPr="00DF2991" w:rsidRDefault="00DF2991" w:rsidP="00DF2991">
      <w:pPr>
        <w:jc w:val="center"/>
        <w:rPr>
          <w:szCs w:val="24"/>
        </w:rPr>
      </w:pPr>
      <w:r w:rsidRPr="00DF2991">
        <w:rPr>
          <w:szCs w:val="24"/>
        </w:rPr>
        <w:t>Vilnius</w:t>
      </w:r>
    </w:p>
    <w:p w14:paraId="7280A44C" w14:textId="77777777" w:rsidR="00DF2991" w:rsidRPr="00DF2991" w:rsidRDefault="00DF2991" w:rsidP="00DF2991"/>
    <w:p w14:paraId="4C2BE621" w14:textId="77777777" w:rsidR="00DF2991" w:rsidRPr="00DF2991" w:rsidRDefault="00DF2991" w:rsidP="00DF2991">
      <w:pPr>
        <w:ind w:firstLine="709"/>
        <w:jc w:val="both"/>
        <w:rPr>
          <w:szCs w:val="24"/>
        </w:rPr>
      </w:pPr>
      <w:r w:rsidRPr="00DF2991">
        <w:rPr>
          <w:szCs w:val="24"/>
        </w:rPr>
        <w:t>Teisėjų taryba n u t a r i a:</w:t>
      </w:r>
    </w:p>
    <w:p w14:paraId="318A249A" w14:textId="77777777" w:rsidR="00FC52C7" w:rsidRPr="00EB316D" w:rsidRDefault="00FC52C7" w:rsidP="00FC52C7">
      <w:pPr>
        <w:overflowPunct w:val="0"/>
        <w:ind w:firstLine="709"/>
        <w:jc w:val="both"/>
        <w:textAlignment w:val="baseline"/>
        <w:rPr>
          <w:szCs w:val="24"/>
        </w:rPr>
      </w:pPr>
      <w:r w:rsidRPr="00EB316D">
        <w:rPr>
          <w:szCs w:val="24"/>
        </w:rPr>
        <w:t>1.1. Pakeisti 10 punkto pirmąją pastraipą ir ją išdėstyti taip:</w:t>
      </w:r>
    </w:p>
    <w:p w14:paraId="1BAAF9FF" w14:textId="77777777" w:rsidR="00FC52C7" w:rsidRPr="00EB316D" w:rsidRDefault="00FC52C7" w:rsidP="00FC52C7">
      <w:pPr>
        <w:tabs>
          <w:tab w:val="left" w:pos="187"/>
        </w:tabs>
        <w:ind w:firstLine="709"/>
        <w:jc w:val="both"/>
        <w:rPr>
          <w:szCs w:val="24"/>
        </w:rPr>
      </w:pPr>
      <w:r w:rsidRPr="00EB316D">
        <w:rPr>
          <w:szCs w:val="24"/>
        </w:rPr>
        <w:t>„</w:t>
      </w:r>
      <w:bookmarkStart w:id="0" w:name="_Hlk121830158"/>
      <w:r w:rsidRPr="00EB316D">
        <w:rPr>
          <w:szCs w:val="24"/>
        </w:rPr>
        <w:t>10.</w:t>
      </w:r>
      <w:r w:rsidRPr="00EB316D">
        <w:t xml:space="preserve"> </w:t>
      </w:r>
      <w:r w:rsidRPr="00EB316D">
        <w:rPr>
          <w:szCs w:val="24"/>
        </w:rPr>
        <w:t>Statistinis vidutinis teisėjo darbo krūvis (toliau – Teisėjo darbo krūvis) vertinamas atsižvelgiant į bendrą teisėjo darbo krūvį, jei teisme nustatyta specializacija – darbo krūvį pagal specializaciją, teisėjo išnagrinėtų bylų, atsižvelgiant į teisinį reguliavimą dėl bylų pagal pareiškimus dėl teismo įsakymo išdavimo paskirstymo, ir kitų procesinių dokumentų kiekį, bylų sudėtingumą pagal bylų kategorijas, teisėjo užimtumą kitoje veikloje (dalyvavimą teisėjų, teisėjų padėjėjų mokymų procese, pedagoginėje veikloje, teismų savivaldos institucijų veikloje, darbo grupėse teismų veiklą reguliuojančių teisės aktų tobulinimui, teismo vidaus ar išorės administravimo funkcijų atlikimą ir pan.), teisėjo teisėto nebuvimo darbe laikotarpius ir kitus teisėjo darbo krūviui įtakos turinčius veiksnius, skiriant iki 25 balų:</w:t>
      </w:r>
      <w:bookmarkEnd w:id="0"/>
      <w:r w:rsidRPr="00EB316D">
        <w:rPr>
          <w:szCs w:val="24"/>
        </w:rPr>
        <w:t>“</w:t>
      </w:r>
    </w:p>
    <w:p w14:paraId="09455B25" w14:textId="77777777" w:rsidR="00FC52C7" w:rsidRPr="00EB316D" w:rsidRDefault="00FC52C7" w:rsidP="00FC52C7">
      <w:pPr>
        <w:overflowPunct w:val="0"/>
        <w:ind w:firstLine="720"/>
        <w:jc w:val="both"/>
        <w:textAlignment w:val="baseline"/>
        <w:rPr>
          <w:szCs w:val="24"/>
        </w:rPr>
      </w:pPr>
      <w:r w:rsidRPr="00EB316D">
        <w:rPr>
          <w:szCs w:val="24"/>
        </w:rPr>
        <w:t xml:space="preserve">1.2. Pakeisti 10.6 papunktį ir jį išdėstyti taip: </w:t>
      </w:r>
    </w:p>
    <w:p w14:paraId="44C65410" w14:textId="6287E839" w:rsidR="00FC52C7" w:rsidRPr="00EB316D" w:rsidRDefault="00FC52C7" w:rsidP="00FC52C7">
      <w:pPr>
        <w:tabs>
          <w:tab w:val="left" w:pos="187"/>
        </w:tabs>
        <w:ind w:firstLine="709"/>
        <w:jc w:val="both"/>
        <w:rPr>
          <w:szCs w:val="24"/>
        </w:rPr>
      </w:pPr>
      <w:r w:rsidRPr="00EB316D">
        <w:rPr>
          <w:szCs w:val="24"/>
        </w:rPr>
        <w:t xml:space="preserve">„10.6. </w:t>
      </w:r>
      <w:r w:rsidRPr="00EB316D">
        <w:t>Tais atvejais, kai teismo pirmininko, teismo pirmininko pavaduotojo</w:t>
      </w:r>
      <w:r w:rsidR="00202B83">
        <w:t>, skyriaus pirmininko</w:t>
      </w:r>
      <w:r w:rsidRPr="00EB316D">
        <w:t xml:space="preserve"> ar teisėjo darbo su bylomis krūvis dėl teismo administravimo funkcijų atlikimo ar dalyvavimo teisėjų savivaldos institucijų veikloje yra sumažintas, vertinant šio teisėjo statistinį vidutinį darbo krūvį yra taikomas atitinkamas pataisos koeficientas, kuris lygus sumažinto darbo krūvio dydžiui.</w:t>
      </w:r>
      <w:r w:rsidRPr="00EB316D">
        <w:rPr>
          <w:szCs w:val="24"/>
        </w:rPr>
        <w:t>“</w:t>
      </w:r>
    </w:p>
    <w:p w14:paraId="0793B771" w14:textId="77777777" w:rsidR="00FC52C7" w:rsidRPr="00EB316D" w:rsidRDefault="00FC52C7" w:rsidP="00FC52C7">
      <w:pPr>
        <w:tabs>
          <w:tab w:val="left" w:pos="187"/>
        </w:tabs>
        <w:ind w:firstLine="709"/>
        <w:jc w:val="both"/>
        <w:rPr>
          <w:szCs w:val="24"/>
        </w:rPr>
      </w:pPr>
      <w:r w:rsidRPr="00EB316D">
        <w:rPr>
          <w:szCs w:val="24"/>
        </w:rPr>
        <w:t xml:space="preserve">1.3. Pakeisti 11 punkto pirmąją pastraipą ir ją išdėstyti taip: </w:t>
      </w:r>
    </w:p>
    <w:p w14:paraId="48F1246B" w14:textId="77777777" w:rsidR="00FC52C7" w:rsidRPr="00EB316D" w:rsidRDefault="00FC52C7" w:rsidP="00FC52C7">
      <w:pPr>
        <w:tabs>
          <w:tab w:val="left" w:pos="187"/>
        </w:tabs>
        <w:ind w:firstLine="709"/>
        <w:jc w:val="both"/>
      </w:pPr>
      <w:r w:rsidRPr="00EB316D">
        <w:rPr>
          <w:szCs w:val="24"/>
        </w:rPr>
        <w:t xml:space="preserve">„11. </w:t>
      </w:r>
      <w:r w:rsidRPr="00EB316D">
        <w:t>Bylų nagrinėjimo trukmė vertinama atsižvelgiant į statistinę vidutinę bylų nagrinėjimo trukmę teisme ir atitinkamos pakopos teismuose, ilgiau nei metus ar pusę metų nagrinėjamų kai kurių kategorijų bylų skaičių, kartu vertinant priežastis, lėmusias proceso trukmę, skiriant iki 25 balų:“</w:t>
      </w:r>
    </w:p>
    <w:p w14:paraId="660F09D1" w14:textId="77777777" w:rsidR="00FC52C7" w:rsidRPr="00EB316D" w:rsidRDefault="00FC52C7" w:rsidP="00FC52C7">
      <w:pPr>
        <w:tabs>
          <w:tab w:val="left" w:pos="187"/>
        </w:tabs>
        <w:ind w:firstLine="709"/>
        <w:jc w:val="both"/>
      </w:pPr>
      <w:r w:rsidRPr="00EB316D">
        <w:t xml:space="preserve">1.4. Pakeisti 11.1 papunktį ir jį išdėstyti taip: </w:t>
      </w:r>
    </w:p>
    <w:p w14:paraId="69F874CF" w14:textId="77777777" w:rsidR="00FC52C7" w:rsidRPr="00EB316D" w:rsidRDefault="00FC52C7" w:rsidP="00FC52C7">
      <w:pPr>
        <w:tabs>
          <w:tab w:val="left" w:pos="187"/>
        </w:tabs>
        <w:ind w:firstLine="709"/>
        <w:jc w:val="both"/>
      </w:pPr>
      <w:r w:rsidRPr="00EB316D">
        <w:t>„11.1. nuo 16 iki 20 balų, kai statistinė teisėjo vidutinė bylos nagrinėjimo trukmė yra artima atitinkamo teismo teisėjų vidutinei bylos nagrinėjimo trukmei arba statistinė teisėjo vidutinė bylos nagrinėjimo trukmė yra ilgesnė už atitinkamo teismo teisėjų vidutinę bylos nagrinėjimo trukmę, tačiau ilgesnį bylų nagrinėjimą lėmusios priežastys nesusijusios su procesinių veiksmų atlikimo per įmanomai trumpiausius terminus trūkumais, procesinių terminų pažeidimais ar kitais teisėjo darbo organizavimo trūkumais;“</w:t>
      </w:r>
    </w:p>
    <w:p w14:paraId="7BA619E3" w14:textId="77777777" w:rsidR="00FC52C7" w:rsidRPr="00EB316D" w:rsidRDefault="00FC52C7" w:rsidP="00FC52C7">
      <w:pPr>
        <w:tabs>
          <w:tab w:val="left" w:pos="187"/>
        </w:tabs>
        <w:ind w:firstLine="709"/>
        <w:jc w:val="both"/>
        <w:rPr>
          <w:szCs w:val="24"/>
        </w:rPr>
      </w:pPr>
      <w:r w:rsidRPr="00EB316D">
        <w:rPr>
          <w:szCs w:val="24"/>
        </w:rPr>
        <w:t xml:space="preserve">1.5. Pakeisti 11.5 papunktį ir jį išdėstyti taip: </w:t>
      </w:r>
    </w:p>
    <w:p w14:paraId="2E3C20DD" w14:textId="77777777" w:rsidR="00FC52C7" w:rsidRPr="00EB316D" w:rsidRDefault="00FC52C7" w:rsidP="00FC52C7">
      <w:pPr>
        <w:tabs>
          <w:tab w:val="left" w:pos="187"/>
        </w:tabs>
        <w:ind w:firstLine="709"/>
        <w:jc w:val="both"/>
        <w:rPr>
          <w:szCs w:val="24"/>
        </w:rPr>
      </w:pPr>
      <w:r w:rsidRPr="00EB316D">
        <w:rPr>
          <w:szCs w:val="24"/>
        </w:rPr>
        <w:t xml:space="preserve">„11.5. </w:t>
      </w:r>
      <w:r w:rsidRPr="00EB316D">
        <w:t>papildomai iki 5 balų gali būti skiriama, atsižvelgiant į nagrinėjamų bylų specifiką (nagrinėjamų bylų sudėtingumą ir apimtį), taip pat tais atvejais, kai atitinkamame teisme statistinė vidutinė bylų nagrinėjimo trukmė yra trumpesnė nei statistinė vidutinė bylų nagrinėjimo trukmė atitinkamos pakopos teismuose.“</w:t>
      </w:r>
    </w:p>
    <w:p w14:paraId="53C57A74" w14:textId="77777777" w:rsidR="00FC52C7" w:rsidRPr="00EB316D" w:rsidRDefault="00FC52C7" w:rsidP="00FC52C7">
      <w:pPr>
        <w:overflowPunct w:val="0"/>
        <w:ind w:firstLine="720"/>
        <w:jc w:val="both"/>
        <w:textAlignment w:val="baseline"/>
        <w:rPr>
          <w:szCs w:val="24"/>
        </w:rPr>
      </w:pPr>
      <w:r w:rsidRPr="00EB316D">
        <w:rPr>
          <w:szCs w:val="24"/>
        </w:rPr>
        <w:t xml:space="preserve">1.6. Pakeisti 13 punkto pirmąją pastraipą ir ją išdėstyti taip: </w:t>
      </w:r>
    </w:p>
    <w:p w14:paraId="59F78882" w14:textId="77777777" w:rsidR="00FC52C7" w:rsidRPr="00EB316D" w:rsidRDefault="00FC52C7" w:rsidP="00FC52C7">
      <w:pPr>
        <w:overflowPunct w:val="0"/>
        <w:ind w:firstLine="720"/>
        <w:jc w:val="both"/>
        <w:textAlignment w:val="baseline"/>
      </w:pPr>
      <w:r w:rsidRPr="00EB316D">
        <w:rPr>
          <w:szCs w:val="24"/>
        </w:rPr>
        <w:t xml:space="preserve">„13. </w:t>
      </w:r>
      <w:r w:rsidRPr="00EB316D">
        <w:t xml:space="preserve">Teisėjo vadovavimo procesui kokybė ir </w:t>
      </w:r>
      <w:r w:rsidRPr="00EB316D">
        <w:rPr>
          <w:szCs w:val="24"/>
        </w:rPr>
        <w:t xml:space="preserve">teisėjo darbo organizavimo gebėjimai </w:t>
      </w:r>
      <w:r w:rsidRPr="00EB316D">
        <w:t xml:space="preserve">vertinami atsižvelgiant į teisėjo pastabumą, atidumą, elgesį su proceso šalimis ir kitais proceso dalyviais, gebėjimą išklausyti kiekvieną dalyvaujantį byloje asmenį, dėmesingumą, </w:t>
      </w:r>
      <w:r w:rsidRPr="00EB316D">
        <w:rPr>
          <w:szCs w:val="24"/>
        </w:rPr>
        <w:t xml:space="preserve">tinkamą teismo proceso, </w:t>
      </w:r>
      <w:r w:rsidRPr="00EB316D">
        <w:rPr>
          <w:szCs w:val="24"/>
        </w:rPr>
        <w:lastRenderedPageBreak/>
        <w:t>atskirų procesinių veiksmų, kitų darbų planavimą ir organizavimą, gebėjimą skirti pakankamai laiko visiems sprendžiamiems klausimams, stropumą, punktualumą, įstatyme nustatytų terminų laikymąsi, atliekant su teisėjo profesine veikla susijusias pareigas ir kt.</w:t>
      </w:r>
      <w:r w:rsidRPr="00EB316D">
        <w:t>, skiriant iki 25 balų:“</w:t>
      </w:r>
    </w:p>
    <w:p w14:paraId="083CD14D" w14:textId="77777777" w:rsidR="00FC52C7" w:rsidRPr="00EB316D" w:rsidRDefault="00FC52C7" w:rsidP="00FC52C7">
      <w:pPr>
        <w:overflowPunct w:val="0"/>
        <w:ind w:firstLine="720"/>
        <w:jc w:val="both"/>
        <w:textAlignment w:val="baseline"/>
      </w:pPr>
      <w:r w:rsidRPr="00EB316D">
        <w:t xml:space="preserve">1.7. Pakeisti 16.4 papunktį ir jį išdėstyti taip: </w:t>
      </w:r>
    </w:p>
    <w:p w14:paraId="203623EF" w14:textId="77777777" w:rsidR="00FC52C7" w:rsidRPr="00EB316D" w:rsidRDefault="00FC52C7" w:rsidP="00FC52C7">
      <w:pPr>
        <w:overflowPunct w:val="0"/>
        <w:ind w:firstLine="720"/>
        <w:jc w:val="both"/>
        <w:textAlignment w:val="baseline"/>
      </w:pPr>
      <w:r w:rsidRPr="00EB316D">
        <w:t xml:space="preserve">„16.4. </w:t>
      </w:r>
      <w:r w:rsidRPr="00EB316D">
        <w:rPr>
          <w:szCs w:val="24"/>
        </w:rPr>
        <w:t>kitas teisėjo dalykines savybes (kvalifikacijos kėlimas Lietuvoje ir užsienio šalyse, dalyvavimas tarptautiniuose mokymuose, stažuotėse ar seminaruose, mokslinėje-pedagoginėje veikloje, dalyvavimas teismų savivaldoje, teismų bendruomenės visuomeninėje veikloje,</w:t>
      </w:r>
      <w:r w:rsidRPr="00EB316D">
        <w:rPr>
          <w:b/>
          <w:bCs/>
          <w:szCs w:val="24"/>
        </w:rPr>
        <w:t xml:space="preserve"> </w:t>
      </w:r>
      <w:r w:rsidRPr="00EB316D">
        <w:rPr>
          <w:szCs w:val="24"/>
        </w:rPr>
        <w:t>tarptautiniuose tinkluose bei projektuose, rengiant teisės aktų projektus, užtikrinant bendrinės ir proceso kalbos kultūrą, užsienio kalbų mokėjimas, darbo su informacinėmis technologijomis įgūdžiai ir kt.).“</w:t>
      </w:r>
    </w:p>
    <w:p w14:paraId="580D3AB3" w14:textId="77777777" w:rsidR="00FC52C7" w:rsidRPr="00EB316D" w:rsidRDefault="00FC52C7" w:rsidP="00FC52C7">
      <w:pPr>
        <w:overflowPunct w:val="0"/>
        <w:ind w:firstLine="720"/>
        <w:jc w:val="both"/>
        <w:textAlignment w:val="baseline"/>
        <w:rPr>
          <w:szCs w:val="24"/>
        </w:rPr>
      </w:pPr>
      <w:r w:rsidRPr="00EB316D">
        <w:rPr>
          <w:szCs w:val="24"/>
        </w:rPr>
        <w:t>1.8. Papildyti 16</w:t>
      </w:r>
      <w:r w:rsidRPr="00EB316D">
        <w:rPr>
          <w:szCs w:val="24"/>
          <w:vertAlign w:val="superscript"/>
        </w:rPr>
        <w:t>1</w:t>
      </w:r>
      <w:r w:rsidRPr="00EB316D">
        <w:rPr>
          <w:szCs w:val="24"/>
        </w:rPr>
        <w:t xml:space="preserve"> punktu:</w:t>
      </w:r>
    </w:p>
    <w:p w14:paraId="0E91CBAF" w14:textId="77777777" w:rsidR="00FC52C7" w:rsidRPr="00EB316D" w:rsidRDefault="00FC52C7" w:rsidP="00FC52C7">
      <w:pPr>
        <w:overflowPunct w:val="0"/>
        <w:ind w:firstLine="720"/>
        <w:jc w:val="both"/>
        <w:textAlignment w:val="baseline"/>
        <w:rPr>
          <w:szCs w:val="24"/>
        </w:rPr>
      </w:pPr>
      <w:r w:rsidRPr="00EB316D">
        <w:rPr>
          <w:szCs w:val="24"/>
        </w:rPr>
        <w:t>„16</w:t>
      </w:r>
      <w:r w:rsidRPr="00EB316D">
        <w:rPr>
          <w:szCs w:val="24"/>
          <w:vertAlign w:val="superscript"/>
        </w:rPr>
        <w:t>1</w:t>
      </w:r>
      <w:r w:rsidRPr="00EB316D">
        <w:rPr>
          <w:szCs w:val="24"/>
        </w:rPr>
        <w:t>. Vertinant teismo pirmininko, pirmininko pavaduotojo, skyriaus pirmininko veiklą, Komisijos išvadoje dėl teisėjo veiklos vertinimo rezultatų pateikiama informacija ir apie teisėjo administracinę veiklą.“</w:t>
      </w:r>
    </w:p>
    <w:p w14:paraId="0A3FA636" w14:textId="77777777" w:rsidR="00FC52C7" w:rsidRPr="00EB316D" w:rsidRDefault="00FC52C7" w:rsidP="00FC52C7">
      <w:pPr>
        <w:overflowPunct w:val="0"/>
        <w:ind w:firstLine="720"/>
        <w:jc w:val="both"/>
        <w:textAlignment w:val="baseline"/>
        <w:rPr>
          <w:szCs w:val="24"/>
        </w:rPr>
      </w:pPr>
      <w:r w:rsidRPr="00EB316D">
        <w:rPr>
          <w:szCs w:val="24"/>
        </w:rPr>
        <w:t>1.9. Papildyti 18</w:t>
      </w:r>
      <w:r w:rsidRPr="00EB316D">
        <w:rPr>
          <w:szCs w:val="24"/>
          <w:vertAlign w:val="superscript"/>
        </w:rPr>
        <w:t>1</w:t>
      </w:r>
      <w:r w:rsidRPr="00EB316D">
        <w:rPr>
          <w:szCs w:val="24"/>
        </w:rPr>
        <w:t xml:space="preserve"> punktu: </w:t>
      </w:r>
    </w:p>
    <w:p w14:paraId="46D80A7B" w14:textId="77777777" w:rsidR="00FC52C7" w:rsidRPr="00EB316D" w:rsidRDefault="00FC52C7" w:rsidP="00FC52C7">
      <w:pPr>
        <w:ind w:firstLine="709"/>
        <w:jc w:val="both"/>
        <w:rPr>
          <w:szCs w:val="24"/>
        </w:rPr>
      </w:pPr>
      <w:r w:rsidRPr="00EB316D">
        <w:rPr>
          <w:szCs w:val="24"/>
        </w:rPr>
        <w:t>„18</w:t>
      </w:r>
      <w:r w:rsidRPr="00EB316D">
        <w:rPr>
          <w:szCs w:val="24"/>
          <w:vertAlign w:val="superscript"/>
        </w:rPr>
        <w:t>1</w:t>
      </w:r>
      <w:r w:rsidRPr="00EB316D">
        <w:rPr>
          <w:szCs w:val="24"/>
        </w:rPr>
        <w:t>. Statistinius duomenis apie teisėjo veiklą teikia Nacionalinė teismų administracija nustatytos formos pažymoje iš LITEKO.“</w:t>
      </w:r>
    </w:p>
    <w:p w14:paraId="6916F89B" w14:textId="77777777" w:rsidR="00FC52C7" w:rsidRPr="00EB316D" w:rsidRDefault="00FC52C7" w:rsidP="00FC52C7">
      <w:pPr>
        <w:ind w:firstLine="709"/>
        <w:jc w:val="both"/>
        <w:rPr>
          <w:szCs w:val="24"/>
        </w:rPr>
      </w:pPr>
      <w:r w:rsidRPr="00EB316D">
        <w:rPr>
          <w:szCs w:val="24"/>
        </w:rPr>
        <w:t>1.10. Papildyti 18</w:t>
      </w:r>
      <w:r w:rsidRPr="00EB316D">
        <w:rPr>
          <w:szCs w:val="24"/>
          <w:vertAlign w:val="superscript"/>
        </w:rPr>
        <w:t>2</w:t>
      </w:r>
      <w:r w:rsidRPr="00EB316D">
        <w:rPr>
          <w:szCs w:val="24"/>
        </w:rPr>
        <w:t xml:space="preserve"> punktu: </w:t>
      </w:r>
    </w:p>
    <w:p w14:paraId="314C500A" w14:textId="77777777" w:rsidR="00FC52C7" w:rsidRPr="00EB316D" w:rsidRDefault="00FC52C7" w:rsidP="00FC52C7">
      <w:pPr>
        <w:ind w:firstLine="709"/>
        <w:jc w:val="both"/>
        <w:rPr>
          <w:szCs w:val="24"/>
        </w:rPr>
      </w:pPr>
      <w:r w:rsidRPr="00EB316D">
        <w:rPr>
          <w:szCs w:val="24"/>
        </w:rPr>
        <w:t>„18</w:t>
      </w:r>
      <w:r w:rsidRPr="00EB316D">
        <w:rPr>
          <w:szCs w:val="24"/>
          <w:vertAlign w:val="superscript"/>
        </w:rPr>
        <w:t>2</w:t>
      </w:r>
      <w:r w:rsidRPr="00EB316D">
        <w:rPr>
          <w:szCs w:val="24"/>
        </w:rPr>
        <w:t>. Nacionalinės teismų administracijos direktorius tvirtina pažymų apie bendrosios kompetencijos teismų ir specializuotų teismų teisėjų statistinius duomenis formas.“</w:t>
      </w:r>
    </w:p>
    <w:p w14:paraId="57A76187" w14:textId="77777777" w:rsidR="00FC52C7" w:rsidRPr="00EB316D" w:rsidRDefault="00FC52C7" w:rsidP="00FC52C7">
      <w:pPr>
        <w:ind w:firstLine="709"/>
        <w:jc w:val="both"/>
        <w:rPr>
          <w:szCs w:val="24"/>
        </w:rPr>
      </w:pPr>
      <w:r w:rsidRPr="00EB316D">
        <w:rPr>
          <w:szCs w:val="24"/>
        </w:rPr>
        <w:t xml:space="preserve">1.11. Pakeisti 23 punktą ir jį išdėstyti taip: </w:t>
      </w:r>
    </w:p>
    <w:p w14:paraId="4B556656" w14:textId="77777777" w:rsidR="00FC52C7" w:rsidRPr="00EB316D" w:rsidRDefault="00FC52C7" w:rsidP="00FC52C7">
      <w:pPr>
        <w:ind w:firstLine="709"/>
        <w:jc w:val="both"/>
        <w:rPr>
          <w:szCs w:val="24"/>
        </w:rPr>
      </w:pPr>
      <w:r w:rsidRPr="00EB316D">
        <w:rPr>
          <w:szCs w:val="24"/>
        </w:rPr>
        <w:t>„</w:t>
      </w:r>
      <w:r w:rsidRPr="00EB316D">
        <w:rPr>
          <w:bCs/>
          <w:szCs w:val="24"/>
        </w:rPr>
        <w:t>23.</w:t>
      </w:r>
      <w:r w:rsidRPr="00EB316D">
        <w:rPr>
          <w:b/>
          <w:i/>
          <w:szCs w:val="24"/>
        </w:rPr>
        <w:t xml:space="preserve"> </w:t>
      </w:r>
      <w:r w:rsidRPr="00EB316D">
        <w:rPr>
          <w:szCs w:val="24"/>
        </w:rPr>
        <w:t xml:space="preserve">Aukštesnės pakopos teismo, kurio veiklos teritorijoje yra teismas, kuriame vertinimo laikotarpiu dirbo vertinamas teisėjas, pirmininkas ne vėliau kaip prieš 20 kalendorinių dienų iki teisėjo veiklos vertinimo dienos pateikia Komisijai šio Aprašo priede nustatytos formos išvadą apie teisėjo profesinę veiklą ir asmenines savybes, kurioje pateikia šio Aprašo </w:t>
      </w:r>
      <w:r w:rsidRPr="00EB316D">
        <w:rPr>
          <w:bCs/>
          <w:szCs w:val="24"/>
        </w:rPr>
        <w:t>10–13</w:t>
      </w:r>
      <w:r w:rsidRPr="00EB316D">
        <w:rPr>
          <w:szCs w:val="24"/>
        </w:rPr>
        <w:t xml:space="preserve"> ir </w:t>
      </w:r>
      <w:r w:rsidRPr="00EB316D">
        <w:rPr>
          <w:bCs/>
          <w:szCs w:val="24"/>
        </w:rPr>
        <w:t>16</w:t>
      </w:r>
      <w:r w:rsidRPr="00EB316D">
        <w:rPr>
          <w:szCs w:val="24"/>
        </w:rPr>
        <w:t>–16</w:t>
      </w:r>
      <w:r w:rsidRPr="00EB316D">
        <w:rPr>
          <w:szCs w:val="24"/>
          <w:vertAlign w:val="superscript"/>
        </w:rPr>
        <w:t>1</w:t>
      </w:r>
      <w:r w:rsidRPr="00EB316D">
        <w:rPr>
          <w:szCs w:val="24"/>
        </w:rPr>
        <w:t xml:space="preserve"> punktuose nurodytų duomenų, gautų šio Aprašo </w:t>
      </w:r>
      <w:r w:rsidRPr="00EB316D">
        <w:rPr>
          <w:bCs/>
          <w:szCs w:val="24"/>
        </w:rPr>
        <w:t>17</w:t>
      </w:r>
      <w:r w:rsidRPr="00EB316D">
        <w:rPr>
          <w:b/>
          <w:bCs/>
          <w:szCs w:val="24"/>
        </w:rPr>
        <w:t xml:space="preserve"> </w:t>
      </w:r>
      <w:r w:rsidRPr="00EB316D">
        <w:rPr>
          <w:szCs w:val="24"/>
        </w:rPr>
        <w:t>punkte nustatytais informacijos gavimo būdais, apibendrintą vertinimą, atsižvelgia į teismo, kuriame vertinimo laikotarpiu dirbo vertinamas teisėjas, pirmininko pateiktą nuomonę apie vertinamo teisėjo profesinę veiklą ir asmenines savybes. Teismo pirmininko sprendimu teisme gali būti sudaryta nuolatinė arba speciali komisija, kuri rengtų informaciją apie vertinamą teisėją.“</w:t>
      </w:r>
    </w:p>
    <w:p w14:paraId="2643D978" w14:textId="77777777" w:rsidR="00FC52C7" w:rsidRPr="00EB316D" w:rsidRDefault="00FC52C7" w:rsidP="00FC52C7">
      <w:pPr>
        <w:ind w:firstLine="709"/>
        <w:jc w:val="both"/>
      </w:pPr>
      <w:r w:rsidRPr="00EB316D">
        <w:rPr>
          <w:szCs w:val="24"/>
        </w:rPr>
        <w:t xml:space="preserve">1.12. </w:t>
      </w:r>
      <w:r w:rsidRPr="00EB316D">
        <w:t xml:space="preserve">Pakeisti 29 punktą ir jį išdėstyti taip: </w:t>
      </w:r>
    </w:p>
    <w:p w14:paraId="13FA9D79" w14:textId="77777777" w:rsidR="00FC52C7" w:rsidRPr="00EB316D" w:rsidRDefault="00FC52C7" w:rsidP="00FC52C7">
      <w:pPr>
        <w:tabs>
          <w:tab w:val="left" w:pos="187"/>
        </w:tabs>
        <w:ind w:firstLine="709"/>
        <w:jc w:val="both"/>
        <w:rPr>
          <w:szCs w:val="24"/>
        </w:rPr>
      </w:pPr>
      <w:r w:rsidRPr="00EB316D">
        <w:t xml:space="preserve">„29. </w:t>
      </w:r>
      <w:r w:rsidRPr="00EB316D">
        <w:rPr>
          <w:szCs w:val="24"/>
        </w:rPr>
        <w:t>Teisėjų veikla vertinama jiems dalyvaujant Komisijos posėdyje, išskyrus šio Aprašo 29</w:t>
      </w:r>
      <w:r w:rsidRPr="00EB316D">
        <w:rPr>
          <w:szCs w:val="24"/>
          <w:vertAlign w:val="superscript"/>
        </w:rPr>
        <w:t xml:space="preserve">1 </w:t>
      </w:r>
      <w:r w:rsidRPr="00EB316D">
        <w:rPr>
          <w:szCs w:val="24"/>
        </w:rPr>
        <w:t>ir 31 punktuose nurodytus atvejus.“</w:t>
      </w:r>
    </w:p>
    <w:p w14:paraId="1077EC5F" w14:textId="77777777" w:rsidR="00FC52C7" w:rsidRPr="00EB316D" w:rsidRDefault="00FC52C7" w:rsidP="00FC52C7">
      <w:pPr>
        <w:tabs>
          <w:tab w:val="left" w:pos="187"/>
        </w:tabs>
        <w:ind w:firstLine="709"/>
        <w:jc w:val="both"/>
        <w:rPr>
          <w:szCs w:val="24"/>
        </w:rPr>
      </w:pPr>
      <w:r w:rsidRPr="00EB316D">
        <w:rPr>
          <w:szCs w:val="24"/>
        </w:rPr>
        <w:t>1.13. Papildyti 29</w:t>
      </w:r>
      <w:r w:rsidRPr="00EB316D">
        <w:rPr>
          <w:szCs w:val="24"/>
          <w:vertAlign w:val="superscript"/>
        </w:rPr>
        <w:t>1</w:t>
      </w:r>
      <w:r w:rsidRPr="00EB316D">
        <w:rPr>
          <w:szCs w:val="24"/>
        </w:rPr>
        <w:t xml:space="preserve"> papunkčiu: </w:t>
      </w:r>
    </w:p>
    <w:p w14:paraId="63B3C1F1" w14:textId="1949359F" w:rsidR="00FC52C7" w:rsidRDefault="00FC52C7" w:rsidP="00FC52C7">
      <w:pPr>
        <w:tabs>
          <w:tab w:val="left" w:pos="187"/>
        </w:tabs>
        <w:ind w:firstLine="709"/>
        <w:jc w:val="both"/>
        <w:rPr>
          <w:szCs w:val="24"/>
        </w:rPr>
      </w:pPr>
      <w:r w:rsidRPr="00EB316D">
        <w:rPr>
          <w:szCs w:val="24"/>
        </w:rPr>
        <w:t>„29</w:t>
      </w:r>
      <w:r w:rsidRPr="00EB316D">
        <w:rPr>
          <w:szCs w:val="24"/>
          <w:vertAlign w:val="superscript"/>
        </w:rPr>
        <w:t>1</w:t>
      </w:r>
      <w:r w:rsidRPr="00EB316D">
        <w:rPr>
          <w:szCs w:val="24"/>
        </w:rPr>
        <w:t>.</w:t>
      </w:r>
      <w:r w:rsidR="007421B3" w:rsidRPr="007421B3">
        <w:rPr>
          <w:b/>
          <w:bCs/>
          <w:szCs w:val="24"/>
        </w:rPr>
        <w:t xml:space="preserve"> </w:t>
      </w:r>
      <w:bookmarkStart w:id="1" w:name="_Hlk121920358"/>
      <w:r w:rsidR="007421B3" w:rsidRPr="007421B3">
        <w:rPr>
          <w:szCs w:val="24"/>
        </w:rPr>
        <w:t>Jei Komisijai šio Aprašo nustatyta tvarka nėra pateikta duomenų apie teisėjo profesinės, organizacinės ar administracinės veiklos trūkumus ar neigiamas asmenines ar dalykines savybes, teisėjas į Komisijos posėdį nekviečiamas ir periodinis teisėjo veiklos vertinimas atliekamas jam nedalyvaujant.</w:t>
      </w:r>
      <w:bookmarkEnd w:id="1"/>
      <w:r w:rsidRPr="00EB316D">
        <w:rPr>
          <w:szCs w:val="24"/>
        </w:rPr>
        <w:t>“</w:t>
      </w:r>
    </w:p>
    <w:p w14:paraId="289AC145" w14:textId="7AF0DDE8" w:rsidR="007421B3" w:rsidRDefault="007421B3" w:rsidP="00FC52C7">
      <w:pPr>
        <w:tabs>
          <w:tab w:val="left" w:pos="187"/>
        </w:tabs>
        <w:ind w:firstLine="709"/>
        <w:jc w:val="both"/>
        <w:rPr>
          <w:szCs w:val="24"/>
        </w:rPr>
      </w:pPr>
      <w:r>
        <w:rPr>
          <w:szCs w:val="24"/>
        </w:rPr>
        <w:t xml:space="preserve">1.14. Pakeisti 30 punktą ir jį išdėstyti taip: </w:t>
      </w:r>
    </w:p>
    <w:p w14:paraId="1694483E" w14:textId="77777777" w:rsidR="007421B3" w:rsidRDefault="007421B3" w:rsidP="007421B3">
      <w:pPr>
        <w:tabs>
          <w:tab w:val="left" w:pos="187"/>
        </w:tabs>
        <w:ind w:firstLine="709"/>
        <w:jc w:val="both"/>
        <w:rPr>
          <w:szCs w:val="24"/>
        </w:rPr>
      </w:pPr>
      <w:r>
        <w:rPr>
          <w:szCs w:val="24"/>
        </w:rPr>
        <w:t xml:space="preserve">„30. </w:t>
      </w:r>
      <w:r w:rsidRPr="007421B3">
        <w:rPr>
          <w:szCs w:val="24"/>
        </w:rPr>
        <w:t>Kai teisėjas, kurio veikla vertinama, turi dalyvauti Komisijos posėdyje, tačiau jame negali dalyvauti dėl svarbios priežasties, jis ne vėliau kaip likus 1 darbo dienai iki posėdžio pradžios apie tai raštu praneša Komisijos sekretoriui ir pateikia dokumentus, pateisinančius savo neatvykimą, išskyrus atvejus, kai tokia svarbi priežastis paaiškėja vėliau.</w:t>
      </w:r>
      <w:r>
        <w:rPr>
          <w:szCs w:val="24"/>
        </w:rPr>
        <w:t>“</w:t>
      </w:r>
    </w:p>
    <w:p w14:paraId="26506F1D" w14:textId="77777777" w:rsidR="007421B3" w:rsidRDefault="007421B3" w:rsidP="007421B3">
      <w:pPr>
        <w:tabs>
          <w:tab w:val="left" w:pos="187"/>
        </w:tabs>
        <w:ind w:firstLine="709"/>
        <w:jc w:val="both"/>
        <w:rPr>
          <w:szCs w:val="24"/>
        </w:rPr>
      </w:pPr>
      <w:r>
        <w:rPr>
          <w:szCs w:val="24"/>
        </w:rPr>
        <w:t xml:space="preserve">1.15. Pakeisti 31 punktą ir jį išdėstyti taip: </w:t>
      </w:r>
    </w:p>
    <w:p w14:paraId="53AEDB31" w14:textId="62D28EA2" w:rsidR="007421B3" w:rsidRPr="007421B3" w:rsidRDefault="007421B3" w:rsidP="007421B3">
      <w:pPr>
        <w:tabs>
          <w:tab w:val="left" w:pos="187"/>
        </w:tabs>
        <w:ind w:firstLine="709"/>
        <w:jc w:val="both"/>
        <w:rPr>
          <w:szCs w:val="24"/>
        </w:rPr>
      </w:pPr>
      <w:r>
        <w:rPr>
          <w:szCs w:val="24"/>
        </w:rPr>
        <w:t xml:space="preserve">„31. </w:t>
      </w:r>
      <w:r w:rsidRPr="007421B3">
        <w:rPr>
          <w:szCs w:val="24"/>
        </w:rPr>
        <w:t xml:space="preserve"> Jei teisėjas neatvyksta į Komisijos posėdį, kuriame turi būti vertinama jo veikla, teisėjo veiklos vertinimas atidedamas, išskyrus</w:t>
      </w:r>
      <w:r>
        <w:rPr>
          <w:szCs w:val="24"/>
        </w:rPr>
        <w:t xml:space="preserve"> šio </w:t>
      </w:r>
      <w:r w:rsidRPr="007421B3">
        <w:rPr>
          <w:szCs w:val="24"/>
        </w:rPr>
        <w:t>Aprašo 29</w:t>
      </w:r>
      <w:r>
        <w:rPr>
          <w:szCs w:val="24"/>
          <w:vertAlign w:val="superscript"/>
        </w:rPr>
        <w:t>1</w:t>
      </w:r>
      <w:r>
        <w:rPr>
          <w:szCs w:val="24"/>
        </w:rPr>
        <w:t xml:space="preserve"> </w:t>
      </w:r>
      <w:r w:rsidRPr="007421B3">
        <w:rPr>
          <w:szCs w:val="24"/>
        </w:rPr>
        <w:t>punkte nu</w:t>
      </w:r>
      <w:r w:rsidR="00AE209C">
        <w:rPr>
          <w:szCs w:val="24"/>
        </w:rPr>
        <w:t>rodyt</w:t>
      </w:r>
      <w:r w:rsidR="00520F35">
        <w:rPr>
          <w:szCs w:val="24"/>
        </w:rPr>
        <w:t>ą</w:t>
      </w:r>
      <w:r w:rsidRPr="007421B3">
        <w:rPr>
          <w:szCs w:val="24"/>
        </w:rPr>
        <w:t xml:space="preserve"> atvej</w:t>
      </w:r>
      <w:r w:rsidR="00520F35">
        <w:rPr>
          <w:szCs w:val="24"/>
        </w:rPr>
        <w:t>į</w:t>
      </w:r>
      <w:r>
        <w:rPr>
          <w:szCs w:val="24"/>
        </w:rPr>
        <w:t>.“</w:t>
      </w:r>
    </w:p>
    <w:p w14:paraId="022414B2" w14:textId="2686067F" w:rsidR="00FC52C7" w:rsidRPr="00EB316D" w:rsidRDefault="007421B3" w:rsidP="007421B3">
      <w:pPr>
        <w:tabs>
          <w:tab w:val="left" w:pos="187"/>
        </w:tabs>
        <w:ind w:firstLine="709"/>
        <w:jc w:val="both"/>
        <w:rPr>
          <w:szCs w:val="24"/>
        </w:rPr>
      </w:pPr>
      <w:r>
        <w:rPr>
          <w:szCs w:val="24"/>
        </w:rPr>
        <w:t xml:space="preserve">1.16. </w:t>
      </w:r>
      <w:r w:rsidR="00FC52C7" w:rsidRPr="00EB316D">
        <w:rPr>
          <w:szCs w:val="24"/>
        </w:rPr>
        <w:t xml:space="preserve">Pakeisti 40 punktą ir jį išdėstyti taip: </w:t>
      </w:r>
    </w:p>
    <w:p w14:paraId="3D3A917C" w14:textId="77777777" w:rsidR="00FC52C7" w:rsidRPr="00EB316D" w:rsidRDefault="00FC52C7" w:rsidP="00FC52C7">
      <w:pPr>
        <w:tabs>
          <w:tab w:val="left" w:pos="187"/>
        </w:tabs>
        <w:ind w:firstLine="709"/>
        <w:jc w:val="both"/>
        <w:rPr>
          <w:szCs w:val="24"/>
        </w:rPr>
      </w:pPr>
      <w:r w:rsidRPr="00EB316D">
        <w:rPr>
          <w:szCs w:val="24"/>
        </w:rPr>
        <w:t xml:space="preserve">„40. Teisėjas, kurio veikla buvo vertinama, turi teisę per </w:t>
      </w:r>
      <w:r w:rsidRPr="00EB316D">
        <w:rPr>
          <w:bCs/>
          <w:szCs w:val="24"/>
        </w:rPr>
        <w:t>dešimt darbo dienų</w:t>
      </w:r>
      <w:r w:rsidRPr="00EB316D">
        <w:rPr>
          <w:szCs w:val="24"/>
        </w:rPr>
        <w:t xml:space="preserve"> nuo </w:t>
      </w:r>
      <w:r w:rsidRPr="00EB316D">
        <w:rPr>
          <w:bCs/>
          <w:szCs w:val="24"/>
        </w:rPr>
        <w:t>Komisijos išvados surašymo</w:t>
      </w:r>
      <w:r w:rsidRPr="00EB316D">
        <w:rPr>
          <w:szCs w:val="24"/>
        </w:rPr>
        <w:t xml:space="preserve"> dienos šiuos rezultatus apskųsti Teisėjų tarybai. Skundai dėl teisėjų veiklos vertinimo rezultatų nagrinėjami Teisėjų tarybos darbo reglamento nustatyta tvarka. Teisėjas, kurio skundas buvo patenkintas ir dėl kurio veiklos vertinimo rezultatų priimta Komisijos išvada buvo panaikinta, artimiausiame Komisijos posėdyje vertinamas pakartotinai.“</w:t>
      </w:r>
    </w:p>
    <w:p w14:paraId="0AEC0AF5" w14:textId="5B154FAA" w:rsidR="00FC52C7" w:rsidRPr="00EB316D" w:rsidRDefault="00FC52C7" w:rsidP="00FC52C7">
      <w:pPr>
        <w:tabs>
          <w:tab w:val="left" w:pos="187"/>
        </w:tabs>
        <w:ind w:firstLine="709"/>
        <w:jc w:val="both"/>
        <w:rPr>
          <w:szCs w:val="24"/>
        </w:rPr>
      </w:pPr>
      <w:r w:rsidRPr="00EB316D">
        <w:rPr>
          <w:szCs w:val="24"/>
        </w:rPr>
        <w:lastRenderedPageBreak/>
        <w:t>1.1</w:t>
      </w:r>
      <w:r w:rsidR="007421B3">
        <w:rPr>
          <w:szCs w:val="24"/>
        </w:rPr>
        <w:t>7</w:t>
      </w:r>
      <w:r w:rsidRPr="00EB316D">
        <w:rPr>
          <w:szCs w:val="24"/>
        </w:rPr>
        <w:t xml:space="preserve">. Pakeisti Aprašo Priedo 2 punktą ir jį išdėstyti taip: </w:t>
      </w:r>
    </w:p>
    <w:p w14:paraId="1C6D195F" w14:textId="77777777" w:rsidR="00FC52C7" w:rsidRPr="00EB316D" w:rsidRDefault="00FC52C7" w:rsidP="00FC52C7">
      <w:pPr>
        <w:tabs>
          <w:tab w:val="left" w:pos="187"/>
        </w:tabs>
        <w:ind w:firstLine="709"/>
        <w:jc w:val="both"/>
        <w:rPr>
          <w:szCs w:val="24"/>
        </w:rPr>
      </w:pPr>
      <w:r w:rsidRPr="00EB316D">
        <w:rPr>
          <w:szCs w:val="24"/>
        </w:rPr>
        <w:t>„</w:t>
      </w:r>
      <w:r w:rsidRPr="00EB316D">
        <w:rPr>
          <w:b/>
          <w:bCs/>
          <w:szCs w:val="24"/>
        </w:rPr>
        <w:t>2. Statistinių teisėjo vidutinės bylų nagrinėjimo trukmės duomenų apibendrintas vertinimas</w:t>
      </w:r>
      <w:r w:rsidRPr="00EB316D">
        <w:rPr>
          <w:szCs w:val="24"/>
        </w:rPr>
        <w:t xml:space="preserve"> (</w:t>
      </w:r>
      <w:r w:rsidRPr="00EB316D">
        <w:rPr>
          <w:i/>
          <w:szCs w:val="24"/>
        </w:rPr>
        <w:t>pildyti, jei turima informacija nesutampa su Nacionalinės teismų administracijos pateiktais duomenimis</w:t>
      </w:r>
      <w:r w:rsidRPr="00EB316D">
        <w:rPr>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0"/>
      </w:tblGrid>
      <w:tr w:rsidR="00FC52C7" w:rsidRPr="00EB316D" w14:paraId="77BE4DA4" w14:textId="77777777" w:rsidTr="00986C9E">
        <w:tc>
          <w:tcPr>
            <w:tcW w:w="9746" w:type="dxa"/>
            <w:tcBorders>
              <w:top w:val="single" w:sz="4" w:space="0" w:color="auto"/>
              <w:left w:val="single" w:sz="4" w:space="0" w:color="auto"/>
              <w:bottom w:val="single" w:sz="4" w:space="0" w:color="auto"/>
              <w:right w:val="single" w:sz="4" w:space="0" w:color="auto"/>
            </w:tcBorders>
          </w:tcPr>
          <w:p w14:paraId="2073061D" w14:textId="77777777" w:rsidR="00FC52C7" w:rsidRPr="00EB316D" w:rsidRDefault="00FC52C7" w:rsidP="00986C9E">
            <w:pPr>
              <w:tabs>
                <w:tab w:val="left" w:pos="187"/>
              </w:tabs>
              <w:jc w:val="both"/>
              <w:rPr>
                <w:szCs w:val="24"/>
              </w:rPr>
            </w:pPr>
          </w:p>
        </w:tc>
      </w:tr>
    </w:tbl>
    <w:p w14:paraId="5AB574E1" w14:textId="77777777" w:rsidR="00FC52C7" w:rsidRPr="00EB316D" w:rsidRDefault="00FC52C7" w:rsidP="00FC52C7">
      <w:pPr>
        <w:tabs>
          <w:tab w:val="left" w:pos="187"/>
        </w:tabs>
        <w:jc w:val="both"/>
        <w:rPr>
          <w:szCs w:val="24"/>
        </w:rPr>
      </w:pPr>
    </w:p>
    <w:p w14:paraId="7E51AF94" w14:textId="77777777" w:rsidR="00FC52C7" w:rsidRPr="00EB316D" w:rsidRDefault="00FC52C7" w:rsidP="00FC52C7">
      <w:pPr>
        <w:tabs>
          <w:tab w:val="left" w:pos="187"/>
        </w:tabs>
        <w:jc w:val="both"/>
        <w:rPr>
          <w:b/>
          <w:bCs/>
          <w:i/>
          <w:iCs/>
          <w:szCs w:val="24"/>
        </w:rPr>
      </w:pPr>
      <w:r w:rsidRPr="00EB316D">
        <w:rPr>
          <w:b/>
          <w:bCs/>
          <w:i/>
          <w:iCs/>
          <w:szCs w:val="24"/>
        </w:rPr>
        <w:t xml:space="preserve">Duomenys apie teisėjo veiklos vertinimo laikotarpiu išnagrinėtas civilines bylas (ginčo teisena, ypatingąja teisena), administracines bylas (ginčo teisena), kuriose nagrinėjimas buvo sustabdytas: </w:t>
      </w:r>
    </w:p>
    <w:p w14:paraId="1EC9CAC9" w14:textId="77777777" w:rsidR="00FC52C7" w:rsidRPr="00EB316D" w:rsidRDefault="00FC52C7" w:rsidP="00FC52C7">
      <w:pPr>
        <w:tabs>
          <w:tab w:val="left" w:pos="187"/>
        </w:tabs>
        <w:jc w:val="both"/>
        <w:rPr>
          <w:b/>
          <w:bCs/>
          <w:i/>
          <w:iCs/>
          <w:szCs w:val="24"/>
        </w:rPr>
      </w:pPr>
    </w:p>
    <w:tbl>
      <w:tblPr>
        <w:tblStyle w:val="Lentelstinklelis"/>
        <w:tblW w:w="9776" w:type="dxa"/>
        <w:tblLook w:val="04A0" w:firstRow="1" w:lastRow="0" w:firstColumn="1" w:lastColumn="0" w:noHBand="0" w:noVBand="1"/>
      </w:tblPr>
      <w:tblGrid>
        <w:gridCol w:w="710"/>
        <w:gridCol w:w="1270"/>
        <w:gridCol w:w="5242"/>
        <w:gridCol w:w="2554"/>
      </w:tblGrid>
      <w:tr w:rsidR="00FC52C7" w:rsidRPr="00EB316D" w14:paraId="41FFA615" w14:textId="77777777" w:rsidTr="00986C9E">
        <w:tc>
          <w:tcPr>
            <w:tcW w:w="710" w:type="dxa"/>
          </w:tcPr>
          <w:p w14:paraId="3E754AF9" w14:textId="77777777" w:rsidR="00FC52C7" w:rsidRPr="00EB316D" w:rsidRDefault="00FC52C7" w:rsidP="00986C9E">
            <w:pPr>
              <w:tabs>
                <w:tab w:val="left" w:pos="187"/>
              </w:tabs>
              <w:jc w:val="both"/>
              <w:rPr>
                <w:szCs w:val="24"/>
              </w:rPr>
            </w:pPr>
            <w:r w:rsidRPr="00EB316D">
              <w:rPr>
                <w:szCs w:val="24"/>
              </w:rPr>
              <w:t>Eilės Nr.</w:t>
            </w:r>
          </w:p>
        </w:tc>
        <w:tc>
          <w:tcPr>
            <w:tcW w:w="1270" w:type="dxa"/>
          </w:tcPr>
          <w:p w14:paraId="34CA1703" w14:textId="77777777" w:rsidR="00FC52C7" w:rsidRPr="00EB316D" w:rsidRDefault="00FC52C7" w:rsidP="00986C9E">
            <w:pPr>
              <w:tabs>
                <w:tab w:val="left" w:pos="187"/>
              </w:tabs>
              <w:jc w:val="both"/>
              <w:rPr>
                <w:szCs w:val="24"/>
              </w:rPr>
            </w:pPr>
            <w:r w:rsidRPr="00EB316D">
              <w:rPr>
                <w:szCs w:val="24"/>
              </w:rPr>
              <w:t>Bylos Nr.</w:t>
            </w:r>
          </w:p>
        </w:tc>
        <w:tc>
          <w:tcPr>
            <w:tcW w:w="5242" w:type="dxa"/>
          </w:tcPr>
          <w:p w14:paraId="47E19ECA" w14:textId="77777777" w:rsidR="00FC52C7" w:rsidRPr="00EB316D" w:rsidRDefault="00FC52C7" w:rsidP="00986C9E">
            <w:pPr>
              <w:tabs>
                <w:tab w:val="left" w:pos="187"/>
              </w:tabs>
              <w:jc w:val="both"/>
              <w:rPr>
                <w:szCs w:val="24"/>
              </w:rPr>
            </w:pPr>
            <w:r w:rsidRPr="00EB316D">
              <w:rPr>
                <w:szCs w:val="24"/>
              </w:rPr>
              <w:t>Bylos tipas ir teisena</w:t>
            </w:r>
          </w:p>
        </w:tc>
        <w:tc>
          <w:tcPr>
            <w:tcW w:w="2554" w:type="dxa"/>
          </w:tcPr>
          <w:p w14:paraId="359576E9" w14:textId="77777777" w:rsidR="00FC52C7" w:rsidRPr="00EB316D" w:rsidRDefault="00FC52C7" w:rsidP="00986C9E">
            <w:pPr>
              <w:tabs>
                <w:tab w:val="left" w:pos="187"/>
              </w:tabs>
              <w:jc w:val="both"/>
              <w:rPr>
                <w:szCs w:val="24"/>
              </w:rPr>
            </w:pPr>
            <w:r w:rsidRPr="00EB316D">
              <w:rPr>
                <w:szCs w:val="24"/>
              </w:rPr>
              <w:t>Bylos sustabdymo trukmė dienomis</w:t>
            </w:r>
          </w:p>
        </w:tc>
      </w:tr>
      <w:tr w:rsidR="00FC52C7" w:rsidRPr="00EB316D" w14:paraId="31CCFD50" w14:textId="77777777" w:rsidTr="00986C9E">
        <w:tc>
          <w:tcPr>
            <w:tcW w:w="710" w:type="dxa"/>
          </w:tcPr>
          <w:p w14:paraId="07933A84" w14:textId="77777777" w:rsidR="00FC52C7" w:rsidRPr="00EB316D" w:rsidRDefault="00FC52C7" w:rsidP="00986C9E">
            <w:pPr>
              <w:tabs>
                <w:tab w:val="left" w:pos="187"/>
              </w:tabs>
              <w:jc w:val="both"/>
              <w:rPr>
                <w:szCs w:val="24"/>
              </w:rPr>
            </w:pPr>
          </w:p>
        </w:tc>
        <w:tc>
          <w:tcPr>
            <w:tcW w:w="1270" w:type="dxa"/>
          </w:tcPr>
          <w:p w14:paraId="363886FC" w14:textId="77777777" w:rsidR="00FC52C7" w:rsidRPr="00EB316D" w:rsidRDefault="00FC52C7" w:rsidP="00986C9E">
            <w:pPr>
              <w:tabs>
                <w:tab w:val="left" w:pos="187"/>
              </w:tabs>
              <w:jc w:val="both"/>
              <w:rPr>
                <w:szCs w:val="24"/>
              </w:rPr>
            </w:pPr>
          </w:p>
        </w:tc>
        <w:tc>
          <w:tcPr>
            <w:tcW w:w="5242" w:type="dxa"/>
          </w:tcPr>
          <w:p w14:paraId="319F51C2" w14:textId="77777777" w:rsidR="00FC52C7" w:rsidRPr="00EB316D" w:rsidRDefault="00FC52C7" w:rsidP="00986C9E">
            <w:pPr>
              <w:tabs>
                <w:tab w:val="left" w:pos="187"/>
              </w:tabs>
              <w:jc w:val="both"/>
              <w:rPr>
                <w:szCs w:val="24"/>
              </w:rPr>
            </w:pPr>
            <w:r w:rsidRPr="00EB316D">
              <w:rPr>
                <w:szCs w:val="24"/>
              </w:rPr>
              <w:t>Pvz., civilinė byla (ginčo teisena)</w:t>
            </w:r>
          </w:p>
        </w:tc>
        <w:tc>
          <w:tcPr>
            <w:tcW w:w="2554" w:type="dxa"/>
          </w:tcPr>
          <w:p w14:paraId="48103BA5" w14:textId="77777777" w:rsidR="00FC52C7" w:rsidRPr="00EB316D" w:rsidRDefault="00FC52C7" w:rsidP="00986C9E">
            <w:pPr>
              <w:tabs>
                <w:tab w:val="left" w:pos="187"/>
              </w:tabs>
              <w:jc w:val="both"/>
              <w:rPr>
                <w:szCs w:val="24"/>
              </w:rPr>
            </w:pPr>
          </w:p>
        </w:tc>
      </w:tr>
      <w:tr w:rsidR="00FC52C7" w:rsidRPr="00EB316D" w14:paraId="0CF953FF" w14:textId="77777777" w:rsidTr="00986C9E">
        <w:tc>
          <w:tcPr>
            <w:tcW w:w="710" w:type="dxa"/>
          </w:tcPr>
          <w:p w14:paraId="201EADC5" w14:textId="77777777" w:rsidR="00FC52C7" w:rsidRPr="00EB316D" w:rsidRDefault="00FC52C7" w:rsidP="00986C9E">
            <w:pPr>
              <w:tabs>
                <w:tab w:val="left" w:pos="187"/>
              </w:tabs>
              <w:jc w:val="both"/>
              <w:rPr>
                <w:szCs w:val="24"/>
              </w:rPr>
            </w:pPr>
          </w:p>
        </w:tc>
        <w:tc>
          <w:tcPr>
            <w:tcW w:w="1270" w:type="dxa"/>
          </w:tcPr>
          <w:p w14:paraId="53FD31E3" w14:textId="77777777" w:rsidR="00FC52C7" w:rsidRPr="00EB316D" w:rsidRDefault="00FC52C7" w:rsidP="00986C9E">
            <w:pPr>
              <w:tabs>
                <w:tab w:val="left" w:pos="187"/>
              </w:tabs>
              <w:jc w:val="both"/>
              <w:rPr>
                <w:szCs w:val="24"/>
              </w:rPr>
            </w:pPr>
          </w:p>
        </w:tc>
        <w:tc>
          <w:tcPr>
            <w:tcW w:w="5242" w:type="dxa"/>
          </w:tcPr>
          <w:p w14:paraId="336FAAB5" w14:textId="77777777" w:rsidR="00FC52C7" w:rsidRPr="00EB316D" w:rsidRDefault="00FC52C7" w:rsidP="00986C9E">
            <w:pPr>
              <w:tabs>
                <w:tab w:val="left" w:pos="187"/>
              </w:tabs>
              <w:jc w:val="both"/>
              <w:rPr>
                <w:szCs w:val="24"/>
              </w:rPr>
            </w:pPr>
            <w:r w:rsidRPr="00EB316D">
              <w:rPr>
                <w:szCs w:val="24"/>
              </w:rPr>
              <w:t>Pvz., administracinė byla</w:t>
            </w:r>
          </w:p>
        </w:tc>
        <w:tc>
          <w:tcPr>
            <w:tcW w:w="2554" w:type="dxa"/>
          </w:tcPr>
          <w:p w14:paraId="5DF4A20A" w14:textId="77777777" w:rsidR="00FC52C7" w:rsidRPr="00EB316D" w:rsidRDefault="00FC52C7" w:rsidP="00986C9E">
            <w:pPr>
              <w:tabs>
                <w:tab w:val="left" w:pos="187"/>
              </w:tabs>
              <w:jc w:val="both"/>
              <w:rPr>
                <w:b/>
                <w:bCs/>
                <w:szCs w:val="24"/>
              </w:rPr>
            </w:pPr>
          </w:p>
        </w:tc>
      </w:tr>
    </w:tbl>
    <w:p w14:paraId="54180280" w14:textId="77777777" w:rsidR="00FC52C7" w:rsidRPr="00EB316D" w:rsidRDefault="00FC52C7" w:rsidP="00FC52C7">
      <w:pPr>
        <w:tabs>
          <w:tab w:val="left" w:pos="187"/>
        </w:tabs>
        <w:jc w:val="both"/>
        <w:rPr>
          <w:szCs w:val="24"/>
        </w:rPr>
      </w:pPr>
    </w:p>
    <w:p w14:paraId="3824D06D" w14:textId="77777777" w:rsidR="00FC52C7" w:rsidRPr="00EB316D" w:rsidRDefault="00FC52C7" w:rsidP="00FC52C7">
      <w:pPr>
        <w:tabs>
          <w:tab w:val="left" w:pos="187"/>
        </w:tabs>
        <w:jc w:val="both"/>
        <w:rPr>
          <w:szCs w:val="24"/>
        </w:rPr>
      </w:pPr>
      <w:r w:rsidRPr="00EB316D">
        <w:rPr>
          <w:b/>
          <w:bCs/>
          <w:szCs w:val="24"/>
        </w:rPr>
        <w:t>Atvejai, susiję su ilgai užsitęsusiu bylų nagrinėjimu (ilgiau kaip metus nagrinėjamos baudžiamosios, civilinės ir administracinės bylos</w:t>
      </w:r>
      <w:r w:rsidRPr="00EB316D">
        <w:rPr>
          <w:szCs w:val="24"/>
        </w:rPr>
        <w:t xml:space="preserve"> </w:t>
      </w:r>
      <w:r w:rsidRPr="00EB316D">
        <w:rPr>
          <w:b/>
          <w:bCs/>
          <w:szCs w:val="24"/>
        </w:rPr>
        <w:t xml:space="preserve">bei ilgiau kaip pusę metų nagrinėjamos administracinių nusižengimų bylos), juos lėmusios apibendrintos priežastys ir jų vertinimas </w:t>
      </w:r>
      <w:r w:rsidRPr="00EB316D">
        <w:rPr>
          <w:i/>
          <w:szCs w:val="24"/>
        </w:rPr>
        <w:t>(pvz., teisėjas turi tris civilines ir dvi baudžiamąsias bylas, kurių nagrinėjimas užtruko ilgiau nei vienerius metus. Išanalizavusi ilgo bylų nagrinėjimo priežastis, bylų vilkinimo faktų teisėjo darbe nenustatyta – bylos sustabdytos iki bus išnagrinėtos kitos bylos, paskelbtos kaltinamųjų paieškos):“</w:t>
      </w:r>
    </w:p>
    <w:p w14:paraId="775CBCF6" w14:textId="5CBFBB97" w:rsidR="00FC52C7" w:rsidRPr="00EB316D" w:rsidRDefault="00FC52C7" w:rsidP="00FC52C7">
      <w:pPr>
        <w:tabs>
          <w:tab w:val="left" w:pos="187"/>
        </w:tabs>
        <w:ind w:firstLine="709"/>
        <w:jc w:val="both"/>
        <w:rPr>
          <w:szCs w:val="24"/>
        </w:rPr>
      </w:pPr>
      <w:r w:rsidRPr="00EB316D">
        <w:rPr>
          <w:szCs w:val="24"/>
        </w:rPr>
        <w:t>1.1</w:t>
      </w:r>
      <w:r w:rsidR="007421B3">
        <w:rPr>
          <w:szCs w:val="24"/>
        </w:rPr>
        <w:t>8</w:t>
      </w:r>
      <w:r w:rsidRPr="00EB316D">
        <w:rPr>
          <w:szCs w:val="24"/>
        </w:rPr>
        <w:t xml:space="preserve">. Pakeisti Aprašo Priedo 4.2 papunktį ir jį išdėstyti taip: </w:t>
      </w:r>
    </w:p>
    <w:p w14:paraId="3BCA21A1" w14:textId="77777777" w:rsidR="00FC52C7" w:rsidRPr="00EB316D" w:rsidRDefault="00FC52C7" w:rsidP="00FC52C7">
      <w:pPr>
        <w:tabs>
          <w:tab w:val="left" w:pos="187"/>
        </w:tabs>
        <w:ind w:firstLine="567"/>
        <w:jc w:val="both"/>
        <w:rPr>
          <w:szCs w:val="24"/>
        </w:rPr>
      </w:pPr>
      <w:r w:rsidRPr="00EB316D">
        <w:rPr>
          <w:szCs w:val="24"/>
        </w:rPr>
        <w:t>„</w:t>
      </w:r>
      <w:r w:rsidRPr="00EB316D">
        <w:rPr>
          <w:b/>
          <w:bCs/>
          <w:szCs w:val="24"/>
        </w:rPr>
        <w:t>4.2.</w:t>
      </w:r>
      <w:r w:rsidRPr="00EB316D">
        <w:rPr>
          <w:szCs w:val="24"/>
        </w:rPr>
        <w:t xml:space="preserve"> Teisėjo darbo organizavimo gebėjimai: </w:t>
      </w:r>
      <w:r w:rsidRPr="00EB316D">
        <w:rPr>
          <w:i/>
          <w:szCs w:val="24"/>
        </w:rPr>
        <w:t>(pažymėti tinkamą variantą</w:t>
      </w:r>
      <w:r w:rsidRPr="00EB316D">
        <w:rPr>
          <w:szCs w:val="24"/>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864"/>
        <w:gridCol w:w="3940"/>
      </w:tblGrid>
      <w:tr w:rsidR="00FC52C7" w:rsidRPr="00EB316D" w14:paraId="370D1FFC" w14:textId="77777777" w:rsidTr="00986C9E">
        <w:tc>
          <w:tcPr>
            <w:tcW w:w="2977" w:type="dxa"/>
          </w:tcPr>
          <w:p w14:paraId="5478E57E" w14:textId="77777777" w:rsidR="00FC52C7" w:rsidRPr="00EB316D" w:rsidRDefault="00FC52C7" w:rsidP="00986C9E">
            <w:pPr>
              <w:tabs>
                <w:tab w:val="left" w:pos="187"/>
              </w:tabs>
              <w:jc w:val="both"/>
              <w:rPr>
                <w:szCs w:val="24"/>
              </w:rPr>
            </w:pPr>
            <w:r w:rsidRPr="00EB316D">
              <w:rPr>
                <w:szCs w:val="24"/>
              </w:rPr>
              <w:t>Teisėjas darbą organizuoja:</w:t>
            </w:r>
          </w:p>
        </w:tc>
        <w:tc>
          <w:tcPr>
            <w:tcW w:w="2864" w:type="dxa"/>
          </w:tcPr>
          <w:p w14:paraId="3D0901F8" w14:textId="77777777" w:rsidR="00FC52C7" w:rsidRPr="00EB316D" w:rsidRDefault="00FC52C7" w:rsidP="00986C9E">
            <w:pPr>
              <w:tabs>
                <w:tab w:val="left" w:pos="187"/>
              </w:tabs>
              <w:rPr>
                <w:szCs w:val="24"/>
              </w:rPr>
            </w:pPr>
            <w:r w:rsidRPr="00EB316D">
              <w:rPr>
                <w:szCs w:val="24"/>
              </w:rPr>
              <w:t>Pažymėti tinkamą variantą:</w:t>
            </w:r>
          </w:p>
        </w:tc>
        <w:tc>
          <w:tcPr>
            <w:tcW w:w="3940" w:type="dxa"/>
          </w:tcPr>
          <w:p w14:paraId="1D9D4FDA" w14:textId="77777777" w:rsidR="00FC52C7" w:rsidRPr="00EB316D" w:rsidRDefault="00FC52C7" w:rsidP="00986C9E">
            <w:pPr>
              <w:tabs>
                <w:tab w:val="left" w:pos="0"/>
              </w:tabs>
              <w:rPr>
                <w:szCs w:val="24"/>
              </w:rPr>
            </w:pPr>
            <w:r w:rsidRPr="00EB316D">
              <w:rPr>
                <w:szCs w:val="24"/>
              </w:rPr>
              <w:t xml:space="preserve">Pastabos, komentarai </w:t>
            </w:r>
            <w:r w:rsidRPr="00EB316D">
              <w:rPr>
                <w:i/>
                <w:szCs w:val="24"/>
              </w:rPr>
              <w:t>(įrašyti, jei pažymima „ne“, „kita“ arba esant poreikiui)</w:t>
            </w:r>
          </w:p>
        </w:tc>
      </w:tr>
      <w:tr w:rsidR="00FC52C7" w:rsidRPr="00EB316D" w14:paraId="3D4CDF9F" w14:textId="77777777" w:rsidTr="00986C9E">
        <w:tc>
          <w:tcPr>
            <w:tcW w:w="2977" w:type="dxa"/>
          </w:tcPr>
          <w:p w14:paraId="0D90CC75" w14:textId="77777777" w:rsidR="00FC52C7" w:rsidRPr="00EB316D" w:rsidRDefault="00FC52C7" w:rsidP="00986C9E">
            <w:pPr>
              <w:tabs>
                <w:tab w:val="left" w:pos="187"/>
              </w:tabs>
              <w:jc w:val="both"/>
              <w:rPr>
                <w:szCs w:val="24"/>
              </w:rPr>
            </w:pPr>
            <w:r w:rsidRPr="00EB316D">
              <w:t xml:space="preserve">tinkamai planuodamas ir organizuodamas teismo procesą, atskirų procesinių veiksmų atlikimą, rasdamas balansą tarp greito ir kokybiško bylų nagrinėjimo </w:t>
            </w:r>
          </w:p>
        </w:tc>
        <w:tc>
          <w:tcPr>
            <w:tcW w:w="2864" w:type="dxa"/>
          </w:tcPr>
          <w:p w14:paraId="07006A0B" w14:textId="77777777" w:rsidR="00FC52C7" w:rsidRPr="00EB316D" w:rsidRDefault="00FC52C7" w:rsidP="00986C9E">
            <w:pPr>
              <w:tabs>
                <w:tab w:val="left" w:pos="187"/>
              </w:tabs>
            </w:pPr>
            <w:r w:rsidRPr="00EB316D">
              <w:t>[ ]     Taip</w:t>
            </w:r>
          </w:p>
          <w:p w14:paraId="35F0CAB0" w14:textId="77777777" w:rsidR="00FC52C7" w:rsidRPr="00EB316D" w:rsidRDefault="00FC52C7" w:rsidP="00986C9E">
            <w:pPr>
              <w:tabs>
                <w:tab w:val="left" w:pos="187"/>
              </w:tabs>
              <w:rPr>
                <w:szCs w:val="24"/>
              </w:rPr>
            </w:pPr>
            <w:r w:rsidRPr="00EB316D">
              <w:rPr>
                <w:szCs w:val="24"/>
              </w:rPr>
              <w:t>[ ]     Ne</w:t>
            </w:r>
          </w:p>
          <w:p w14:paraId="719C9F98" w14:textId="77777777" w:rsidR="00FC52C7" w:rsidRPr="00EB316D" w:rsidRDefault="00FC52C7" w:rsidP="00986C9E">
            <w:pPr>
              <w:tabs>
                <w:tab w:val="left" w:pos="187"/>
              </w:tabs>
              <w:rPr>
                <w:szCs w:val="24"/>
              </w:rPr>
            </w:pPr>
            <w:r w:rsidRPr="00EB316D">
              <w:rPr>
                <w:szCs w:val="24"/>
              </w:rPr>
              <w:t>[ ]     Kita</w:t>
            </w:r>
          </w:p>
        </w:tc>
        <w:tc>
          <w:tcPr>
            <w:tcW w:w="3940" w:type="dxa"/>
          </w:tcPr>
          <w:p w14:paraId="20A38C5F" w14:textId="77777777" w:rsidR="00FC52C7" w:rsidRPr="00EB316D" w:rsidRDefault="00FC52C7" w:rsidP="00986C9E">
            <w:pPr>
              <w:tabs>
                <w:tab w:val="left" w:pos="0"/>
              </w:tabs>
              <w:rPr>
                <w:szCs w:val="24"/>
              </w:rPr>
            </w:pPr>
          </w:p>
        </w:tc>
      </w:tr>
      <w:tr w:rsidR="00FC52C7" w:rsidRPr="00EB316D" w14:paraId="1BBE2C6C" w14:textId="77777777" w:rsidTr="00986C9E">
        <w:tc>
          <w:tcPr>
            <w:tcW w:w="2977" w:type="dxa"/>
          </w:tcPr>
          <w:p w14:paraId="492B98B3" w14:textId="77777777" w:rsidR="00FC52C7" w:rsidRPr="00EB316D" w:rsidRDefault="00FC52C7" w:rsidP="00986C9E">
            <w:pPr>
              <w:tabs>
                <w:tab w:val="left" w:pos="187"/>
              </w:tabs>
              <w:jc w:val="both"/>
              <w:rPr>
                <w:szCs w:val="24"/>
              </w:rPr>
            </w:pPr>
            <w:r w:rsidRPr="00EB316D">
              <w:rPr>
                <w:szCs w:val="24"/>
              </w:rPr>
              <w:t xml:space="preserve">tinkamai planuodamas savo ir kitų su juo dirbančių darbuotojų darbą </w:t>
            </w:r>
          </w:p>
        </w:tc>
        <w:tc>
          <w:tcPr>
            <w:tcW w:w="2864" w:type="dxa"/>
          </w:tcPr>
          <w:p w14:paraId="288DDEE0" w14:textId="77777777" w:rsidR="00FC52C7" w:rsidRPr="00EB316D" w:rsidRDefault="00FC52C7" w:rsidP="00986C9E">
            <w:pPr>
              <w:tabs>
                <w:tab w:val="left" w:pos="187"/>
              </w:tabs>
              <w:jc w:val="both"/>
              <w:rPr>
                <w:szCs w:val="24"/>
              </w:rPr>
            </w:pPr>
            <w:r w:rsidRPr="00EB316D">
              <w:rPr>
                <w:szCs w:val="24"/>
              </w:rPr>
              <w:t>[ ]     Taip</w:t>
            </w:r>
          </w:p>
          <w:p w14:paraId="65ABF4AA" w14:textId="77777777" w:rsidR="00FC52C7" w:rsidRPr="00EB316D" w:rsidRDefault="00FC52C7" w:rsidP="00986C9E">
            <w:pPr>
              <w:tabs>
                <w:tab w:val="left" w:pos="187"/>
              </w:tabs>
              <w:jc w:val="both"/>
              <w:rPr>
                <w:szCs w:val="24"/>
              </w:rPr>
            </w:pPr>
            <w:r w:rsidRPr="00EB316D">
              <w:rPr>
                <w:szCs w:val="24"/>
              </w:rPr>
              <w:t>[ ]     Ne</w:t>
            </w:r>
          </w:p>
          <w:p w14:paraId="10D60DEE" w14:textId="77777777" w:rsidR="00FC52C7" w:rsidRPr="00EB316D" w:rsidRDefault="00FC52C7" w:rsidP="00986C9E">
            <w:pPr>
              <w:tabs>
                <w:tab w:val="left" w:pos="187"/>
              </w:tabs>
              <w:jc w:val="both"/>
              <w:rPr>
                <w:szCs w:val="24"/>
              </w:rPr>
            </w:pPr>
            <w:r w:rsidRPr="00EB316D">
              <w:rPr>
                <w:szCs w:val="24"/>
              </w:rPr>
              <w:t>[ ]     Kita</w:t>
            </w:r>
          </w:p>
        </w:tc>
        <w:tc>
          <w:tcPr>
            <w:tcW w:w="3940" w:type="dxa"/>
          </w:tcPr>
          <w:p w14:paraId="7EE113B6" w14:textId="77777777" w:rsidR="00FC52C7" w:rsidRPr="00EB316D" w:rsidRDefault="00FC52C7" w:rsidP="00986C9E">
            <w:pPr>
              <w:tabs>
                <w:tab w:val="left" w:pos="187"/>
              </w:tabs>
              <w:ind w:left="720"/>
              <w:jc w:val="both"/>
              <w:rPr>
                <w:szCs w:val="24"/>
              </w:rPr>
            </w:pPr>
          </w:p>
        </w:tc>
      </w:tr>
      <w:tr w:rsidR="00FC52C7" w:rsidRPr="00EB316D" w14:paraId="4D3F564F" w14:textId="77777777" w:rsidTr="00986C9E">
        <w:tc>
          <w:tcPr>
            <w:tcW w:w="2977" w:type="dxa"/>
          </w:tcPr>
          <w:p w14:paraId="69BAF616" w14:textId="77777777" w:rsidR="00FC52C7" w:rsidRPr="00EB316D" w:rsidRDefault="00FC52C7" w:rsidP="00986C9E">
            <w:pPr>
              <w:tabs>
                <w:tab w:val="left" w:pos="187"/>
              </w:tabs>
              <w:rPr>
                <w:szCs w:val="24"/>
              </w:rPr>
            </w:pPr>
            <w:r w:rsidRPr="00EB316D">
              <w:rPr>
                <w:szCs w:val="24"/>
              </w:rPr>
              <w:t>skirdamas pakankamai laiko visiems sprendžiamiems klausimams</w:t>
            </w:r>
          </w:p>
        </w:tc>
        <w:tc>
          <w:tcPr>
            <w:tcW w:w="2864" w:type="dxa"/>
          </w:tcPr>
          <w:p w14:paraId="447F9570" w14:textId="77777777" w:rsidR="00FC52C7" w:rsidRPr="00EB316D" w:rsidRDefault="00FC52C7" w:rsidP="00986C9E">
            <w:pPr>
              <w:tabs>
                <w:tab w:val="left" w:pos="187"/>
              </w:tabs>
              <w:jc w:val="both"/>
              <w:rPr>
                <w:szCs w:val="24"/>
              </w:rPr>
            </w:pPr>
            <w:r w:rsidRPr="00EB316D">
              <w:rPr>
                <w:szCs w:val="24"/>
              </w:rPr>
              <w:t>[ ]     Taip</w:t>
            </w:r>
          </w:p>
          <w:p w14:paraId="6D94D5A8" w14:textId="77777777" w:rsidR="00FC52C7" w:rsidRPr="00EB316D" w:rsidRDefault="00FC52C7" w:rsidP="00986C9E">
            <w:pPr>
              <w:tabs>
                <w:tab w:val="left" w:pos="187"/>
              </w:tabs>
              <w:jc w:val="both"/>
              <w:rPr>
                <w:szCs w:val="24"/>
              </w:rPr>
            </w:pPr>
            <w:r w:rsidRPr="00EB316D">
              <w:rPr>
                <w:szCs w:val="24"/>
              </w:rPr>
              <w:t>[ ]     Ne</w:t>
            </w:r>
          </w:p>
          <w:p w14:paraId="01D5846C" w14:textId="77777777" w:rsidR="00FC52C7" w:rsidRPr="00EB316D" w:rsidRDefault="00FC52C7" w:rsidP="00986C9E">
            <w:pPr>
              <w:tabs>
                <w:tab w:val="left" w:pos="187"/>
              </w:tabs>
              <w:jc w:val="both"/>
              <w:rPr>
                <w:szCs w:val="24"/>
              </w:rPr>
            </w:pPr>
            <w:r w:rsidRPr="00EB316D">
              <w:rPr>
                <w:szCs w:val="24"/>
              </w:rPr>
              <w:t>[ ]     Kita</w:t>
            </w:r>
          </w:p>
        </w:tc>
        <w:tc>
          <w:tcPr>
            <w:tcW w:w="3940" w:type="dxa"/>
          </w:tcPr>
          <w:p w14:paraId="7745D668" w14:textId="77777777" w:rsidR="00FC52C7" w:rsidRPr="00EB316D" w:rsidRDefault="00FC52C7" w:rsidP="00986C9E">
            <w:pPr>
              <w:tabs>
                <w:tab w:val="left" w:pos="187"/>
              </w:tabs>
              <w:jc w:val="both"/>
              <w:rPr>
                <w:szCs w:val="24"/>
              </w:rPr>
            </w:pPr>
          </w:p>
        </w:tc>
      </w:tr>
      <w:tr w:rsidR="00FC52C7" w:rsidRPr="00EB316D" w14:paraId="1FBC7F92" w14:textId="77777777" w:rsidTr="00986C9E">
        <w:trPr>
          <w:trHeight w:val="281"/>
        </w:trPr>
        <w:tc>
          <w:tcPr>
            <w:tcW w:w="2977" w:type="dxa"/>
          </w:tcPr>
          <w:p w14:paraId="11DEEF4A" w14:textId="77777777" w:rsidR="00FC52C7" w:rsidRPr="00EB316D" w:rsidRDefault="00FC52C7" w:rsidP="00986C9E">
            <w:pPr>
              <w:tabs>
                <w:tab w:val="left" w:pos="187"/>
              </w:tabs>
              <w:jc w:val="both"/>
              <w:rPr>
                <w:szCs w:val="24"/>
              </w:rPr>
            </w:pPr>
            <w:r w:rsidRPr="00EB316D">
              <w:rPr>
                <w:szCs w:val="24"/>
              </w:rPr>
              <w:t>stropiai ir atidžiai</w:t>
            </w:r>
          </w:p>
        </w:tc>
        <w:tc>
          <w:tcPr>
            <w:tcW w:w="2864" w:type="dxa"/>
          </w:tcPr>
          <w:p w14:paraId="308EB483" w14:textId="77777777" w:rsidR="00FC52C7" w:rsidRPr="00EB316D" w:rsidRDefault="00FC52C7" w:rsidP="00986C9E">
            <w:pPr>
              <w:tabs>
                <w:tab w:val="left" w:pos="187"/>
              </w:tabs>
              <w:jc w:val="both"/>
              <w:rPr>
                <w:szCs w:val="24"/>
              </w:rPr>
            </w:pPr>
            <w:r w:rsidRPr="00EB316D">
              <w:rPr>
                <w:szCs w:val="24"/>
              </w:rPr>
              <w:t>[ ]     Taip</w:t>
            </w:r>
          </w:p>
          <w:p w14:paraId="6DAFDC21" w14:textId="77777777" w:rsidR="00FC52C7" w:rsidRPr="00EB316D" w:rsidRDefault="00FC52C7" w:rsidP="00986C9E">
            <w:pPr>
              <w:tabs>
                <w:tab w:val="left" w:pos="187"/>
              </w:tabs>
              <w:jc w:val="both"/>
              <w:rPr>
                <w:szCs w:val="24"/>
              </w:rPr>
            </w:pPr>
            <w:r w:rsidRPr="00EB316D">
              <w:rPr>
                <w:szCs w:val="24"/>
              </w:rPr>
              <w:t>[ ]     Ne</w:t>
            </w:r>
          </w:p>
          <w:p w14:paraId="0E9CD654" w14:textId="77777777" w:rsidR="00FC52C7" w:rsidRPr="00EB316D" w:rsidRDefault="00FC52C7" w:rsidP="00986C9E">
            <w:pPr>
              <w:tabs>
                <w:tab w:val="left" w:pos="187"/>
              </w:tabs>
              <w:jc w:val="both"/>
              <w:rPr>
                <w:szCs w:val="24"/>
              </w:rPr>
            </w:pPr>
            <w:r w:rsidRPr="00EB316D">
              <w:rPr>
                <w:szCs w:val="24"/>
              </w:rPr>
              <w:t>[ ]     Kita</w:t>
            </w:r>
          </w:p>
        </w:tc>
        <w:tc>
          <w:tcPr>
            <w:tcW w:w="3940" w:type="dxa"/>
          </w:tcPr>
          <w:p w14:paraId="31D6FD34" w14:textId="77777777" w:rsidR="00FC52C7" w:rsidRPr="00EB316D" w:rsidRDefault="00FC52C7" w:rsidP="00986C9E">
            <w:pPr>
              <w:tabs>
                <w:tab w:val="left" w:pos="187"/>
              </w:tabs>
              <w:jc w:val="both"/>
              <w:rPr>
                <w:szCs w:val="24"/>
              </w:rPr>
            </w:pPr>
          </w:p>
        </w:tc>
      </w:tr>
      <w:tr w:rsidR="00FC52C7" w:rsidRPr="00EB316D" w14:paraId="2E805C35" w14:textId="77777777" w:rsidTr="00986C9E">
        <w:trPr>
          <w:trHeight w:val="281"/>
        </w:trPr>
        <w:tc>
          <w:tcPr>
            <w:tcW w:w="2977" w:type="dxa"/>
          </w:tcPr>
          <w:p w14:paraId="1D76C90D" w14:textId="77777777" w:rsidR="00FC52C7" w:rsidRPr="00EB316D" w:rsidRDefault="00FC52C7" w:rsidP="00986C9E">
            <w:pPr>
              <w:tabs>
                <w:tab w:val="left" w:pos="187"/>
              </w:tabs>
              <w:jc w:val="both"/>
              <w:rPr>
                <w:szCs w:val="24"/>
              </w:rPr>
            </w:pPr>
            <w:r w:rsidRPr="00EB316D">
              <w:rPr>
                <w:szCs w:val="24"/>
              </w:rPr>
              <w:t>laikydamasis įstatyme nustatytų terminų</w:t>
            </w:r>
          </w:p>
        </w:tc>
        <w:tc>
          <w:tcPr>
            <w:tcW w:w="2864" w:type="dxa"/>
          </w:tcPr>
          <w:p w14:paraId="710BB65C" w14:textId="77777777" w:rsidR="00FC52C7" w:rsidRPr="00EB316D" w:rsidRDefault="00FC52C7" w:rsidP="00986C9E">
            <w:pPr>
              <w:tabs>
                <w:tab w:val="left" w:pos="187"/>
              </w:tabs>
              <w:jc w:val="both"/>
              <w:rPr>
                <w:szCs w:val="24"/>
              </w:rPr>
            </w:pPr>
            <w:r w:rsidRPr="00EB316D">
              <w:rPr>
                <w:szCs w:val="24"/>
              </w:rPr>
              <w:t>[ ]     Taip</w:t>
            </w:r>
          </w:p>
          <w:p w14:paraId="695FE1ED" w14:textId="77777777" w:rsidR="00FC52C7" w:rsidRPr="00EB316D" w:rsidRDefault="00FC52C7" w:rsidP="00986C9E">
            <w:pPr>
              <w:tabs>
                <w:tab w:val="left" w:pos="187"/>
              </w:tabs>
              <w:jc w:val="both"/>
              <w:rPr>
                <w:szCs w:val="24"/>
              </w:rPr>
            </w:pPr>
            <w:r w:rsidRPr="00EB316D">
              <w:rPr>
                <w:szCs w:val="24"/>
              </w:rPr>
              <w:t>[ ]     Ne</w:t>
            </w:r>
          </w:p>
          <w:p w14:paraId="1E6B40B4" w14:textId="77777777" w:rsidR="00FC52C7" w:rsidRPr="00EB316D" w:rsidRDefault="00FC52C7" w:rsidP="00986C9E">
            <w:pPr>
              <w:tabs>
                <w:tab w:val="left" w:pos="187"/>
              </w:tabs>
              <w:jc w:val="both"/>
              <w:rPr>
                <w:szCs w:val="24"/>
                <w:lang w:eastAsia="lt-LT"/>
              </w:rPr>
            </w:pPr>
            <w:r w:rsidRPr="00EB316D">
              <w:rPr>
                <w:szCs w:val="24"/>
              </w:rPr>
              <w:t>[ ]    Kita</w:t>
            </w:r>
          </w:p>
        </w:tc>
        <w:tc>
          <w:tcPr>
            <w:tcW w:w="3940" w:type="dxa"/>
          </w:tcPr>
          <w:p w14:paraId="139DF9AF" w14:textId="77777777" w:rsidR="00FC52C7" w:rsidRPr="00EB316D" w:rsidRDefault="00FC52C7" w:rsidP="00986C9E">
            <w:pPr>
              <w:tabs>
                <w:tab w:val="left" w:pos="187"/>
              </w:tabs>
              <w:jc w:val="both"/>
              <w:rPr>
                <w:szCs w:val="24"/>
              </w:rPr>
            </w:pPr>
          </w:p>
        </w:tc>
      </w:tr>
      <w:tr w:rsidR="00FC52C7" w:rsidRPr="00EB316D" w14:paraId="2F05531F" w14:textId="77777777" w:rsidTr="00986C9E">
        <w:trPr>
          <w:trHeight w:val="281"/>
        </w:trPr>
        <w:tc>
          <w:tcPr>
            <w:tcW w:w="2977" w:type="dxa"/>
          </w:tcPr>
          <w:p w14:paraId="0D5E287C" w14:textId="77777777" w:rsidR="00FC52C7" w:rsidRPr="00EB316D" w:rsidRDefault="00FC52C7" w:rsidP="00986C9E">
            <w:pPr>
              <w:tabs>
                <w:tab w:val="left" w:pos="187"/>
              </w:tabs>
              <w:jc w:val="both"/>
              <w:rPr>
                <w:szCs w:val="24"/>
              </w:rPr>
            </w:pPr>
            <w:r w:rsidRPr="00EB316D">
              <w:rPr>
                <w:szCs w:val="24"/>
              </w:rPr>
              <w:t>numatydamas problemas, kurios gali turėti įtakos jo darbo kokybei ir imdamas jas spręsti</w:t>
            </w:r>
          </w:p>
        </w:tc>
        <w:tc>
          <w:tcPr>
            <w:tcW w:w="2864" w:type="dxa"/>
          </w:tcPr>
          <w:p w14:paraId="7043DE9B" w14:textId="77777777" w:rsidR="00FC52C7" w:rsidRPr="00EB316D" w:rsidRDefault="00FC52C7" w:rsidP="00986C9E">
            <w:pPr>
              <w:tabs>
                <w:tab w:val="left" w:pos="187"/>
              </w:tabs>
              <w:jc w:val="both"/>
              <w:rPr>
                <w:szCs w:val="24"/>
              </w:rPr>
            </w:pPr>
            <w:r w:rsidRPr="00EB316D">
              <w:rPr>
                <w:szCs w:val="24"/>
              </w:rPr>
              <w:t>[ ]     Taip</w:t>
            </w:r>
          </w:p>
          <w:p w14:paraId="76BFDE09" w14:textId="77777777" w:rsidR="00FC52C7" w:rsidRPr="00EB316D" w:rsidRDefault="00FC52C7" w:rsidP="00986C9E">
            <w:pPr>
              <w:tabs>
                <w:tab w:val="left" w:pos="187"/>
              </w:tabs>
              <w:jc w:val="both"/>
              <w:rPr>
                <w:szCs w:val="24"/>
              </w:rPr>
            </w:pPr>
            <w:r w:rsidRPr="00EB316D">
              <w:rPr>
                <w:szCs w:val="24"/>
              </w:rPr>
              <w:t>[ ]     Ne</w:t>
            </w:r>
          </w:p>
          <w:p w14:paraId="39B5F7AE" w14:textId="77777777" w:rsidR="00FC52C7" w:rsidRPr="00EB316D" w:rsidRDefault="00FC52C7" w:rsidP="00986C9E">
            <w:pPr>
              <w:tabs>
                <w:tab w:val="left" w:pos="187"/>
              </w:tabs>
              <w:jc w:val="both"/>
              <w:rPr>
                <w:szCs w:val="24"/>
              </w:rPr>
            </w:pPr>
            <w:r w:rsidRPr="00EB316D">
              <w:rPr>
                <w:szCs w:val="24"/>
              </w:rPr>
              <w:t>[ ]     Kita</w:t>
            </w:r>
          </w:p>
        </w:tc>
        <w:tc>
          <w:tcPr>
            <w:tcW w:w="3940" w:type="dxa"/>
          </w:tcPr>
          <w:p w14:paraId="14EBA428" w14:textId="77777777" w:rsidR="00FC52C7" w:rsidRPr="00EB316D" w:rsidRDefault="00FC52C7" w:rsidP="00986C9E">
            <w:pPr>
              <w:tabs>
                <w:tab w:val="left" w:pos="187"/>
              </w:tabs>
              <w:jc w:val="both"/>
              <w:rPr>
                <w:szCs w:val="24"/>
              </w:rPr>
            </w:pPr>
          </w:p>
        </w:tc>
      </w:tr>
      <w:tr w:rsidR="00FC52C7" w:rsidRPr="00EB316D" w14:paraId="4D48614F" w14:textId="77777777" w:rsidTr="00986C9E">
        <w:trPr>
          <w:trHeight w:val="281"/>
        </w:trPr>
        <w:tc>
          <w:tcPr>
            <w:tcW w:w="9781" w:type="dxa"/>
            <w:gridSpan w:val="3"/>
          </w:tcPr>
          <w:p w14:paraId="7A5295C3" w14:textId="77777777" w:rsidR="00FC52C7" w:rsidRPr="00EB316D" w:rsidRDefault="00FC52C7" w:rsidP="00986C9E">
            <w:pPr>
              <w:tabs>
                <w:tab w:val="left" w:pos="187"/>
              </w:tabs>
              <w:jc w:val="both"/>
              <w:rPr>
                <w:szCs w:val="24"/>
              </w:rPr>
            </w:pPr>
            <w:r w:rsidRPr="00EB316D">
              <w:rPr>
                <w:szCs w:val="24"/>
              </w:rPr>
              <w:t xml:space="preserve">Kita svarbi informacija </w:t>
            </w:r>
            <w:r w:rsidRPr="00EB316D">
              <w:rPr>
                <w:i/>
                <w:szCs w:val="24"/>
              </w:rPr>
              <w:t>(pildyti esant poreikiui)</w:t>
            </w:r>
            <w:r w:rsidRPr="00EB316D">
              <w:rPr>
                <w:szCs w:val="24"/>
              </w:rPr>
              <w:t>:</w:t>
            </w:r>
          </w:p>
        </w:tc>
      </w:tr>
    </w:tbl>
    <w:p w14:paraId="6CC9FD1F" w14:textId="77777777" w:rsidR="00FC52C7" w:rsidRPr="00EB316D" w:rsidRDefault="00FC52C7" w:rsidP="00FC52C7">
      <w:pPr>
        <w:tabs>
          <w:tab w:val="left" w:pos="187"/>
        </w:tabs>
        <w:jc w:val="both"/>
        <w:rPr>
          <w:szCs w:val="24"/>
        </w:rPr>
      </w:pPr>
    </w:p>
    <w:p w14:paraId="1C007DE8" w14:textId="77777777" w:rsidR="00FC52C7" w:rsidRPr="00EB316D" w:rsidRDefault="00FC52C7" w:rsidP="00FC52C7">
      <w:pPr>
        <w:tabs>
          <w:tab w:val="left" w:pos="187"/>
        </w:tabs>
        <w:jc w:val="both"/>
        <w:rPr>
          <w:szCs w:val="24"/>
        </w:rPr>
      </w:pPr>
      <w:r w:rsidRPr="00EB316D">
        <w:rPr>
          <w:szCs w:val="24"/>
        </w:rPr>
        <w:t xml:space="preserve">Vertinamu laikotarpiu skundų, nesusijusių su teisingumo vykdymu, dėl teisėjo darbo organizavimo ar bendravimo gebėjimų </w:t>
      </w:r>
      <w:r w:rsidRPr="00EB316D">
        <w:rPr>
          <w:i/>
          <w:szCs w:val="24"/>
        </w:rPr>
        <w:t>(tinkamą variantą pažymėti, jei pažymima „gauta“, informaciją detalizuoti)</w:t>
      </w:r>
      <w:r w:rsidRPr="00EB316D">
        <w:rPr>
          <w:szCs w:val="24"/>
        </w:rPr>
        <w:t>:</w:t>
      </w:r>
    </w:p>
    <w:p w14:paraId="59EAF9A2" w14:textId="77777777" w:rsidR="00FC52C7" w:rsidRPr="00EB316D" w:rsidRDefault="00FC52C7" w:rsidP="00FC52C7">
      <w:pPr>
        <w:tabs>
          <w:tab w:val="left" w:pos="187"/>
        </w:tabs>
        <w:ind w:firstLine="60"/>
        <w:jc w:val="both"/>
        <w:rPr>
          <w:szCs w:val="24"/>
        </w:rPr>
      </w:pPr>
      <w:r w:rsidRPr="00EB316D">
        <w:rPr>
          <w:szCs w:val="24"/>
        </w:rPr>
        <w:t>[ ]    Negauta</w:t>
      </w:r>
    </w:p>
    <w:p w14:paraId="26779937" w14:textId="77777777" w:rsidR="00FC52C7" w:rsidRPr="00EB316D" w:rsidRDefault="00FC52C7" w:rsidP="00FC52C7">
      <w:pPr>
        <w:tabs>
          <w:tab w:val="left" w:pos="187"/>
        </w:tabs>
        <w:ind w:firstLine="62"/>
        <w:jc w:val="both"/>
        <w:rPr>
          <w:szCs w:val="24"/>
        </w:rPr>
      </w:pPr>
      <w:r w:rsidRPr="00EB316D">
        <w:rPr>
          <w:szCs w:val="24"/>
        </w:rPr>
        <w:lastRenderedPageBreak/>
        <w:t>[ ]    Gauta</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10"/>
      </w:tblGrid>
      <w:tr w:rsidR="00FC52C7" w:rsidRPr="00EB316D" w14:paraId="363932B5" w14:textId="77777777" w:rsidTr="00986C9E">
        <w:tc>
          <w:tcPr>
            <w:tcW w:w="9810" w:type="dxa"/>
            <w:tcBorders>
              <w:top w:val="single" w:sz="4" w:space="0" w:color="auto"/>
              <w:left w:val="single" w:sz="4" w:space="0" w:color="auto"/>
              <w:bottom w:val="single" w:sz="4" w:space="0" w:color="auto"/>
              <w:right w:val="single" w:sz="4" w:space="0" w:color="auto"/>
            </w:tcBorders>
          </w:tcPr>
          <w:p w14:paraId="553D92E5" w14:textId="77777777" w:rsidR="00FC52C7" w:rsidRPr="00EB316D" w:rsidRDefault="00FC52C7" w:rsidP="00986C9E">
            <w:pPr>
              <w:tabs>
                <w:tab w:val="left" w:pos="187"/>
              </w:tabs>
              <w:jc w:val="both"/>
              <w:rPr>
                <w:szCs w:val="24"/>
              </w:rPr>
            </w:pPr>
          </w:p>
        </w:tc>
      </w:tr>
    </w:tbl>
    <w:p w14:paraId="4B5B2996" w14:textId="23FE3274" w:rsidR="00FC52C7" w:rsidRPr="00EB316D" w:rsidRDefault="00FC52C7" w:rsidP="00FC52C7">
      <w:pPr>
        <w:tabs>
          <w:tab w:val="left" w:pos="187"/>
        </w:tabs>
        <w:ind w:right="-142" w:firstLine="851"/>
        <w:jc w:val="both"/>
        <w:rPr>
          <w:szCs w:val="24"/>
        </w:rPr>
      </w:pPr>
      <w:r w:rsidRPr="00EB316D">
        <w:rPr>
          <w:szCs w:val="24"/>
        </w:rPr>
        <w:t>1.1</w:t>
      </w:r>
      <w:r w:rsidR="007421B3">
        <w:rPr>
          <w:szCs w:val="24"/>
        </w:rPr>
        <w:t>9</w:t>
      </w:r>
      <w:r w:rsidRPr="00EB316D">
        <w:rPr>
          <w:szCs w:val="24"/>
        </w:rPr>
        <w:t xml:space="preserve">. Pakeisti Aprašo Priedo 5.4 papunktį ir jį išdėstyti taip: </w:t>
      </w:r>
    </w:p>
    <w:p w14:paraId="0357458C" w14:textId="77777777" w:rsidR="00FC52C7" w:rsidRPr="00EB316D" w:rsidRDefault="00FC52C7" w:rsidP="00FC52C7">
      <w:pPr>
        <w:tabs>
          <w:tab w:val="left" w:pos="187"/>
        </w:tabs>
        <w:ind w:right="-142" w:firstLine="851"/>
        <w:jc w:val="both"/>
        <w:rPr>
          <w:szCs w:val="24"/>
        </w:rPr>
      </w:pPr>
      <w:r w:rsidRPr="00EB316D">
        <w:rPr>
          <w:szCs w:val="24"/>
        </w:rPr>
        <w:t>„</w:t>
      </w:r>
      <w:r w:rsidRPr="00EB316D">
        <w:rPr>
          <w:b/>
          <w:bCs/>
          <w:szCs w:val="24"/>
        </w:rPr>
        <w:t xml:space="preserve">5.4. </w:t>
      </w:r>
      <w:r w:rsidRPr="00EB316D">
        <w:rPr>
          <w:szCs w:val="24"/>
        </w:rPr>
        <w:t>Kitos teisėjo dalykinės savybės: kvalifikacijos kėlimas Lietuvoje ir užsienio šalyse, dalyvavimas tarptautiniuose mokymuose, stažuotėse ar seminaruose, mokslinėje-pedagoginėje veikloje; teismų savivaldoje, bendruomenės visuomeninėje veikloje, tarptautiniuose tinkluose bei projektuose, rengiant teisės aktų projektus, užtikrinant bendrinės ir proceso kalbos kultūrą, užsienio kalbų mokėjimas, darbo su informacinėmis technologijomis įgūdžiai ir kt. (</w:t>
      </w:r>
      <w:r w:rsidRPr="00EB316D">
        <w:rPr>
          <w:i/>
          <w:szCs w:val="24"/>
        </w:rPr>
        <w:t>informaciją apie mokymus, stažuotes ir seminarus įrašyti tik tą, kuri nesutampa su Nacionalinės teismų administracijos pateiktais duomenimis)</w:t>
      </w:r>
      <w:r w:rsidRPr="00EB316D">
        <w:rPr>
          <w:szCs w:val="24"/>
        </w:rPr>
        <w:t>:“</w:t>
      </w:r>
    </w:p>
    <w:p w14:paraId="3EAADC3F" w14:textId="77777777" w:rsidR="00DF2991" w:rsidRPr="00DF2991" w:rsidRDefault="00DF2991" w:rsidP="00DF2991">
      <w:pPr>
        <w:tabs>
          <w:tab w:val="left" w:pos="187"/>
        </w:tabs>
        <w:ind w:firstLine="851"/>
        <w:jc w:val="both"/>
        <w:rPr>
          <w:szCs w:val="24"/>
        </w:rPr>
      </w:pPr>
      <w:r w:rsidRPr="00EB316D">
        <w:rPr>
          <w:szCs w:val="24"/>
        </w:rPr>
        <w:t>2. Nustatyti, kad šiuo nutarimu pakeistas Aprašas taikomas</w:t>
      </w:r>
      <w:r w:rsidRPr="00DF2991">
        <w:rPr>
          <w:szCs w:val="24"/>
        </w:rPr>
        <w:t xml:space="preserve"> teisėjų veiklos vertinimo procedūroms, paskelbtoms nuo 2023 m. sausio 1 d.</w:t>
      </w:r>
    </w:p>
    <w:p w14:paraId="3BD02E69" w14:textId="18161FC9" w:rsidR="00DF2991" w:rsidRPr="00DF2991" w:rsidRDefault="00DF2991" w:rsidP="00DF2991">
      <w:pPr>
        <w:tabs>
          <w:tab w:val="left" w:pos="187"/>
        </w:tabs>
        <w:ind w:firstLine="851"/>
        <w:jc w:val="both"/>
        <w:rPr>
          <w:szCs w:val="24"/>
        </w:rPr>
      </w:pPr>
      <w:r w:rsidRPr="00DF2991">
        <w:rPr>
          <w:szCs w:val="24"/>
        </w:rPr>
        <w:t xml:space="preserve">3. Pavesti Nacionalinės teismų administracijos direktoriui iki 2022 m. gruodžio 31 d. patvirtinti pažymos apie apylinkės teismo teisėjo veiklos statistinius duomenis formą, </w:t>
      </w:r>
      <w:r w:rsidRPr="00FE4E97">
        <w:rPr>
          <w:szCs w:val="24"/>
        </w:rPr>
        <w:t>iki 2023 m. liepos 1 d. – pažymų apie kitų pakopų bendros</w:t>
      </w:r>
      <w:r w:rsidR="006D207E" w:rsidRPr="00FE4E97">
        <w:rPr>
          <w:szCs w:val="24"/>
        </w:rPr>
        <w:t>ios</w:t>
      </w:r>
      <w:r w:rsidRPr="00FE4E97">
        <w:rPr>
          <w:szCs w:val="24"/>
        </w:rPr>
        <w:t xml:space="preserve"> kompetencijos teismų ir administracinių teismų teisėjų veiklos statistinius duomenis formas.</w:t>
      </w:r>
    </w:p>
    <w:p w14:paraId="3C913D99" w14:textId="3BC9F739" w:rsidR="00DF2991" w:rsidRDefault="00DF2991" w:rsidP="00DF2991">
      <w:pPr>
        <w:tabs>
          <w:tab w:val="left" w:pos="187"/>
        </w:tabs>
        <w:ind w:firstLine="851"/>
        <w:jc w:val="both"/>
        <w:rPr>
          <w:szCs w:val="24"/>
        </w:rPr>
      </w:pPr>
      <w:r w:rsidRPr="00DF2991">
        <w:rPr>
          <w:szCs w:val="24"/>
        </w:rPr>
        <w:t>4. Nustatyti, kad šis nutarimas įsigalioja 2023 m. sausio 1 d.</w:t>
      </w:r>
    </w:p>
    <w:p w14:paraId="4E1E0BD7" w14:textId="77777777" w:rsidR="0036720C" w:rsidRPr="00DF2991" w:rsidRDefault="0036720C" w:rsidP="00DF2991">
      <w:pPr>
        <w:tabs>
          <w:tab w:val="left" w:pos="187"/>
        </w:tabs>
        <w:ind w:firstLine="851"/>
        <w:jc w:val="both"/>
        <w:rPr>
          <w:szCs w:val="24"/>
        </w:rPr>
      </w:pPr>
    </w:p>
    <w:p w14:paraId="2AF4ED0D" w14:textId="77777777" w:rsidR="00DF2991" w:rsidRPr="00DF2991" w:rsidRDefault="00DF2991" w:rsidP="00DF2991">
      <w:pPr>
        <w:tabs>
          <w:tab w:val="left" w:pos="7938"/>
        </w:tabs>
      </w:pPr>
    </w:p>
    <w:tbl>
      <w:tblPr>
        <w:tblW w:w="9798" w:type="dxa"/>
        <w:tblLayout w:type="fixed"/>
        <w:tblLook w:val="04A0" w:firstRow="1" w:lastRow="0" w:firstColumn="1" w:lastColumn="0" w:noHBand="0" w:noVBand="1"/>
      </w:tblPr>
      <w:tblGrid>
        <w:gridCol w:w="7308"/>
        <w:gridCol w:w="2490"/>
      </w:tblGrid>
      <w:tr w:rsidR="0036720C" w:rsidRPr="00940705" w14:paraId="3A8BAE14" w14:textId="77777777" w:rsidTr="001B4C6B">
        <w:tc>
          <w:tcPr>
            <w:tcW w:w="7308" w:type="dxa"/>
          </w:tcPr>
          <w:p w14:paraId="3E6D880F" w14:textId="77777777" w:rsidR="0036720C" w:rsidRDefault="0036720C" w:rsidP="001B4C6B">
            <w:pPr>
              <w:spacing w:line="276" w:lineRule="auto"/>
            </w:pPr>
            <w:r>
              <w:t>Pirmininkė</w:t>
            </w:r>
          </w:p>
          <w:p w14:paraId="0B097D05" w14:textId="77777777" w:rsidR="0036720C" w:rsidRDefault="0036720C" w:rsidP="001B4C6B">
            <w:pPr>
              <w:spacing w:line="276" w:lineRule="auto"/>
            </w:pPr>
          </w:p>
          <w:p w14:paraId="060DECEE" w14:textId="77777777" w:rsidR="0036720C" w:rsidRPr="00940705" w:rsidRDefault="0036720C" w:rsidP="001B4C6B"/>
        </w:tc>
        <w:tc>
          <w:tcPr>
            <w:tcW w:w="2490" w:type="dxa"/>
          </w:tcPr>
          <w:p w14:paraId="5F471E35" w14:textId="77777777" w:rsidR="0036720C" w:rsidRDefault="0036720C" w:rsidP="001B4C6B">
            <w:pPr>
              <w:spacing w:line="276" w:lineRule="auto"/>
            </w:pPr>
            <w:r>
              <w:t>Sigita Rudėnaitė</w:t>
            </w:r>
          </w:p>
          <w:p w14:paraId="465EB67D" w14:textId="77777777" w:rsidR="0036720C" w:rsidRPr="00940705" w:rsidRDefault="0036720C" w:rsidP="001B4C6B">
            <w:pPr>
              <w:spacing w:line="276" w:lineRule="auto"/>
            </w:pPr>
          </w:p>
        </w:tc>
      </w:tr>
      <w:tr w:rsidR="0036720C" w:rsidRPr="00940705" w14:paraId="6026597C" w14:textId="77777777" w:rsidTr="001B4C6B">
        <w:tc>
          <w:tcPr>
            <w:tcW w:w="7308" w:type="dxa"/>
          </w:tcPr>
          <w:p w14:paraId="1BA218D9" w14:textId="77777777" w:rsidR="0036720C" w:rsidRPr="00940705" w:rsidRDefault="0036720C" w:rsidP="001B4C6B">
            <w:r>
              <w:t>Sekretorius</w:t>
            </w:r>
          </w:p>
        </w:tc>
        <w:tc>
          <w:tcPr>
            <w:tcW w:w="2490" w:type="dxa"/>
          </w:tcPr>
          <w:p w14:paraId="349FFFAB" w14:textId="77777777" w:rsidR="0036720C" w:rsidRDefault="0036720C" w:rsidP="001B4C6B">
            <w:pPr>
              <w:spacing w:line="276" w:lineRule="auto"/>
            </w:pPr>
            <w:r>
              <w:t>Ramūnas Gadliauskas</w:t>
            </w:r>
          </w:p>
          <w:p w14:paraId="79201DDB" w14:textId="77777777" w:rsidR="0036720C" w:rsidRPr="00940705" w:rsidRDefault="0036720C" w:rsidP="001B4C6B">
            <w:pPr>
              <w:spacing w:line="276" w:lineRule="auto"/>
            </w:pPr>
          </w:p>
        </w:tc>
      </w:tr>
    </w:tbl>
    <w:p w14:paraId="12188CEB" w14:textId="77777777" w:rsidR="00972F1D" w:rsidRDefault="00972F1D">
      <w:pPr>
        <w:tabs>
          <w:tab w:val="left" w:pos="187"/>
        </w:tabs>
        <w:ind w:firstLine="5812"/>
        <w:rPr>
          <w:szCs w:val="24"/>
        </w:rPr>
      </w:pPr>
    </w:p>
    <w:p w14:paraId="62D62EC6" w14:textId="77777777" w:rsidR="00972F1D" w:rsidRDefault="00972F1D">
      <w:pPr>
        <w:tabs>
          <w:tab w:val="left" w:pos="187"/>
        </w:tabs>
        <w:ind w:firstLine="5812"/>
        <w:rPr>
          <w:szCs w:val="24"/>
        </w:rPr>
      </w:pPr>
    </w:p>
    <w:p w14:paraId="5AE447E7" w14:textId="77777777" w:rsidR="00972F1D" w:rsidRDefault="00972F1D">
      <w:pPr>
        <w:tabs>
          <w:tab w:val="left" w:pos="187"/>
        </w:tabs>
        <w:ind w:firstLine="5812"/>
        <w:rPr>
          <w:szCs w:val="24"/>
        </w:rPr>
      </w:pPr>
    </w:p>
    <w:p w14:paraId="66EF502E" w14:textId="77777777" w:rsidR="00972F1D" w:rsidRDefault="00972F1D">
      <w:pPr>
        <w:tabs>
          <w:tab w:val="left" w:pos="187"/>
        </w:tabs>
        <w:ind w:firstLine="5812"/>
        <w:rPr>
          <w:szCs w:val="24"/>
        </w:rPr>
      </w:pPr>
    </w:p>
    <w:p w14:paraId="11B1064B" w14:textId="77777777" w:rsidR="00972F1D" w:rsidRDefault="00972F1D">
      <w:pPr>
        <w:tabs>
          <w:tab w:val="left" w:pos="187"/>
        </w:tabs>
        <w:ind w:firstLine="5812"/>
        <w:rPr>
          <w:szCs w:val="24"/>
        </w:rPr>
      </w:pPr>
    </w:p>
    <w:p w14:paraId="12AC70F0" w14:textId="77777777" w:rsidR="00972F1D" w:rsidRDefault="00972F1D">
      <w:pPr>
        <w:tabs>
          <w:tab w:val="left" w:pos="187"/>
        </w:tabs>
        <w:ind w:firstLine="5812"/>
        <w:rPr>
          <w:szCs w:val="24"/>
        </w:rPr>
      </w:pPr>
    </w:p>
    <w:p w14:paraId="3FC1BF4C" w14:textId="77777777" w:rsidR="00972F1D" w:rsidRDefault="00972F1D">
      <w:pPr>
        <w:tabs>
          <w:tab w:val="left" w:pos="187"/>
        </w:tabs>
        <w:ind w:firstLine="5812"/>
        <w:rPr>
          <w:szCs w:val="24"/>
        </w:rPr>
      </w:pPr>
    </w:p>
    <w:p w14:paraId="25E2B00A" w14:textId="77777777" w:rsidR="00972F1D" w:rsidRDefault="00972F1D">
      <w:pPr>
        <w:tabs>
          <w:tab w:val="left" w:pos="187"/>
        </w:tabs>
        <w:ind w:firstLine="5812"/>
        <w:rPr>
          <w:szCs w:val="24"/>
        </w:rPr>
      </w:pPr>
    </w:p>
    <w:p w14:paraId="7680F1CA" w14:textId="77777777" w:rsidR="00972F1D" w:rsidRDefault="00972F1D">
      <w:pPr>
        <w:tabs>
          <w:tab w:val="left" w:pos="187"/>
        </w:tabs>
        <w:ind w:firstLine="5812"/>
        <w:rPr>
          <w:szCs w:val="24"/>
        </w:rPr>
      </w:pPr>
    </w:p>
    <w:p w14:paraId="3B5C105B" w14:textId="77777777" w:rsidR="00972F1D" w:rsidRDefault="00972F1D" w:rsidP="00DF2991">
      <w:pPr>
        <w:tabs>
          <w:tab w:val="left" w:pos="187"/>
        </w:tabs>
        <w:rPr>
          <w:szCs w:val="24"/>
        </w:rPr>
      </w:pPr>
    </w:p>
    <w:p w14:paraId="450E93FD" w14:textId="77777777" w:rsidR="003E123D" w:rsidRDefault="003E123D" w:rsidP="006F1228">
      <w:pPr>
        <w:tabs>
          <w:tab w:val="left" w:pos="187"/>
        </w:tabs>
        <w:ind w:firstLine="5812"/>
        <w:rPr>
          <w:b/>
          <w:bCs/>
          <w:szCs w:val="24"/>
        </w:rPr>
      </w:pPr>
    </w:p>
    <w:p w14:paraId="2BECABCA" w14:textId="77777777" w:rsidR="003E123D" w:rsidRDefault="003E123D" w:rsidP="006F1228">
      <w:pPr>
        <w:tabs>
          <w:tab w:val="left" w:pos="187"/>
        </w:tabs>
        <w:ind w:firstLine="5812"/>
        <w:rPr>
          <w:b/>
          <w:bCs/>
          <w:szCs w:val="24"/>
        </w:rPr>
      </w:pPr>
    </w:p>
    <w:p w14:paraId="280F948F" w14:textId="77777777" w:rsidR="003E123D" w:rsidRDefault="003E123D" w:rsidP="006F1228">
      <w:pPr>
        <w:tabs>
          <w:tab w:val="left" w:pos="187"/>
        </w:tabs>
        <w:ind w:firstLine="5812"/>
        <w:rPr>
          <w:b/>
          <w:bCs/>
          <w:szCs w:val="24"/>
        </w:rPr>
      </w:pPr>
    </w:p>
    <w:p w14:paraId="6BBF6C0A" w14:textId="77777777" w:rsidR="003E123D" w:rsidRDefault="003E123D" w:rsidP="006F1228">
      <w:pPr>
        <w:tabs>
          <w:tab w:val="left" w:pos="187"/>
        </w:tabs>
        <w:ind w:firstLine="5812"/>
        <w:rPr>
          <w:b/>
          <w:bCs/>
          <w:szCs w:val="24"/>
        </w:rPr>
      </w:pPr>
    </w:p>
    <w:p w14:paraId="12030427" w14:textId="77777777" w:rsidR="003E123D" w:rsidRDefault="003E123D" w:rsidP="006F1228">
      <w:pPr>
        <w:tabs>
          <w:tab w:val="left" w:pos="187"/>
        </w:tabs>
        <w:ind w:firstLine="5812"/>
        <w:rPr>
          <w:b/>
          <w:bCs/>
          <w:szCs w:val="24"/>
        </w:rPr>
      </w:pPr>
    </w:p>
    <w:p w14:paraId="0E4032D0" w14:textId="77777777" w:rsidR="003E123D" w:rsidRDefault="003E123D" w:rsidP="006F1228">
      <w:pPr>
        <w:tabs>
          <w:tab w:val="left" w:pos="187"/>
        </w:tabs>
        <w:ind w:firstLine="5812"/>
        <w:rPr>
          <w:b/>
          <w:bCs/>
          <w:szCs w:val="24"/>
        </w:rPr>
      </w:pPr>
    </w:p>
    <w:p w14:paraId="5FCB7D6A" w14:textId="77777777" w:rsidR="003E123D" w:rsidRDefault="003E123D" w:rsidP="006F1228">
      <w:pPr>
        <w:tabs>
          <w:tab w:val="left" w:pos="187"/>
        </w:tabs>
        <w:ind w:firstLine="5812"/>
        <w:rPr>
          <w:b/>
          <w:bCs/>
          <w:szCs w:val="24"/>
        </w:rPr>
      </w:pPr>
    </w:p>
    <w:p w14:paraId="72A7FDA4" w14:textId="77777777" w:rsidR="003E123D" w:rsidRDefault="003E123D" w:rsidP="006F1228">
      <w:pPr>
        <w:tabs>
          <w:tab w:val="left" w:pos="187"/>
        </w:tabs>
        <w:ind w:firstLine="5812"/>
        <w:rPr>
          <w:b/>
          <w:bCs/>
          <w:szCs w:val="24"/>
        </w:rPr>
      </w:pPr>
    </w:p>
    <w:p w14:paraId="587D4B68" w14:textId="77777777" w:rsidR="003E123D" w:rsidRDefault="003E123D" w:rsidP="006F1228">
      <w:pPr>
        <w:tabs>
          <w:tab w:val="left" w:pos="187"/>
        </w:tabs>
        <w:ind w:firstLine="5812"/>
        <w:rPr>
          <w:b/>
          <w:bCs/>
          <w:szCs w:val="24"/>
        </w:rPr>
      </w:pPr>
    </w:p>
    <w:p w14:paraId="1F8EDA75" w14:textId="77777777" w:rsidR="003E123D" w:rsidRDefault="003E123D" w:rsidP="006F1228">
      <w:pPr>
        <w:tabs>
          <w:tab w:val="left" w:pos="187"/>
        </w:tabs>
        <w:ind w:firstLine="5812"/>
        <w:rPr>
          <w:b/>
          <w:bCs/>
          <w:szCs w:val="24"/>
        </w:rPr>
      </w:pPr>
    </w:p>
    <w:p w14:paraId="3C2CE85B" w14:textId="77777777" w:rsidR="003E123D" w:rsidRDefault="003E123D" w:rsidP="0043724D">
      <w:pPr>
        <w:tabs>
          <w:tab w:val="left" w:pos="187"/>
        </w:tabs>
        <w:rPr>
          <w:b/>
          <w:bCs/>
          <w:szCs w:val="24"/>
        </w:rPr>
      </w:pPr>
    </w:p>
    <w:p w14:paraId="151B1F40" w14:textId="77777777" w:rsidR="00FE4E97" w:rsidRDefault="00FE4E97" w:rsidP="006F1228">
      <w:pPr>
        <w:tabs>
          <w:tab w:val="left" w:pos="187"/>
        </w:tabs>
        <w:ind w:firstLine="5812"/>
        <w:rPr>
          <w:b/>
          <w:bCs/>
          <w:szCs w:val="24"/>
        </w:rPr>
      </w:pPr>
    </w:p>
    <w:p w14:paraId="312C1A6C" w14:textId="77777777" w:rsidR="00FE4E97" w:rsidRDefault="00FE4E97" w:rsidP="006F1228">
      <w:pPr>
        <w:tabs>
          <w:tab w:val="left" w:pos="187"/>
        </w:tabs>
        <w:ind w:firstLine="5812"/>
        <w:rPr>
          <w:b/>
          <w:bCs/>
          <w:szCs w:val="24"/>
        </w:rPr>
      </w:pPr>
    </w:p>
    <w:p w14:paraId="2A873938" w14:textId="77777777" w:rsidR="00FE4E97" w:rsidRDefault="00FE4E97" w:rsidP="006F1228">
      <w:pPr>
        <w:tabs>
          <w:tab w:val="left" w:pos="187"/>
        </w:tabs>
        <w:ind w:firstLine="5812"/>
        <w:rPr>
          <w:b/>
          <w:bCs/>
          <w:szCs w:val="24"/>
        </w:rPr>
      </w:pPr>
    </w:p>
    <w:p w14:paraId="5F59F67C" w14:textId="77777777" w:rsidR="00AF3A7A" w:rsidRDefault="00AF3A7A" w:rsidP="006F1228">
      <w:pPr>
        <w:tabs>
          <w:tab w:val="left" w:pos="187"/>
        </w:tabs>
        <w:ind w:firstLine="5812"/>
        <w:rPr>
          <w:b/>
          <w:bCs/>
          <w:szCs w:val="24"/>
        </w:rPr>
      </w:pPr>
    </w:p>
    <w:p w14:paraId="2DF2D8A8" w14:textId="77777777" w:rsidR="00AF3A7A" w:rsidRDefault="00AF3A7A" w:rsidP="006F1228">
      <w:pPr>
        <w:tabs>
          <w:tab w:val="left" w:pos="187"/>
        </w:tabs>
        <w:ind w:firstLine="5812"/>
        <w:rPr>
          <w:b/>
          <w:bCs/>
          <w:szCs w:val="24"/>
        </w:rPr>
      </w:pPr>
    </w:p>
    <w:p w14:paraId="1B490D44" w14:textId="5C8E9D07" w:rsidR="0015428F" w:rsidRDefault="0015428F">
      <w:pPr>
        <w:jc w:val="both"/>
        <w:rPr>
          <w:b/>
          <w:sz w:val="20"/>
        </w:rPr>
      </w:pPr>
    </w:p>
    <w:sectPr w:rsidR="0015428F">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992" w:left="1701" w:header="709" w:footer="709"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F898C" w14:textId="77777777" w:rsidR="007E3DA3" w:rsidRDefault="007E3DA3">
      <w:pPr>
        <w:rPr>
          <w:szCs w:val="24"/>
        </w:rPr>
      </w:pPr>
      <w:r>
        <w:rPr>
          <w:szCs w:val="24"/>
        </w:rPr>
        <w:separator/>
      </w:r>
    </w:p>
  </w:endnote>
  <w:endnote w:type="continuationSeparator" w:id="0">
    <w:p w14:paraId="4C7208D9" w14:textId="77777777" w:rsidR="007E3DA3" w:rsidRDefault="007E3DA3">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40FD1" w14:textId="77777777" w:rsidR="00E1676D" w:rsidRDefault="00E1676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16A54" w14:textId="77777777" w:rsidR="00E1676D" w:rsidRDefault="00E1676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0EE09" w14:textId="77777777" w:rsidR="00E1676D" w:rsidRDefault="00E1676D">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41ADC" w14:textId="77777777" w:rsidR="007E3DA3" w:rsidRDefault="007E3DA3">
      <w:pPr>
        <w:rPr>
          <w:szCs w:val="24"/>
        </w:rPr>
      </w:pPr>
      <w:r>
        <w:rPr>
          <w:szCs w:val="24"/>
        </w:rPr>
        <w:separator/>
      </w:r>
    </w:p>
  </w:footnote>
  <w:footnote w:type="continuationSeparator" w:id="0">
    <w:p w14:paraId="19A0753A" w14:textId="77777777" w:rsidR="007E3DA3" w:rsidRDefault="007E3DA3">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E7B92" w14:textId="77777777" w:rsidR="00E1676D" w:rsidRDefault="00E1676D">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3A817" w14:textId="77777777" w:rsidR="00E1676D" w:rsidRDefault="00C86C30">
    <w:pPr>
      <w:tabs>
        <w:tab w:val="center" w:pos="4819"/>
        <w:tab w:val="right" w:pos="9638"/>
      </w:tabs>
      <w:jc w:val="center"/>
    </w:pPr>
    <w:r>
      <w:fldChar w:fldCharType="begin"/>
    </w:r>
    <w:r>
      <w:instrText>PAGE   \* MERGEFORMAT</w:instrText>
    </w:r>
    <w:r>
      <w:fldChar w:fldCharType="separate"/>
    </w:r>
    <w:r>
      <w:t>4</w:t>
    </w:r>
    <w:r>
      <w:fldChar w:fldCharType="end"/>
    </w:r>
  </w:p>
  <w:p w14:paraId="2874504D" w14:textId="77777777" w:rsidR="00E1676D" w:rsidRDefault="00E1676D">
    <w:pPr>
      <w:tabs>
        <w:tab w:val="center" w:pos="4153"/>
        <w:tab w:val="right" w:pos="8306"/>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AD93F" w14:textId="740E2CA7" w:rsidR="00E1676D" w:rsidRPr="00A84054" w:rsidRDefault="00A84054" w:rsidP="00A84054">
    <w:pPr>
      <w:tabs>
        <w:tab w:val="center" w:pos="4819"/>
        <w:tab w:val="right" w:pos="9638"/>
      </w:tabs>
      <w:rPr>
        <w:b/>
        <w:bCs/>
      </w:rP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016"/>
    <w:rsid w:val="00006B9C"/>
    <w:rsid w:val="00054476"/>
    <w:rsid w:val="00077502"/>
    <w:rsid w:val="00095411"/>
    <w:rsid w:val="000D1384"/>
    <w:rsid w:val="000E22E9"/>
    <w:rsid w:val="001022BA"/>
    <w:rsid w:val="00102706"/>
    <w:rsid w:val="001077F5"/>
    <w:rsid w:val="00111A62"/>
    <w:rsid w:val="0015428F"/>
    <w:rsid w:val="001C1975"/>
    <w:rsid w:val="001D2D47"/>
    <w:rsid w:val="001F0B24"/>
    <w:rsid w:val="00202B83"/>
    <w:rsid w:val="0021693C"/>
    <w:rsid w:val="00285BBA"/>
    <w:rsid w:val="002A23FE"/>
    <w:rsid w:val="002A4FC8"/>
    <w:rsid w:val="002B23B2"/>
    <w:rsid w:val="002E51BB"/>
    <w:rsid w:val="002F5DE5"/>
    <w:rsid w:val="00307F42"/>
    <w:rsid w:val="00315199"/>
    <w:rsid w:val="00324AA6"/>
    <w:rsid w:val="0032666E"/>
    <w:rsid w:val="003322E5"/>
    <w:rsid w:val="00347282"/>
    <w:rsid w:val="0036720C"/>
    <w:rsid w:val="0037009F"/>
    <w:rsid w:val="003A5C32"/>
    <w:rsid w:val="003B14BB"/>
    <w:rsid w:val="003C280C"/>
    <w:rsid w:val="003E123D"/>
    <w:rsid w:val="003E4B74"/>
    <w:rsid w:val="003F6C61"/>
    <w:rsid w:val="0041759B"/>
    <w:rsid w:val="0043724D"/>
    <w:rsid w:val="004857D3"/>
    <w:rsid w:val="004A48A7"/>
    <w:rsid w:val="004B3665"/>
    <w:rsid w:val="004B4FB9"/>
    <w:rsid w:val="004B4FCB"/>
    <w:rsid w:val="004C3B0A"/>
    <w:rsid w:val="004D7A83"/>
    <w:rsid w:val="004F79BF"/>
    <w:rsid w:val="005051D7"/>
    <w:rsid w:val="00520F35"/>
    <w:rsid w:val="005432C2"/>
    <w:rsid w:val="00544D1E"/>
    <w:rsid w:val="00561181"/>
    <w:rsid w:val="00590C3E"/>
    <w:rsid w:val="00595DE4"/>
    <w:rsid w:val="0059652B"/>
    <w:rsid w:val="005B403A"/>
    <w:rsid w:val="005F0EEA"/>
    <w:rsid w:val="00606055"/>
    <w:rsid w:val="00613534"/>
    <w:rsid w:val="00622D25"/>
    <w:rsid w:val="00623294"/>
    <w:rsid w:val="00637C18"/>
    <w:rsid w:val="00651B7C"/>
    <w:rsid w:val="00673EE4"/>
    <w:rsid w:val="00681D6B"/>
    <w:rsid w:val="006A3005"/>
    <w:rsid w:val="006A7130"/>
    <w:rsid w:val="006D207E"/>
    <w:rsid w:val="006F1228"/>
    <w:rsid w:val="007216BC"/>
    <w:rsid w:val="00741A53"/>
    <w:rsid w:val="007421B3"/>
    <w:rsid w:val="00757466"/>
    <w:rsid w:val="00767950"/>
    <w:rsid w:val="00796804"/>
    <w:rsid w:val="007B03E0"/>
    <w:rsid w:val="007C784F"/>
    <w:rsid w:val="007E3DA3"/>
    <w:rsid w:val="00814016"/>
    <w:rsid w:val="0083673A"/>
    <w:rsid w:val="00837160"/>
    <w:rsid w:val="00845D6B"/>
    <w:rsid w:val="008516BD"/>
    <w:rsid w:val="00864622"/>
    <w:rsid w:val="008818D9"/>
    <w:rsid w:val="008848F7"/>
    <w:rsid w:val="008B4C46"/>
    <w:rsid w:val="008E24D9"/>
    <w:rsid w:val="008E41DB"/>
    <w:rsid w:val="008E43D4"/>
    <w:rsid w:val="008F615A"/>
    <w:rsid w:val="00900BE1"/>
    <w:rsid w:val="00903FAE"/>
    <w:rsid w:val="009461D7"/>
    <w:rsid w:val="00972F1D"/>
    <w:rsid w:val="0099217C"/>
    <w:rsid w:val="009C7C63"/>
    <w:rsid w:val="009E1234"/>
    <w:rsid w:val="00A170D1"/>
    <w:rsid w:val="00A348A0"/>
    <w:rsid w:val="00A5425D"/>
    <w:rsid w:val="00A733E0"/>
    <w:rsid w:val="00A84054"/>
    <w:rsid w:val="00AD5FAD"/>
    <w:rsid w:val="00AD75ED"/>
    <w:rsid w:val="00AE209C"/>
    <w:rsid w:val="00AF2C83"/>
    <w:rsid w:val="00AF3A7A"/>
    <w:rsid w:val="00B5468E"/>
    <w:rsid w:val="00B677FA"/>
    <w:rsid w:val="00B731B0"/>
    <w:rsid w:val="00B90508"/>
    <w:rsid w:val="00B954B3"/>
    <w:rsid w:val="00B95BE9"/>
    <w:rsid w:val="00BA3A72"/>
    <w:rsid w:val="00BA6925"/>
    <w:rsid w:val="00C32ABB"/>
    <w:rsid w:val="00C41FB3"/>
    <w:rsid w:val="00C445A8"/>
    <w:rsid w:val="00C86C30"/>
    <w:rsid w:val="00CC0B13"/>
    <w:rsid w:val="00CD53E4"/>
    <w:rsid w:val="00CF7F99"/>
    <w:rsid w:val="00D06A2A"/>
    <w:rsid w:val="00D07B12"/>
    <w:rsid w:val="00D31629"/>
    <w:rsid w:val="00D42D2C"/>
    <w:rsid w:val="00D52376"/>
    <w:rsid w:val="00DD727A"/>
    <w:rsid w:val="00DE781E"/>
    <w:rsid w:val="00DF2991"/>
    <w:rsid w:val="00DF4D3C"/>
    <w:rsid w:val="00E14B92"/>
    <w:rsid w:val="00E1676D"/>
    <w:rsid w:val="00E26740"/>
    <w:rsid w:val="00E2697A"/>
    <w:rsid w:val="00E301DD"/>
    <w:rsid w:val="00E31A2A"/>
    <w:rsid w:val="00E35C85"/>
    <w:rsid w:val="00E36373"/>
    <w:rsid w:val="00E403F2"/>
    <w:rsid w:val="00E4683E"/>
    <w:rsid w:val="00E46B37"/>
    <w:rsid w:val="00E81B9B"/>
    <w:rsid w:val="00E87EDA"/>
    <w:rsid w:val="00E93EE2"/>
    <w:rsid w:val="00E975DF"/>
    <w:rsid w:val="00EA745D"/>
    <w:rsid w:val="00EB316D"/>
    <w:rsid w:val="00EC4AFD"/>
    <w:rsid w:val="00ED56DF"/>
    <w:rsid w:val="00EE5EC9"/>
    <w:rsid w:val="00F02579"/>
    <w:rsid w:val="00F06C5C"/>
    <w:rsid w:val="00F118A2"/>
    <w:rsid w:val="00F231EF"/>
    <w:rsid w:val="00F3081E"/>
    <w:rsid w:val="00F4155E"/>
    <w:rsid w:val="00F42D05"/>
    <w:rsid w:val="00F54BF0"/>
    <w:rsid w:val="00F559C9"/>
    <w:rsid w:val="00F80FB1"/>
    <w:rsid w:val="00F87309"/>
    <w:rsid w:val="00F968F7"/>
    <w:rsid w:val="00FB5259"/>
    <w:rsid w:val="00FB72CA"/>
    <w:rsid w:val="00FC52C7"/>
    <w:rsid w:val="00FE4E97"/>
    <w:rsid w:val="00FF558B"/>
    <w:rsid w:val="00FF75B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CB1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semiHidden/>
    <w:unhideWhenUsed/>
    <w:rsid w:val="00673EE4"/>
    <w:rPr>
      <w:sz w:val="16"/>
      <w:szCs w:val="16"/>
    </w:rPr>
  </w:style>
  <w:style w:type="paragraph" w:styleId="Komentarotekstas">
    <w:name w:val="annotation text"/>
    <w:basedOn w:val="prastasis"/>
    <w:link w:val="KomentarotekstasDiagrama"/>
    <w:unhideWhenUsed/>
    <w:rsid w:val="00673EE4"/>
    <w:rPr>
      <w:sz w:val="20"/>
    </w:rPr>
  </w:style>
  <w:style w:type="character" w:customStyle="1" w:styleId="KomentarotekstasDiagrama">
    <w:name w:val="Komentaro tekstas Diagrama"/>
    <w:basedOn w:val="Numatytasispastraiposriftas"/>
    <w:link w:val="Komentarotekstas"/>
    <w:rsid w:val="00673EE4"/>
    <w:rPr>
      <w:sz w:val="20"/>
    </w:rPr>
  </w:style>
  <w:style w:type="paragraph" w:styleId="Komentarotema">
    <w:name w:val="annotation subject"/>
    <w:basedOn w:val="Komentarotekstas"/>
    <w:next w:val="Komentarotekstas"/>
    <w:link w:val="KomentarotemaDiagrama"/>
    <w:semiHidden/>
    <w:unhideWhenUsed/>
    <w:rsid w:val="00673EE4"/>
    <w:rPr>
      <w:b/>
      <w:bCs/>
    </w:rPr>
  </w:style>
  <w:style w:type="character" w:customStyle="1" w:styleId="KomentarotemaDiagrama">
    <w:name w:val="Komentaro tema Diagrama"/>
    <w:basedOn w:val="KomentarotekstasDiagrama"/>
    <w:link w:val="Komentarotema"/>
    <w:semiHidden/>
    <w:rsid w:val="00673EE4"/>
    <w:rPr>
      <w:b/>
      <w:bCs/>
      <w:sz w:val="20"/>
    </w:rPr>
  </w:style>
  <w:style w:type="table" w:styleId="Lentelstinklelis">
    <w:name w:val="Table Grid"/>
    <w:basedOn w:val="prastojilentel"/>
    <w:rsid w:val="001C1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15428F"/>
    <w:pPr>
      <w:ind w:left="720"/>
      <w:contextualSpacing/>
    </w:pPr>
  </w:style>
  <w:style w:type="paragraph" w:styleId="Pataisymai">
    <w:name w:val="Revision"/>
    <w:hidden/>
    <w:semiHidden/>
    <w:rsid w:val="00543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1847F946-87B7-458B-A767-0B7131543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1612</Words>
  <Characters>9195</Characters>
  <Application>Microsoft Office Word</Application>
  <DocSecurity>0</DocSecurity>
  <Lines>76</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10786</CharactersWithSpaces>
  <SharedDoc>false</SharedDoc>
  <HyperlinkBase/>
  <HLinks>
    <vt:vector size="6" baseType="variant">
      <vt:variant>
        <vt:i4>7405693</vt:i4>
      </vt:variant>
      <vt:variant>
        <vt:i4>0</vt:i4>
      </vt:variant>
      <vt:variant>
        <vt:i4>0</vt:i4>
      </vt:variant>
      <vt:variant>
        <vt:i4>5</vt:i4>
      </vt:variant>
      <vt:variant>
        <vt:lpwstr>http://www.teismai.lt/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2022-12-14T14:10:00Z</dcterms:created>
  <dcterms:modified xsi:type="dcterms:W3CDTF">2022-12-19T11:48:00Z</dcterms:modified>
</cp:coreProperties>
</file>