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33DF5" w14:textId="28083E7A" w:rsidR="005A4FA8" w:rsidRPr="006A7C44" w:rsidRDefault="00276042" w:rsidP="00034622">
      <w:pPr>
        <w:keepNext/>
        <w:ind w:firstLine="851"/>
        <w:jc w:val="center"/>
        <w:rPr>
          <w:b/>
          <w:szCs w:val="24"/>
        </w:rPr>
      </w:pPr>
      <w:r>
        <w:rPr>
          <w:noProof/>
        </w:rPr>
        <w:drawing>
          <wp:inline distT="0" distB="0" distL="0" distR="0" wp14:anchorId="6BD0AF39" wp14:editId="24107FEC">
            <wp:extent cx="733425" cy="762000"/>
            <wp:effectExtent l="0" t="0" r="9525" b="0"/>
            <wp:docPr id="33501083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67EC8ED5" w14:textId="77777777" w:rsidR="0008049A" w:rsidRPr="006A7C44" w:rsidRDefault="007D5698" w:rsidP="00034622">
      <w:pPr>
        <w:keepNext/>
        <w:ind w:firstLine="851"/>
        <w:jc w:val="center"/>
        <w:rPr>
          <w:b/>
          <w:caps/>
          <w:szCs w:val="24"/>
        </w:rPr>
      </w:pPr>
      <w:r w:rsidRPr="003E5437">
        <w:rPr>
          <w:b/>
          <w:caps/>
          <w:szCs w:val="24"/>
        </w:rPr>
        <w:t>TEISĖJŲ TARYBA</w:t>
      </w:r>
    </w:p>
    <w:p w14:paraId="79306F5F" w14:textId="77777777" w:rsidR="0008049A" w:rsidRPr="006A7C44" w:rsidRDefault="0008049A" w:rsidP="00034622">
      <w:pPr>
        <w:keepNext/>
        <w:ind w:firstLine="851"/>
        <w:jc w:val="center"/>
        <w:rPr>
          <w:b/>
          <w:caps/>
          <w:szCs w:val="24"/>
        </w:rPr>
      </w:pPr>
    </w:p>
    <w:p w14:paraId="522D823A" w14:textId="77777777" w:rsidR="0008049A" w:rsidRPr="006A7C44" w:rsidRDefault="007D5698" w:rsidP="00034622">
      <w:pPr>
        <w:keepNext/>
        <w:ind w:firstLine="851"/>
        <w:jc w:val="center"/>
        <w:rPr>
          <w:b/>
          <w:caps/>
          <w:szCs w:val="24"/>
        </w:rPr>
      </w:pPr>
      <w:r w:rsidRPr="006A7C44">
        <w:rPr>
          <w:b/>
          <w:caps/>
          <w:szCs w:val="24"/>
        </w:rPr>
        <w:t>NUTARIMAS</w:t>
      </w:r>
    </w:p>
    <w:p w14:paraId="36E9C882" w14:textId="77777777" w:rsidR="0008049A" w:rsidRPr="006A7C44" w:rsidRDefault="007D5698" w:rsidP="00034622">
      <w:pPr>
        <w:ind w:firstLine="851"/>
        <w:jc w:val="center"/>
        <w:rPr>
          <w:b/>
          <w:szCs w:val="24"/>
        </w:rPr>
      </w:pPr>
      <w:bookmarkStart w:id="0" w:name="_Hlk31014389"/>
      <w:r w:rsidRPr="006A7C44">
        <w:rPr>
          <w:b/>
          <w:caps/>
          <w:szCs w:val="24"/>
        </w:rPr>
        <w:t>dėl TEISĖJŲ TARYBOS 2015 m. gruodžio 18 d. nutarim</w:t>
      </w:r>
      <w:r w:rsidR="00851ED0" w:rsidRPr="006A7C44">
        <w:rPr>
          <w:b/>
          <w:caps/>
          <w:szCs w:val="24"/>
        </w:rPr>
        <w:t>o</w:t>
      </w:r>
      <w:r w:rsidRPr="006A7C44">
        <w:rPr>
          <w:b/>
          <w:caps/>
          <w:szCs w:val="24"/>
        </w:rPr>
        <w:t xml:space="preserve"> Nr. 13P-157-(7.1.2) „Dėl Administravimo teismuose nuostatų patvirtinimo“ </w:t>
      </w:r>
      <w:r w:rsidRPr="006A7C44">
        <w:rPr>
          <w:b/>
          <w:szCs w:val="24"/>
        </w:rPr>
        <w:t>PAKEITIMO</w:t>
      </w:r>
    </w:p>
    <w:bookmarkEnd w:id="0"/>
    <w:p w14:paraId="41BDEA1C" w14:textId="77777777" w:rsidR="0008049A" w:rsidRPr="003E5437" w:rsidRDefault="0008049A" w:rsidP="00034622">
      <w:pPr>
        <w:ind w:firstLine="851"/>
        <w:jc w:val="center"/>
        <w:rPr>
          <w:bCs/>
          <w:szCs w:val="24"/>
        </w:rPr>
      </w:pPr>
    </w:p>
    <w:p w14:paraId="2DCB0792" w14:textId="12E9C839" w:rsidR="0008049A" w:rsidRPr="006A7C44" w:rsidRDefault="007D5698" w:rsidP="00034622">
      <w:pPr>
        <w:ind w:firstLine="851"/>
        <w:jc w:val="center"/>
        <w:rPr>
          <w:bCs/>
          <w:szCs w:val="24"/>
        </w:rPr>
      </w:pPr>
      <w:r w:rsidRPr="006A7C44">
        <w:rPr>
          <w:bCs/>
          <w:szCs w:val="24"/>
        </w:rPr>
        <w:t>20</w:t>
      </w:r>
      <w:r w:rsidR="004F0062" w:rsidRPr="006A7C44">
        <w:rPr>
          <w:bCs/>
          <w:szCs w:val="24"/>
        </w:rPr>
        <w:t>2</w:t>
      </w:r>
      <w:r w:rsidR="001D1B4F">
        <w:rPr>
          <w:bCs/>
          <w:szCs w:val="24"/>
        </w:rPr>
        <w:t>3</w:t>
      </w:r>
      <w:r w:rsidRPr="006A7C44">
        <w:rPr>
          <w:bCs/>
          <w:szCs w:val="24"/>
        </w:rPr>
        <w:t xml:space="preserve"> m</w:t>
      </w:r>
      <w:r w:rsidR="005A4FA8" w:rsidRPr="006A7C44">
        <w:rPr>
          <w:bCs/>
          <w:szCs w:val="24"/>
        </w:rPr>
        <w:t xml:space="preserve">. </w:t>
      </w:r>
      <w:r w:rsidR="00276042">
        <w:rPr>
          <w:bCs/>
          <w:szCs w:val="24"/>
        </w:rPr>
        <w:t>kovo 31</w:t>
      </w:r>
      <w:r w:rsidR="00741205">
        <w:rPr>
          <w:bCs/>
          <w:szCs w:val="24"/>
        </w:rPr>
        <w:t xml:space="preserve"> </w:t>
      </w:r>
      <w:r w:rsidR="005A4FA8" w:rsidRPr="006A7C44">
        <w:rPr>
          <w:bCs/>
          <w:szCs w:val="24"/>
        </w:rPr>
        <w:t>d. Nr. 13P-</w:t>
      </w:r>
      <w:r w:rsidR="007B1102">
        <w:rPr>
          <w:bCs/>
          <w:szCs w:val="24"/>
        </w:rPr>
        <w:t>59</w:t>
      </w:r>
      <w:r w:rsidRPr="006A7C44">
        <w:rPr>
          <w:bCs/>
          <w:szCs w:val="24"/>
        </w:rPr>
        <w:t>-(7.1.2</w:t>
      </w:r>
      <w:r w:rsidR="00276042">
        <w:rPr>
          <w:bCs/>
          <w:szCs w:val="24"/>
        </w:rPr>
        <w:t>.</w:t>
      </w:r>
      <w:r w:rsidRPr="006A7C44">
        <w:rPr>
          <w:bCs/>
          <w:szCs w:val="24"/>
        </w:rPr>
        <w:t>)</w:t>
      </w:r>
    </w:p>
    <w:p w14:paraId="60EE25E2" w14:textId="77777777" w:rsidR="0008049A" w:rsidRPr="006A7C44" w:rsidRDefault="007D5698" w:rsidP="00034622">
      <w:pPr>
        <w:ind w:firstLine="851"/>
        <w:jc w:val="center"/>
        <w:rPr>
          <w:bCs/>
          <w:szCs w:val="24"/>
        </w:rPr>
      </w:pPr>
      <w:r w:rsidRPr="006A7C44">
        <w:rPr>
          <w:bCs/>
          <w:szCs w:val="24"/>
        </w:rPr>
        <w:t>Vilnius</w:t>
      </w:r>
    </w:p>
    <w:p w14:paraId="3CC757FA" w14:textId="4B421322" w:rsidR="00351CAE" w:rsidRPr="00B467E2" w:rsidRDefault="003E5437" w:rsidP="00166023">
      <w:pPr>
        <w:pStyle w:val="pf0"/>
        <w:ind w:firstLine="680"/>
        <w:jc w:val="both"/>
        <w:rPr>
          <w:bCs/>
        </w:rPr>
      </w:pPr>
      <w:r w:rsidRPr="00B467E2">
        <w:rPr>
          <w:bCs/>
        </w:rPr>
        <w:t>Vadovaudamasi Lietuvos Respublikos teismų įstatymo 102 straipsnio 3 dalimi, 120</w:t>
      </w:r>
      <w:r w:rsidRPr="00B467E2">
        <w:rPr>
          <w:bCs/>
          <w:vertAlign w:val="superscript"/>
        </w:rPr>
        <w:t xml:space="preserve"> </w:t>
      </w:r>
      <w:r w:rsidRPr="00B467E2">
        <w:rPr>
          <w:bCs/>
        </w:rPr>
        <w:t>straipsnio 17 punktu</w:t>
      </w:r>
      <w:r w:rsidR="009B330C" w:rsidRPr="00B467E2">
        <w:rPr>
          <w:bCs/>
        </w:rPr>
        <w:t>,</w:t>
      </w:r>
      <w:r w:rsidR="00166023" w:rsidRPr="00B467E2">
        <w:rPr>
          <w:rStyle w:val="DebesliotekstasDiagrama"/>
          <w:rFonts w:ascii="Times New Roman" w:hAnsi="Times New Roman" w:cs="Times New Roman"/>
          <w:bCs/>
          <w:sz w:val="24"/>
          <w:szCs w:val="24"/>
        </w:rPr>
        <w:t xml:space="preserve"> </w:t>
      </w:r>
      <w:r w:rsidR="00166023" w:rsidRPr="00B467E2">
        <w:rPr>
          <w:rStyle w:val="cf01"/>
          <w:rFonts w:ascii="Times New Roman" w:hAnsi="Times New Roman" w:cs="Times New Roman"/>
          <w:bCs/>
          <w:color w:val="auto"/>
          <w:sz w:val="24"/>
          <w:szCs w:val="24"/>
        </w:rPr>
        <w:t>Lietuvos Respublikos baudžiamojo proceso kodekso papildymo 229</w:t>
      </w:r>
      <w:r w:rsidR="00166023" w:rsidRPr="00B467E2">
        <w:rPr>
          <w:rStyle w:val="cf01"/>
          <w:rFonts w:ascii="Times New Roman" w:hAnsi="Times New Roman" w:cs="Times New Roman"/>
          <w:bCs/>
          <w:color w:val="auto"/>
          <w:sz w:val="24"/>
          <w:szCs w:val="24"/>
          <w:vertAlign w:val="superscript"/>
        </w:rPr>
        <w:t>1</w:t>
      </w:r>
      <w:r w:rsidR="00166023" w:rsidRPr="00B467E2">
        <w:rPr>
          <w:rStyle w:val="cf01"/>
          <w:rFonts w:ascii="Times New Roman" w:hAnsi="Times New Roman" w:cs="Times New Roman"/>
          <w:bCs/>
          <w:color w:val="auto"/>
          <w:sz w:val="24"/>
          <w:szCs w:val="24"/>
        </w:rPr>
        <w:t xml:space="preserve"> straipsniu įstatymo Nr. </w:t>
      </w:r>
      <w:r w:rsidR="00166023" w:rsidRPr="00B467E2">
        <w:rPr>
          <w:rStyle w:val="cf11"/>
          <w:rFonts w:ascii="Times New Roman" w:hAnsi="Times New Roman" w:cs="Times New Roman"/>
          <w:bCs/>
          <w:sz w:val="24"/>
          <w:szCs w:val="24"/>
        </w:rPr>
        <w:t>XIV-1750</w:t>
      </w:r>
      <w:r w:rsidR="00166023" w:rsidRPr="00B467E2">
        <w:rPr>
          <w:rStyle w:val="cf01"/>
          <w:rFonts w:ascii="Times New Roman" w:hAnsi="Times New Roman" w:cs="Times New Roman"/>
          <w:bCs/>
          <w:color w:val="auto"/>
          <w:sz w:val="24"/>
          <w:szCs w:val="24"/>
        </w:rPr>
        <w:t xml:space="preserve"> 2 straipsnio 2 dalimi, </w:t>
      </w:r>
      <w:r w:rsidR="006123C7" w:rsidRPr="00B467E2">
        <w:rPr>
          <w:bCs/>
        </w:rPr>
        <w:t>Lietuvos Respublikos baudžiamojo proceso kodekso 229</w:t>
      </w:r>
      <w:r w:rsidR="006123C7" w:rsidRPr="00B467E2">
        <w:rPr>
          <w:bCs/>
          <w:vertAlign w:val="superscript"/>
        </w:rPr>
        <w:t>1</w:t>
      </w:r>
      <w:r w:rsidR="006123C7" w:rsidRPr="00B467E2">
        <w:rPr>
          <w:bCs/>
        </w:rPr>
        <w:t xml:space="preserve"> straipsnio </w:t>
      </w:r>
      <w:r w:rsidR="00CA652C" w:rsidRPr="00B467E2">
        <w:rPr>
          <w:bCs/>
        </w:rPr>
        <w:t>8 dal</w:t>
      </w:r>
      <w:r w:rsidR="00166023" w:rsidRPr="00B467E2">
        <w:rPr>
          <w:bCs/>
        </w:rPr>
        <w:t xml:space="preserve">imi </w:t>
      </w:r>
      <w:r w:rsidR="009B330C" w:rsidRPr="00B467E2">
        <w:rPr>
          <w:bCs/>
        </w:rPr>
        <w:t xml:space="preserve">ir atsižvelgdama į </w:t>
      </w:r>
      <w:r w:rsidR="00166023" w:rsidRPr="00B467E2">
        <w:rPr>
          <w:bCs/>
        </w:rPr>
        <w:t xml:space="preserve">Lietuvos Respublikos civilinio proceso kodekso </w:t>
      </w:r>
      <w:r w:rsidR="009B330C" w:rsidRPr="00B467E2">
        <w:rPr>
          <w:bCs/>
        </w:rPr>
        <w:t>62</w:t>
      </w:r>
      <w:r w:rsidR="009B330C" w:rsidRPr="00B467E2">
        <w:rPr>
          <w:bCs/>
          <w:vertAlign w:val="superscript"/>
        </w:rPr>
        <w:t>1</w:t>
      </w:r>
      <w:r w:rsidR="009B330C" w:rsidRPr="00B467E2">
        <w:rPr>
          <w:bCs/>
        </w:rPr>
        <w:t xml:space="preserve"> str</w:t>
      </w:r>
      <w:r w:rsidR="00166023" w:rsidRPr="00B467E2">
        <w:rPr>
          <w:bCs/>
        </w:rPr>
        <w:t xml:space="preserve">aipsnį, </w:t>
      </w:r>
      <w:r w:rsidRPr="00B467E2">
        <w:rPr>
          <w:bCs/>
        </w:rPr>
        <w:t xml:space="preserve">Teisėjų taryba </w:t>
      </w:r>
      <w:r w:rsidRPr="00B467E2">
        <w:rPr>
          <w:bCs/>
          <w:spacing w:val="40"/>
        </w:rPr>
        <w:t>nutari</w:t>
      </w:r>
      <w:r w:rsidRPr="00B467E2">
        <w:rPr>
          <w:bCs/>
        </w:rPr>
        <w:t>a:</w:t>
      </w:r>
    </w:p>
    <w:p w14:paraId="4C0F5777" w14:textId="514CE952" w:rsidR="003E5437" w:rsidRPr="00B467E2" w:rsidRDefault="003E5437" w:rsidP="00351CAE">
      <w:pPr>
        <w:ind w:firstLine="680"/>
        <w:jc w:val="both"/>
        <w:rPr>
          <w:bCs/>
          <w:szCs w:val="24"/>
        </w:rPr>
      </w:pPr>
      <w:r w:rsidRPr="00B467E2">
        <w:rPr>
          <w:bCs/>
          <w:szCs w:val="24"/>
        </w:rPr>
        <w:t>Pakeisti Administravimo teismuose nuostatus, patvirtintus Teisėjų tarybos 2015 m. gruodžio 18 d. nutarimu Nr. 13P-157-(7.1.2) „Dėl Administravimo teismuose nuostatų patvirtinimo“:</w:t>
      </w:r>
    </w:p>
    <w:p w14:paraId="6DD4AE67" w14:textId="2331168B" w:rsidR="00DF5381" w:rsidRDefault="00351CAE" w:rsidP="00DF0209">
      <w:pPr>
        <w:ind w:left="680"/>
        <w:jc w:val="both"/>
        <w:rPr>
          <w:bCs/>
          <w:szCs w:val="24"/>
          <w:lang w:eastAsia="lt-LT"/>
        </w:rPr>
      </w:pPr>
      <w:bookmarkStart w:id="1" w:name="_Hlk129793833"/>
      <w:r w:rsidRPr="00B467E2">
        <w:rPr>
          <w:bCs/>
          <w:szCs w:val="24"/>
          <w:lang w:eastAsia="lt-LT"/>
        </w:rPr>
        <w:t>1.</w:t>
      </w:r>
      <w:r w:rsidR="00FD0C74">
        <w:rPr>
          <w:bCs/>
          <w:szCs w:val="24"/>
          <w:lang w:eastAsia="lt-LT"/>
        </w:rPr>
        <w:t xml:space="preserve"> </w:t>
      </w:r>
      <w:r w:rsidR="00DF5381">
        <w:rPr>
          <w:bCs/>
          <w:szCs w:val="24"/>
          <w:lang w:eastAsia="lt-LT"/>
        </w:rPr>
        <w:t>Pakeisti 14.5 papunktį ir jį išdėstyti taip:</w:t>
      </w:r>
    </w:p>
    <w:p w14:paraId="74FD493C" w14:textId="5EEE6BAB" w:rsidR="00DF5381" w:rsidRDefault="00DF5381" w:rsidP="0067068E">
      <w:pPr>
        <w:ind w:firstLine="680"/>
        <w:jc w:val="both"/>
        <w:rPr>
          <w:bCs/>
          <w:szCs w:val="24"/>
          <w:lang w:eastAsia="lt-LT"/>
        </w:rPr>
      </w:pPr>
      <w:r>
        <w:rPr>
          <w:bCs/>
          <w:szCs w:val="24"/>
          <w:lang w:eastAsia="lt-LT"/>
        </w:rPr>
        <w:t>„</w:t>
      </w:r>
      <w:r w:rsidRPr="00DF5381">
        <w:rPr>
          <w:bCs/>
          <w:szCs w:val="24"/>
          <w:lang w:eastAsia="lt-LT"/>
        </w:rPr>
        <w:t>14.5. teisėjų, teisėjų padėjėjų darbo krūvių analizė ir vertinimas, ar tarp teismų (teismo rūmų) nėra esminio darbo krūvio skirtumo, dėl kurio turėtų būti taikomos Lietuvos Respublikos civilinio proceso kodekse, Lietuvos Respublikos baudžiamojo proceso kodekse ar Lietuvos Respublikos teismų įstatyme numatytos priemonės, esant būtinumui, kitų priemonių darbo krūviams koreguoti taikymas</w:t>
      </w:r>
      <w:r>
        <w:rPr>
          <w:bCs/>
          <w:szCs w:val="24"/>
          <w:lang w:eastAsia="lt-LT"/>
        </w:rPr>
        <w:t>;“.</w:t>
      </w:r>
    </w:p>
    <w:bookmarkEnd w:id="1"/>
    <w:p w14:paraId="5F7883BD" w14:textId="3915B46C" w:rsidR="00DF5381" w:rsidRDefault="00DF5381" w:rsidP="00DF5381">
      <w:pPr>
        <w:ind w:left="680"/>
        <w:jc w:val="both"/>
        <w:rPr>
          <w:bCs/>
          <w:szCs w:val="24"/>
          <w:lang w:eastAsia="lt-LT"/>
        </w:rPr>
      </w:pPr>
      <w:r>
        <w:rPr>
          <w:bCs/>
          <w:szCs w:val="24"/>
          <w:lang w:eastAsia="lt-LT"/>
        </w:rPr>
        <w:t>2. Pakeisti 14.</w:t>
      </w:r>
      <w:r w:rsidR="00665792">
        <w:rPr>
          <w:bCs/>
          <w:szCs w:val="24"/>
          <w:lang w:eastAsia="lt-LT"/>
        </w:rPr>
        <w:t>8</w:t>
      </w:r>
      <w:r>
        <w:rPr>
          <w:bCs/>
          <w:szCs w:val="24"/>
          <w:lang w:eastAsia="lt-LT"/>
        </w:rPr>
        <w:t xml:space="preserve"> papunktį ir jį išdėstyti taip:</w:t>
      </w:r>
    </w:p>
    <w:p w14:paraId="23187F23" w14:textId="266E2B3F" w:rsidR="00665792" w:rsidRDefault="00DF5381" w:rsidP="00665792">
      <w:pPr>
        <w:ind w:firstLine="680"/>
        <w:jc w:val="both"/>
        <w:rPr>
          <w:bCs/>
          <w:szCs w:val="24"/>
          <w:lang w:eastAsia="lt-LT"/>
        </w:rPr>
      </w:pPr>
      <w:r>
        <w:rPr>
          <w:bCs/>
          <w:szCs w:val="24"/>
          <w:lang w:eastAsia="lt-LT"/>
        </w:rPr>
        <w:t>„</w:t>
      </w:r>
      <w:r w:rsidRPr="00DF5381">
        <w:rPr>
          <w:bCs/>
          <w:szCs w:val="24"/>
          <w:lang w:eastAsia="lt-LT"/>
        </w:rPr>
        <w:t>14.</w:t>
      </w:r>
      <w:r w:rsidR="00665792">
        <w:rPr>
          <w:bCs/>
          <w:szCs w:val="24"/>
          <w:lang w:eastAsia="lt-LT"/>
        </w:rPr>
        <w:t>8</w:t>
      </w:r>
      <w:r w:rsidRPr="00DF5381">
        <w:rPr>
          <w:bCs/>
          <w:szCs w:val="24"/>
          <w:lang w:eastAsia="lt-LT"/>
        </w:rPr>
        <w:t>. proceso spartinimo priemonių taikymas, teismo posėdžių didelės apimties ir sudėtingose bylose, taip pat bylose, kurių nagrinėjimas užsitęsė ar gali užsitęsti</w:t>
      </w:r>
      <w:r w:rsidR="00266E70">
        <w:rPr>
          <w:bCs/>
          <w:szCs w:val="24"/>
          <w:lang w:eastAsia="lt-LT"/>
        </w:rPr>
        <w:t>,</w:t>
      </w:r>
      <w:r w:rsidRPr="00DF5381">
        <w:rPr>
          <w:bCs/>
          <w:szCs w:val="24"/>
          <w:lang w:eastAsia="lt-LT"/>
        </w:rPr>
        <w:t xml:space="preserve"> koordinavimas, tokių priemonių praktinio taikymo analizė ir gerosios praktikos sklaida</w:t>
      </w:r>
      <w:r>
        <w:rPr>
          <w:bCs/>
          <w:szCs w:val="24"/>
          <w:lang w:eastAsia="lt-LT"/>
        </w:rPr>
        <w:t>;“.</w:t>
      </w:r>
    </w:p>
    <w:p w14:paraId="7C820875" w14:textId="0DF8409B" w:rsidR="00DF5381" w:rsidRDefault="00142690" w:rsidP="00DF5381">
      <w:pPr>
        <w:ind w:left="680"/>
        <w:jc w:val="both"/>
        <w:rPr>
          <w:bCs/>
          <w:szCs w:val="24"/>
          <w:lang w:eastAsia="lt-LT"/>
        </w:rPr>
      </w:pPr>
      <w:bookmarkStart w:id="2" w:name="_Hlk129794298"/>
      <w:r>
        <w:rPr>
          <w:bCs/>
          <w:szCs w:val="24"/>
          <w:lang w:eastAsia="lt-LT"/>
        </w:rPr>
        <w:t>3</w:t>
      </w:r>
      <w:r w:rsidR="00DF5381">
        <w:rPr>
          <w:bCs/>
          <w:szCs w:val="24"/>
          <w:lang w:eastAsia="lt-LT"/>
        </w:rPr>
        <w:t>. Pakeisti 14.9 papunktį ir jį išdėstyti taip:</w:t>
      </w:r>
    </w:p>
    <w:p w14:paraId="6655B09D" w14:textId="4B2378BC" w:rsidR="00DF5381" w:rsidRPr="0067068E" w:rsidRDefault="00DF5381" w:rsidP="0067068E">
      <w:pPr>
        <w:tabs>
          <w:tab w:val="left" w:pos="709"/>
        </w:tabs>
        <w:jc w:val="both"/>
        <w:rPr>
          <w:szCs w:val="24"/>
          <w:lang w:eastAsia="lt-LT"/>
        </w:rPr>
      </w:pPr>
      <w:r>
        <w:rPr>
          <w:szCs w:val="24"/>
          <w:lang w:eastAsia="lt-LT"/>
        </w:rPr>
        <w:tab/>
        <w:t>„</w:t>
      </w:r>
      <w:r w:rsidRPr="0067068E">
        <w:rPr>
          <w:szCs w:val="24"/>
          <w:lang w:eastAsia="lt-LT"/>
        </w:rPr>
        <w:t>14.9</w:t>
      </w:r>
      <w:r w:rsidRPr="00DF5381">
        <w:rPr>
          <w:szCs w:val="24"/>
          <w:lang w:eastAsia="lt-LT"/>
        </w:rPr>
        <w:t>.</w:t>
      </w:r>
      <w:r>
        <w:rPr>
          <w:szCs w:val="24"/>
          <w:lang w:eastAsia="lt-LT"/>
        </w:rPr>
        <w:t xml:space="preserve"> teisės į </w:t>
      </w:r>
      <w:r w:rsidRPr="00DD50D0">
        <w:rPr>
          <w:szCs w:val="24"/>
          <w:lang w:eastAsia="lt-LT"/>
        </w:rPr>
        <w:t xml:space="preserve">teisingą teismą pažeidimų, </w:t>
      </w:r>
      <w:r w:rsidRPr="0067068E">
        <w:rPr>
          <w:szCs w:val="24"/>
          <w:lang w:eastAsia="lt-LT"/>
        </w:rPr>
        <w:t>esminių proceso teisės pažeidimų ir</w:t>
      </w:r>
      <w:r w:rsidRPr="00DD50D0">
        <w:rPr>
          <w:szCs w:val="24"/>
          <w:lang w:eastAsia="lt-LT"/>
        </w:rPr>
        <w:t xml:space="preserve"> absoliučių sprendimų negaliojimo atvejų analizė</w:t>
      </w:r>
      <w:r>
        <w:rPr>
          <w:szCs w:val="24"/>
          <w:lang w:eastAsia="lt-LT"/>
        </w:rPr>
        <w:t>;“.</w:t>
      </w:r>
    </w:p>
    <w:bookmarkEnd w:id="2"/>
    <w:p w14:paraId="5A5DA1F0" w14:textId="4A1A9A81" w:rsidR="003E5437" w:rsidRPr="00B467E2" w:rsidRDefault="00DF5381" w:rsidP="00DF0209">
      <w:pPr>
        <w:ind w:left="680"/>
        <w:jc w:val="both"/>
        <w:rPr>
          <w:bCs/>
          <w:szCs w:val="24"/>
          <w:lang w:eastAsia="lt-LT"/>
        </w:rPr>
      </w:pPr>
      <w:r>
        <w:rPr>
          <w:bCs/>
          <w:szCs w:val="24"/>
          <w:lang w:eastAsia="lt-LT"/>
        </w:rPr>
        <w:t xml:space="preserve">4. </w:t>
      </w:r>
      <w:r w:rsidR="003E5437" w:rsidRPr="00B467E2">
        <w:rPr>
          <w:bCs/>
          <w:szCs w:val="24"/>
          <w:lang w:eastAsia="lt-LT"/>
        </w:rPr>
        <w:t>Pa</w:t>
      </w:r>
      <w:r w:rsidR="006B0385" w:rsidRPr="00B467E2">
        <w:rPr>
          <w:bCs/>
          <w:szCs w:val="24"/>
          <w:lang w:eastAsia="lt-LT"/>
        </w:rPr>
        <w:t xml:space="preserve">pildyti </w:t>
      </w:r>
      <w:r w:rsidR="0022360A" w:rsidRPr="00B467E2">
        <w:rPr>
          <w:bCs/>
          <w:szCs w:val="24"/>
          <w:lang w:eastAsia="lt-LT"/>
        </w:rPr>
        <w:t>I</w:t>
      </w:r>
      <w:r w:rsidR="006B0385" w:rsidRPr="00B467E2">
        <w:rPr>
          <w:bCs/>
          <w:szCs w:val="24"/>
          <w:lang w:eastAsia="lt-LT"/>
        </w:rPr>
        <w:t>V</w:t>
      </w:r>
      <w:r w:rsidR="006B0385" w:rsidRPr="00B467E2">
        <w:rPr>
          <w:bCs/>
          <w:szCs w:val="24"/>
          <w:vertAlign w:val="superscript"/>
          <w:lang w:eastAsia="lt-LT"/>
        </w:rPr>
        <w:t>1</w:t>
      </w:r>
      <w:r w:rsidR="006B0385" w:rsidRPr="00B467E2">
        <w:rPr>
          <w:bCs/>
          <w:szCs w:val="24"/>
          <w:lang w:eastAsia="lt-LT"/>
        </w:rPr>
        <w:t xml:space="preserve"> skyriumi </w:t>
      </w:r>
      <w:r w:rsidR="003E5437" w:rsidRPr="00B467E2">
        <w:rPr>
          <w:bCs/>
          <w:szCs w:val="24"/>
          <w:lang w:eastAsia="lt-LT"/>
        </w:rPr>
        <w:t>ir jį išdėstyti taip:</w:t>
      </w:r>
    </w:p>
    <w:p w14:paraId="11CA2E08" w14:textId="77777777" w:rsidR="00351CAE" w:rsidRPr="00B467E2" w:rsidRDefault="00351CAE" w:rsidP="00351CAE">
      <w:pPr>
        <w:ind w:left="680"/>
        <w:jc w:val="both"/>
        <w:rPr>
          <w:bCs/>
          <w:szCs w:val="24"/>
          <w:lang w:eastAsia="lt-LT"/>
        </w:rPr>
      </w:pPr>
    </w:p>
    <w:p w14:paraId="69524931" w14:textId="77777777" w:rsidR="00B630F2" w:rsidRPr="00B467E2" w:rsidRDefault="003E5437" w:rsidP="00B630F2">
      <w:pPr>
        <w:jc w:val="center"/>
        <w:outlineLvl w:val="4"/>
        <w:rPr>
          <w:b/>
          <w:iCs/>
          <w:szCs w:val="24"/>
        </w:rPr>
      </w:pPr>
      <w:bookmarkStart w:id="3" w:name="_Hlk129794771"/>
      <w:r w:rsidRPr="00B467E2">
        <w:rPr>
          <w:bCs/>
          <w:szCs w:val="24"/>
          <w:lang w:eastAsia="lt-LT"/>
        </w:rPr>
        <w:t>„</w:t>
      </w:r>
      <w:r w:rsidR="00924B4E" w:rsidRPr="00B467E2">
        <w:rPr>
          <w:b/>
          <w:szCs w:val="24"/>
          <w:lang w:eastAsia="lt-LT"/>
        </w:rPr>
        <w:t>I</w:t>
      </w:r>
      <w:r w:rsidR="006B0385" w:rsidRPr="00B467E2">
        <w:rPr>
          <w:b/>
          <w:iCs/>
          <w:szCs w:val="24"/>
        </w:rPr>
        <w:t>V</w:t>
      </w:r>
      <w:r w:rsidR="006B0385" w:rsidRPr="00B467E2">
        <w:rPr>
          <w:b/>
          <w:iCs/>
          <w:szCs w:val="24"/>
          <w:vertAlign w:val="superscript"/>
        </w:rPr>
        <w:t>1</w:t>
      </w:r>
      <w:r w:rsidR="006B0385" w:rsidRPr="00B467E2">
        <w:rPr>
          <w:b/>
          <w:iCs/>
          <w:szCs w:val="24"/>
        </w:rPr>
        <w:t xml:space="preserve"> SKYRIUS</w:t>
      </w:r>
    </w:p>
    <w:p w14:paraId="0FE944E9" w14:textId="14CED118" w:rsidR="00653796" w:rsidRPr="00B467E2" w:rsidRDefault="00282861" w:rsidP="00B630F2">
      <w:pPr>
        <w:jc w:val="center"/>
        <w:outlineLvl w:val="4"/>
        <w:rPr>
          <w:b/>
          <w:iCs/>
          <w:szCs w:val="24"/>
        </w:rPr>
      </w:pPr>
      <w:r w:rsidRPr="00B467E2">
        <w:rPr>
          <w:b/>
          <w:caps/>
        </w:rPr>
        <w:t xml:space="preserve">Duomenų apie teismų darbo krūvį teikimas ir vertinimas, siekiant nustatyti, ar </w:t>
      </w:r>
      <w:r w:rsidR="00B630F2" w:rsidRPr="00B467E2">
        <w:rPr>
          <w:b/>
          <w:caps/>
          <w:color w:val="000000"/>
          <w:szCs w:val="24"/>
          <w:shd w:val="clear" w:color="auto" w:fill="FFFFFF"/>
        </w:rPr>
        <w:t xml:space="preserve">tarp teismų (teismo rūmų) </w:t>
      </w:r>
      <w:r w:rsidRPr="00B467E2">
        <w:rPr>
          <w:b/>
          <w:caps/>
        </w:rPr>
        <w:t xml:space="preserve">nėra </w:t>
      </w:r>
      <w:r w:rsidR="006B3F0D" w:rsidRPr="00B467E2">
        <w:rPr>
          <w:b/>
          <w:caps/>
          <w:color w:val="000000"/>
          <w:szCs w:val="24"/>
          <w:shd w:val="clear" w:color="auto" w:fill="FFFFFF"/>
        </w:rPr>
        <w:t>ESMIN</w:t>
      </w:r>
      <w:r w:rsidRPr="00B467E2">
        <w:rPr>
          <w:b/>
          <w:caps/>
          <w:color w:val="000000"/>
          <w:szCs w:val="24"/>
          <w:shd w:val="clear" w:color="auto" w:fill="FFFFFF"/>
        </w:rPr>
        <w:t>io</w:t>
      </w:r>
      <w:r w:rsidR="00B630F2" w:rsidRPr="00B467E2">
        <w:rPr>
          <w:b/>
          <w:caps/>
          <w:color w:val="000000"/>
          <w:szCs w:val="24"/>
          <w:shd w:val="clear" w:color="auto" w:fill="FFFFFF"/>
        </w:rPr>
        <w:t xml:space="preserve"> </w:t>
      </w:r>
      <w:r w:rsidR="006B3F0D" w:rsidRPr="00B467E2">
        <w:rPr>
          <w:b/>
          <w:caps/>
          <w:color w:val="000000"/>
          <w:szCs w:val="24"/>
          <w:shd w:val="clear" w:color="auto" w:fill="FFFFFF"/>
        </w:rPr>
        <w:t>DARBO KRŪVIO SKIRTUM</w:t>
      </w:r>
      <w:r w:rsidRPr="00B467E2">
        <w:rPr>
          <w:b/>
          <w:caps/>
          <w:color w:val="000000"/>
          <w:szCs w:val="24"/>
          <w:shd w:val="clear" w:color="auto" w:fill="FFFFFF"/>
        </w:rPr>
        <w:t>o</w:t>
      </w:r>
    </w:p>
    <w:p w14:paraId="7CB0D200" w14:textId="77777777" w:rsidR="00653796" w:rsidRPr="00B467E2" w:rsidRDefault="00653796" w:rsidP="006B0385">
      <w:pPr>
        <w:jc w:val="center"/>
        <w:outlineLvl w:val="4"/>
        <w:rPr>
          <w:bCs/>
          <w:iCs/>
          <w:szCs w:val="24"/>
        </w:rPr>
      </w:pPr>
    </w:p>
    <w:p w14:paraId="2DD265C3" w14:textId="6EF2F127" w:rsidR="003C151F" w:rsidRPr="00B467E2" w:rsidRDefault="00DC5E71" w:rsidP="00F45DAF">
      <w:pPr>
        <w:ind w:firstLine="680"/>
        <w:jc w:val="both"/>
        <w:rPr>
          <w:bCs/>
          <w:szCs w:val="24"/>
        </w:rPr>
      </w:pPr>
      <w:r>
        <w:rPr>
          <w:bCs/>
          <w:szCs w:val="24"/>
        </w:rPr>
        <w:t>19</w:t>
      </w:r>
      <w:r>
        <w:rPr>
          <w:bCs/>
          <w:szCs w:val="24"/>
          <w:vertAlign w:val="superscript"/>
        </w:rPr>
        <w:t>1</w:t>
      </w:r>
      <w:r w:rsidR="002C7AC3" w:rsidRPr="00B467E2">
        <w:rPr>
          <w:bCs/>
          <w:szCs w:val="24"/>
        </w:rPr>
        <w:t>.</w:t>
      </w:r>
      <w:r w:rsidR="006B0385" w:rsidRPr="00B467E2">
        <w:rPr>
          <w:bCs/>
          <w:szCs w:val="24"/>
        </w:rPr>
        <w:t xml:space="preserve"> </w:t>
      </w:r>
      <w:r w:rsidR="009B330C" w:rsidRPr="00B467E2">
        <w:rPr>
          <w:bCs/>
          <w:szCs w:val="24"/>
        </w:rPr>
        <w:t>T</w:t>
      </w:r>
      <w:r w:rsidR="006B0385" w:rsidRPr="00B467E2">
        <w:rPr>
          <w:bCs/>
          <w:szCs w:val="24"/>
        </w:rPr>
        <w:t xml:space="preserve">eismų </w:t>
      </w:r>
      <w:r w:rsidR="00520A1B" w:rsidRPr="00B467E2">
        <w:rPr>
          <w:bCs/>
          <w:szCs w:val="24"/>
        </w:rPr>
        <w:t xml:space="preserve">organizacinės ir </w:t>
      </w:r>
      <w:r w:rsidR="006B0385" w:rsidRPr="00B467E2">
        <w:rPr>
          <w:bCs/>
          <w:szCs w:val="24"/>
        </w:rPr>
        <w:t>administracinės veiklos priežiūros subjekta</w:t>
      </w:r>
      <w:r w:rsidR="00520A1B" w:rsidRPr="00B467E2">
        <w:rPr>
          <w:bCs/>
          <w:szCs w:val="24"/>
        </w:rPr>
        <w:t>i</w:t>
      </w:r>
      <w:r w:rsidR="00823017" w:rsidRPr="00B467E2">
        <w:rPr>
          <w:bCs/>
          <w:color w:val="FF0000"/>
          <w:szCs w:val="24"/>
        </w:rPr>
        <w:t xml:space="preserve"> </w:t>
      </w:r>
      <w:r w:rsidR="001D439B" w:rsidRPr="00B467E2">
        <w:rPr>
          <w:bCs/>
          <w:szCs w:val="24"/>
        </w:rPr>
        <w:t>periodiškai (</w:t>
      </w:r>
      <w:r w:rsidR="0063033D" w:rsidRPr="00B467E2">
        <w:rPr>
          <w:bCs/>
          <w:szCs w:val="24"/>
        </w:rPr>
        <w:t>apylinkių teism</w:t>
      </w:r>
      <w:r w:rsidR="00F45DAF" w:rsidRPr="00B467E2">
        <w:rPr>
          <w:bCs/>
          <w:szCs w:val="24"/>
        </w:rPr>
        <w:t xml:space="preserve">ų </w:t>
      </w:r>
      <w:r w:rsidR="0063033D" w:rsidRPr="00B467E2">
        <w:rPr>
          <w:bCs/>
          <w:szCs w:val="24"/>
        </w:rPr>
        <w:t>–</w:t>
      </w:r>
      <w:r w:rsidR="0017674F" w:rsidRPr="00B467E2">
        <w:rPr>
          <w:bCs/>
          <w:szCs w:val="24"/>
        </w:rPr>
        <w:t xml:space="preserve"> </w:t>
      </w:r>
      <w:r w:rsidR="00BC774B" w:rsidRPr="00B467E2">
        <w:rPr>
          <w:bCs/>
          <w:szCs w:val="24"/>
        </w:rPr>
        <w:t xml:space="preserve">už </w:t>
      </w:r>
      <w:r w:rsidR="0063033D" w:rsidRPr="00B467E2">
        <w:rPr>
          <w:bCs/>
          <w:szCs w:val="24"/>
        </w:rPr>
        <w:t>kiekvieną</w:t>
      </w:r>
      <w:r w:rsidR="00520A1B" w:rsidRPr="00B467E2">
        <w:rPr>
          <w:bCs/>
          <w:szCs w:val="24"/>
        </w:rPr>
        <w:t xml:space="preserve"> </w:t>
      </w:r>
      <w:r w:rsidR="00375BDF">
        <w:rPr>
          <w:bCs/>
          <w:szCs w:val="24"/>
        </w:rPr>
        <w:t xml:space="preserve">praėjusį </w:t>
      </w:r>
      <w:r w:rsidR="00471D76" w:rsidRPr="00B467E2">
        <w:rPr>
          <w:bCs/>
          <w:szCs w:val="24"/>
        </w:rPr>
        <w:t xml:space="preserve">kalendorinį </w:t>
      </w:r>
      <w:r w:rsidR="00520A1B" w:rsidRPr="00B467E2">
        <w:rPr>
          <w:bCs/>
          <w:szCs w:val="24"/>
        </w:rPr>
        <w:t>metų ketvirtį,</w:t>
      </w:r>
      <w:r w:rsidR="0063033D" w:rsidRPr="00B467E2">
        <w:rPr>
          <w:bCs/>
          <w:szCs w:val="24"/>
        </w:rPr>
        <w:t xml:space="preserve"> apygardų ir apygardų administracini</w:t>
      </w:r>
      <w:r w:rsidR="00F45DAF" w:rsidRPr="00B467E2">
        <w:rPr>
          <w:bCs/>
          <w:szCs w:val="24"/>
        </w:rPr>
        <w:t>ų</w:t>
      </w:r>
      <w:r w:rsidR="0063033D" w:rsidRPr="00B467E2">
        <w:rPr>
          <w:bCs/>
          <w:szCs w:val="24"/>
        </w:rPr>
        <w:t xml:space="preserve"> teism</w:t>
      </w:r>
      <w:r w:rsidR="00F45DAF" w:rsidRPr="00B467E2">
        <w:rPr>
          <w:bCs/>
          <w:szCs w:val="24"/>
        </w:rPr>
        <w:t>ų</w:t>
      </w:r>
      <w:r w:rsidR="0063033D" w:rsidRPr="00B467E2">
        <w:rPr>
          <w:bCs/>
          <w:szCs w:val="24"/>
        </w:rPr>
        <w:t xml:space="preserve"> – </w:t>
      </w:r>
      <w:r w:rsidR="00BC774B" w:rsidRPr="00B467E2">
        <w:rPr>
          <w:bCs/>
          <w:szCs w:val="24"/>
        </w:rPr>
        <w:t xml:space="preserve">už </w:t>
      </w:r>
      <w:r w:rsidR="0063033D" w:rsidRPr="00B467E2">
        <w:rPr>
          <w:bCs/>
          <w:szCs w:val="24"/>
        </w:rPr>
        <w:t xml:space="preserve">praėjusį </w:t>
      </w:r>
      <w:r w:rsidR="00471D76" w:rsidRPr="00B467E2">
        <w:rPr>
          <w:bCs/>
          <w:szCs w:val="24"/>
        </w:rPr>
        <w:t xml:space="preserve">metų </w:t>
      </w:r>
      <w:r w:rsidR="0063033D" w:rsidRPr="00B467E2">
        <w:rPr>
          <w:bCs/>
          <w:szCs w:val="24"/>
        </w:rPr>
        <w:t>pusmetį</w:t>
      </w:r>
      <w:r w:rsidR="001D439B" w:rsidRPr="00B467E2">
        <w:rPr>
          <w:bCs/>
          <w:szCs w:val="24"/>
        </w:rPr>
        <w:t xml:space="preserve">) vertina, ar </w:t>
      </w:r>
      <w:r w:rsidR="00520A1B" w:rsidRPr="00B467E2">
        <w:rPr>
          <w:bCs/>
          <w:szCs w:val="24"/>
        </w:rPr>
        <w:t xml:space="preserve">tarp teismų (teismo rūmų) </w:t>
      </w:r>
      <w:r w:rsidR="001D439B" w:rsidRPr="00B467E2">
        <w:rPr>
          <w:bCs/>
          <w:szCs w:val="24"/>
        </w:rPr>
        <w:t xml:space="preserve">nėra </w:t>
      </w:r>
      <w:r w:rsidR="00520A1B" w:rsidRPr="00B467E2">
        <w:rPr>
          <w:bCs/>
          <w:szCs w:val="24"/>
        </w:rPr>
        <w:t xml:space="preserve">esminio darbo krūvio skirtumo, </w:t>
      </w:r>
      <w:r w:rsidR="00375BDF">
        <w:rPr>
          <w:bCs/>
          <w:szCs w:val="24"/>
        </w:rPr>
        <w:t>dėl kurio turėtų būti</w:t>
      </w:r>
      <w:r w:rsidR="00520A1B" w:rsidRPr="00B467E2">
        <w:rPr>
          <w:bCs/>
          <w:szCs w:val="24"/>
        </w:rPr>
        <w:t xml:space="preserve"> t</w:t>
      </w:r>
      <w:r w:rsidR="001D439B" w:rsidRPr="00B467E2">
        <w:rPr>
          <w:bCs/>
          <w:szCs w:val="24"/>
        </w:rPr>
        <w:t>aik</w:t>
      </w:r>
      <w:r w:rsidR="00375BDF">
        <w:rPr>
          <w:bCs/>
          <w:szCs w:val="24"/>
        </w:rPr>
        <w:t>omos</w:t>
      </w:r>
      <w:r w:rsidR="001D439B" w:rsidRPr="00B467E2">
        <w:rPr>
          <w:bCs/>
          <w:szCs w:val="24"/>
        </w:rPr>
        <w:t xml:space="preserve"> Lietuvos Respublikos civilinio proceso kodekse</w:t>
      </w:r>
      <w:r w:rsidR="002638B8" w:rsidRPr="00B467E2">
        <w:rPr>
          <w:bCs/>
          <w:szCs w:val="24"/>
        </w:rPr>
        <w:t>,</w:t>
      </w:r>
      <w:r w:rsidR="001D439B" w:rsidRPr="00B467E2">
        <w:rPr>
          <w:bCs/>
          <w:szCs w:val="24"/>
        </w:rPr>
        <w:t xml:space="preserve"> Lietuvos Respublikos baudžiamojo proceso kodekse </w:t>
      </w:r>
      <w:r w:rsidR="002638B8" w:rsidRPr="00B467E2">
        <w:rPr>
          <w:bCs/>
          <w:szCs w:val="24"/>
        </w:rPr>
        <w:t xml:space="preserve">ar Lietuvos Respublikos teismų įstatyme </w:t>
      </w:r>
      <w:r w:rsidR="001D439B" w:rsidRPr="00B467E2">
        <w:rPr>
          <w:bCs/>
          <w:szCs w:val="24"/>
        </w:rPr>
        <w:t>numatyt</w:t>
      </w:r>
      <w:r w:rsidR="00375BDF">
        <w:rPr>
          <w:bCs/>
          <w:szCs w:val="24"/>
        </w:rPr>
        <w:t>o</w:t>
      </w:r>
      <w:r w:rsidR="00520A1B" w:rsidRPr="00B467E2">
        <w:rPr>
          <w:bCs/>
          <w:szCs w:val="24"/>
        </w:rPr>
        <w:t>s</w:t>
      </w:r>
      <w:r w:rsidR="001D439B" w:rsidRPr="00B467E2">
        <w:rPr>
          <w:bCs/>
          <w:szCs w:val="24"/>
        </w:rPr>
        <w:t xml:space="preserve"> priemon</w:t>
      </w:r>
      <w:r w:rsidR="00375BDF">
        <w:rPr>
          <w:bCs/>
          <w:szCs w:val="24"/>
        </w:rPr>
        <w:t>ė</w:t>
      </w:r>
      <w:r w:rsidR="00520A1B" w:rsidRPr="00B467E2">
        <w:rPr>
          <w:bCs/>
          <w:szCs w:val="24"/>
        </w:rPr>
        <w:t>s</w:t>
      </w:r>
      <w:r w:rsidR="001D439B" w:rsidRPr="00B467E2">
        <w:rPr>
          <w:bCs/>
          <w:szCs w:val="24"/>
        </w:rPr>
        <w:t>.</w:t>
      </w:r>
    </w:p>
    <w:p w14:paraId="3E870542" w14:textId="06A96E48" w:rsidR="002638B8" w:rsidRPr="00C44FBD" w:rsidRDefault="00DC5E71" w:rsidP="003B430A">
      <w:pPr>
        <w:ind w:firstLine="680"/>
        <w:jc w:val="both"/>
        <w:rPr>
          <w:bCs/>
          <w:strike/>
          <w:color w:val="FF0000"/>
          <w:szCs w:val="24"/>
        </w:rPr>
      </w:pPr>
      <w:r>
        <w:rPr>
          <w:bCs/>
          <w:szCs w:val="24"/>
        </w:rPr>
        <w:t>19</w:t>
      </w:r>
      <w:r>
        <w:rPr>
          <w:bCs/>
          <w:szCs w:val="24"/>
          <w:vertAlign w:val="superscript"/>
        </w:rPr>
        <w:t>2</w:t>
      </w:r>
      <w:r w:rsidR="00825216" w:rsidRPr="00B467E2">
        <w:rPr>
          <w:bCs/>
          <w:szCs w:val="24"/>
        </w:rPr>
        <w:t xml:space="preserve">. </w:t>
      </w:r>
      <w:r w:rsidR="00823017" w:rsidRPr="00B467E2">
        <w:rPr>
          <w:bCs/>
          <w:szCs w:val="24"/>
        </w:rPr>
        <w:t>V</w:t>
      </w:r>
      <w:r w:rsidR="00ED70E7" w:rsidRPr="00B467E2">
        <w:rPr>
          <w:bCs/>
          <w:szCs w:val="24"/>
        </w:rPr>
        <w:t>ertinimas</w:t>
      </w:r>
      <w:r w:rsidR="00823017" w:rsidRPr="00B467E2">
        <w:rPr>
          <w:bCs/>
          <w:szCs w:val="24"/>
        </w:rPr>
        <w:t xml:space="preserve">, ar tarp teismų (teismo rūmų) nėra esminio darbo krūvio skirtumo, </w:t>
      </w:r>
      <w:r w:rsidR="00ED70E7" w:rsidRPr="00B467E2">
        <w:rPr>
          <w:bCs/>
          <w:szCs w:val="24"/>
        </w:rPr>
        <w:t xml:space="preserve">paprastai atliekamas </w:t>
      </w:r>
      <w:r w:rsidR="00B04B3B" w:rsidRPr="00B467E2">
        <w:rPr>
          <w:bCs/>
          <w:szCs w:val="24"/>
        </w:rPr>
        <w:t xml:space="preserve">laikantis </w:t>
      </w:r>
      <w:r w:rsidR="00C54127" w:rsidRPr="00B467E2">
        <w:rPr>
          <w:bCs/>
          <w:szCs w:val="24"/>
        </w:rPr>
        <w:t>Lietuvos Respublikos teismų</w:t>
      </w:r>
      <w:r w:rsidR="00823017" w:rsidRPr="00B467E2">
        <w:rPr>
          <w:bCs/>
          <w:szCs w:val="24"/>
        </w:rPr>
        <w:t xml:space="preserve"> įstatymo 103 ir 104 straipsniuose nustatytos administravimo teismuose subjektų eiliškumo tvarkos</w:t>
      </w:r>
      <w:r w:rsidR="00F45DAF" w:rsidRPr="00B467E2">
        <w:rPr>
          <w:bCs/>
          <w:szCs w:val="24"/>
        </w:rPr>
        <w:t>:</w:t>
      </w:r>
      <w:r w:rsidR="004238E8" w:rsidRPr="00B467E2">
        <w:rPr>
          <w:bCs/>
          <w:szCs w:val="24"/>
        </w:rPr>
        <w:t xml:space="preserve"> pirmiausiai</w:t>
      </w:r>
      <w:r w:rsidR="00F45DAF" w:rsidRPr="00B467E2">
        <w:rPr>
          <w:bCs/>
          <w:szCs w:val="24"/>
        </w:rPr>
        <w:t xml:space="preserve"> </w:t>
      </w:r>
      <w:r w:rsidR="004238E8" w:rsidRPr="00B467E2">
        <w:rPr>
          <w:bCs/>
          <w:szCs w:val="24"/>
        </w:rPr>
        <w:t xml:space="preserve">vertinimą atlieka ir, esant poreikiui, atitinkamas priemones taiko teismo pirmininkas, kaip organizacinę veiklos priežiūrą </w:t>
      </w:r>
      <w:r w:rsidR="004238E8" w:rsidRPr="00B467E2">
        <w:rPr>
          <w:bCs/>
          <w:szCs w:val="24"/>
        </w:rPr>
        <w:lastRenderedPageBreak/>
        <w:t xml:space="preserve">atliekantis subjektas; jei </w:t>
      </w:r>
      <w:r w:rsidR="00A26FB1" w:rsidRPr="00B467E2">
        <w:rPr>
          <w:bCs/>
        </w:rPr>
        <w:t xml:space="preserve">teismo pirmininko </w:t>
      </w:r>
      <w:r w:rsidR="00935470" w:rsidRPr="00B467E2">
        <w:rPr>
          <w:bCs/>
        </w:rPr>
        <w:t xml:space="preserve">taikomų priemonių nepakanka ar jos neveiksmingos, </w:t>
      </w:r>
      <w:r w:rsidR="00A26FB1" w:rsidRPr="00B467E2">
        <w:rPr>
          <w:bCs/>
        </w:rPr>
        <w:t>jis raštu motyvuotai kreipiasi</w:t>
      </w:r>
      <w:r w:rsidR="00935470" w:rsidRPr="00B467E2">
        <w:rPr>
          <w:bCs/>
        </w:rPr>
        <w:t xml:space="preserve"> į </w:t>
      </w:r>
      <w:r w:rsidR="00A26FB1" w:rsidRPr="00B467E2">
        <w:rPr>
          <w:bCs/>
        </w:rPr>
        <w:t>teismo administracinės veiklos priežiūrą atliekantį išorinį administratorių</w:t>
      </w:r>
      <w:r w:rsidR="003B430A" w:rsidRPr="00B467E2">
        <w:rPr>
          <w:bCs/>
        </w:rPr>
        <w:t xml:space="preserve">. </w:t>
      </w:r>
    </w:p>
    <w:p w14:paraId="45F0FB83" w14:textId="0029534E" w:rsidR="006B0385" w:rsidRPr="00604216" w:rsidRDefault="00DC5E71" w:rsidP="00176B40">
      <w:pPr>
        <w:ind w:firstLine="680"/>
        <w:jc w:val="both"/>
        <w:rPr>
          <w:bCs/>
          <w:szCs w:val="24"/>
        </w:rPr>
      </w:pPr>
      <w:r>
        <w:rPr>
          <w:bCs/>
        </w:rPr>
        <w:t>19</w:t>
      </w:r>
      <w:r w:rsidRPr="00BC5438">
        <w:rPr>
          <w:bCs/>
          <w:vertAlign w:val="superscript"/>
        </w:rPr>
        <w:t>3</w:t>
      </w:r>
      <w:r w:rsidR="008F68A0" w:rsidRPr="00B467E2">
        <w:rPr>
          <w:bCs/>
        </w:rPr>
        <w:t xml:space="preserve">. </w:t>
      </w:r>
      <w:r w:rsidR="006B0385" w:rsidRPr="00B467E2">
        <w:rPr>
          <w:bCs/>
          <w:szCs w:val="24"/>
        </w:rPr>
        <w:t>Nustatydamas, ar egzistuoja esminis darbo krūvio skirtumas, teismų</w:t>
      </w:r>
      <w:r w:rsidR="00D13376" w:rsidRPr="00B467E2">
        <w:rPr>
          <w:bCs/>
          <w:szCs w:val="24"/>
        </w:rPr>
        <w:t xml:space="preserve"> organizacinės ir</w:t>
      </w:r>
      <w:r w:rsidR="006B0385" w:rsidRPr="00B467E2">
        <w:rPr>
          <w:bCs/>
          <w:szCs w:val="24"/>
        </w:rPr>
        <w:t xml:space="preserve"> administracinės veiklos priežiūros subjektas</w:t>
      </w:r>
      <w:r w:rsidR="003B430A" w:rsidRPr="00B467E2">
        <w:rPr>
          <w:bCs/>
          <w:szCs w:val="24"/>
        </w:rPr>
        <w:t xml:space="preserve"> vertina </w:t>
      </w:r>
      <w:r w:rsidR="00FD0C74">
        <w:rPr>
          <w:bCs/>
          <w:szCs w:val="24"/>
        </w:rPr>
        <w:t xml:space="preserve">šiuos </w:t>
      </w:r>
      <w:r w:rsidR="006B0385" w:rsidRPr="00B467E2">
        <w:rPr>
          <w:bCs/>
          <w:szCs w:val="24"/>
        </w:rPr>
        <w:t>praėjusio</w:t>
      </w:r>
      <w:r w:rsidR="00D13376" w:rsidRPr="00B467E2">
        <w:rPr>
          <w:bCs/>
          <w:szCs w:val="24"/>
        </w:rPr>
        <w:t xml:space="preserve"> </w:t>
      </w:r>
      <w:r w:rsidR="00471D76" w:rsidRPr="00B467E2">
        <w:rPr>
          <w:bCs/>
          <w:szCs w:val="24"/>
        </w:rPr>
        <w:t xml:space="preserve">kalendorinio metų </w:t>
      </w:r>
      <w:r w:rsidR="00D13376" w:rsidRPr="00B467E2">
        <w:rPr>
          <w:bCs/>
          <w:szCs w:val="24"/>
        </w:rPr>
        <w:t>ketvirčio</w:t>
      </w:r>
      <w:r w:rsidR="003B430A" w:rsidRPr="00B467E2">
        <w:rPr>
          <w:bCs/>
          <w:szCs w:val="24"/>
        </w:rPr>
        <w:t xml:space="preserve"> (</w:t>
      </w:r>
      <w:r w:rsidR="003B430A" w:rsidRPr="00604216">
        <w:rPr>
          <w:bCs/>
          <w:szCs w:val="24"/>
        </w:rPr>
        <w:t xml:space="preserve">apylinkių teismų) </w:t>
      </w:r>
      <w:r w:rsidR="00D13376" w:rsidRPr="00604216">
        <w:rPr>
          <w:bCs/>
          <w:szCs w:val="24"/>
        </w:rPr>
        <w:t>/</w:t>
      </w:r>
      <w:r w:rsidR="003B430A" w:rsidRPr="00604216">
        <w:rPr>
          <w:bCs/>
          <w:szCs w:val="24"/>
        </w:rPr>
        <w:t xml:space="preserve"> praėjusio</w:t>
      </w:r>
      <w:r w:rsidR="00471D76" w:rsidRPr="00604216">
        <w:rPr>
          <w:bCs/>
          <w:szCs w:val="24"/>
        </w:rPr>
        <w:t xml:space="preserve"> metų</w:t>
      </w:r>
      <w:r w:rsidR="003B430A" w:rsidRPr="00604216">
        <w:rPr>
          <w:bCs/>
          <w:szCs w:val="24"/>
        </w:rPr>
        <w:t xml:space="preserve"> </w:t>
      </w:r>
      <w:r w:rsidR="006B0385" w:rsidRPr="00604216">
        <w:rPr>
          <w:bCs/>
          <w:szCs w:val="24"/>
        </w:rPr>
        <w:t>pusmečio</w:t>
      </w:r>
      <w:r w:rsidR="003B430A" w:rsidRPr="00604216">
        <w:rPr>
          <w:bCs/>
          <w:szCs w:val="24"/>
        </w:rPr>
        <w:t xml:space="preserve"> (apygardų teismų) </w:t>
      </w:r>
      <w:r w:rsidR="006B0385" w:rsidRPr="00604216">
        <w:rPr>
          <w:bCs/>
          <w:szCs w:val="24"/>
        </w:rPr>
        <w:t>duomenis:</w:t>
      </w:r>
    </w:p>
    <w:p w14:paraId="3E26B133" w14:textId="4C6D959A" w:rsidR="003B430A" w:rsidRPr="00B467E2" w:rsidRDefault="00DC5E71" w:rsidP="006B0385">
      <w:pPr>
        <w:ind w:firstLine="680"/>
        <w:jc w:val="both"/>
        <w:rPr>
          <w:bCs/>
          <w:szCs w:val="24"/>
        </w:rPr>
      </w:pPr>
      <w:r>
        <w:rPr>
          <w:bCs/>
          <w:szCs w:val="24"/>
        </w:rPr>
        <w:t>19</w:t>
      </w:r>
      <w:r>
        <w:rPr>
          <w:bCs/>
          <w:szCs w:val="24"/>
          <w:vertAlign w:val="superscript"/>
        </w:rPr>
        <w:t>3</w:t>
      </w:r>
      <w:r w:rsidR="00176B40" w:rsidRPr="00604216">
        <w:rPr>
          <w:bCs/>
          <w:szCs w:val="24"/>
        </w:rPr>
        <w:t>.1. darbo krūvio duomen</w:t>
      </w:r>
      <w:r w:rsidR="00FD0C74" w:rsidRPr="00604216">
        <w:rPr>
          <w:bCs/>
          <w:szCs w:val="24"/>
        </w:rPr>
        <w:t>i</w:t>
      </w:r>
      <w:r w:rsidR="00176B40" w:rsidRPr="00604216">
        <w:rPr>
          <w:bCs/>
          <w:szCs w:val="24"/>
        </w:rPr>
        <w:t>s</w:t>
      </w:r>
      <w:r w:rsidR="00375BDF" w:rsidRPr="00604216">
        <w:rPr>
          <w:bCs/>
          <w:szCs w:val="24"/>
        </w:rPr>
        <w:t xml:space="preserve"> pagal teismo gautų bylų kiekį</w:t>
      </w:r>
      <w:r w:rsidR="00176B40" w:rsidRPr="00604216">
        <w:rPr>
          <w:bCs/>
          <w:szCs w:val="24"/>
        </w:rPr>
        <w:t>, apskaičiuot</w:t>
      </w:r>
      <w:r w:rsidR="00FD0C74" w:rsidRPr="00604216">
        <w:rPr>
          <w:bCs/>
          <w:szCs w:val="24"/>
        </w:rPr>
        <w:t>us</w:t>
      </w:r>
      <w:r w:rsidR="00176B40" w:rsidRPr="00604216">
        <w:rPr>
          <w:bCs/>
          <w:szCs w:val="24"/>
        </w:rPr>
        <w:t xml:space="preserve"> </w:t>
      </w:r>
      <w:r w:rsidR="003B430A" w:rsidRPr="00604216">
        <w:rPr>
          <w:bCs/>
          <w:szCs w:val="24"/>
        </w:rPr>
        <w:t xml:space="preserve">teismo (teismo rūmų) </w:t>
      </w:r>
      <w:r w:rsidR="006B0385" w:rsidRPr="00604216">
        <w:rPr>
          <w:bCs/>
          <w:szCs w:val="24"/>
        </w:rPr>
        <w:t>gautų bylų skaiči</w:t>
      </w:r>
      <w:r w:rsidR="003B430A" w:rsidRPr="00604216">
        <w:rPr>
          <w:bCs/>
          <w:szCs w:val="24"/>
        </w:rPr>
        <w:t>ų</w:t>
      </w:r>
      <w:r w:rsidR="00176B40" w:rsidRPr="00604216">
        <w:rPr>
          <w:bCs/>
          <w:szCs w:val="24"/>
        </w:rPr>
        <w:t xml:space="preserve"> p</w:t>
      </w:r>
      <w:r w:rsidR="003B430A" w:rsidRPr="00604216">
        <w:rPr>
          <w:bCs/>
          <w:szCs w:val="24"/>
        </w:rPr>
        <w:t>a</w:t>
      </w:r>
      <w:r w:rsidR="00176B40" w:rsidRPr="00604216">
        <w:rPr>
          <w:bCs/>
          <w:szCs w:val="24"/>
        </w:rPr>
        <w:t>daugin</w:t>
      </w:r>
      <w:r w:rsidR="003B430A" w:rsidRPr="00604216">
        <w:rPr>
          <w:bCs/>
          <w:szCs w:val="24"/>
        </w:rPr>
        <w:t>us</w:t>
      </w:r>
      <w:r w:rsidR="00176B40" w:rsidRPr="00604216">
        <w:rPr>
          <w:bCs/>
          <w:szCs w:val="24"/>
        </w:rPr>
        <w:t xml:space="preserve"> iš bylų</w:t>
      </w:r>
      <w:r w:rsidR="00176B40" w:rsidRPr="00B467E2">
        <w:rPr>
          <w:bCs/>
          <w:szCs w:val="24"/>
        </w:rPr>
        <w:t xml:space="preserve"> sudėtingumo </w:t>
      </w:r>
      <w:r w:rsidR="003B430A" w:rsidRPr="00B467E2">
        <w:rPr>
          <w:bCs/>
          <w:szCs w:val="24"/>
        </w:rPr>
        <w:t>koeficiento</w:t>
      </w:r>
      <w:r w:rsidR="00176B40" w:rsidRPr="00B467E2">
        <w:rPr>
          <w:bCs/>
          <w:szCs w:val="24"/>
        </w:rPr>
        <w:t>, nu</w:t>
      </w:r>
      <w:r w:rsidR="003B430A" w:rsidRPr="00B467E2">
        <w:rPr>
          <w:bCs/>
          <w:szCs w:val="24"/>
        </w:rPr>
        <w:t xml:space="preserve">statyto Teisėjų tarybos </w:t>
      </w:r>
      <w:r w:rsidR="003B430A" w:rsidRPr="00B467E2">
        <w:rPr>
          <w:bCs/>
          <w:color w:val="000000"/>
          <w:szCs w:val="24"/>
          <w:shd w:val="clear" w:color="auto" w:fill="FFFFFF"/>
        </w:rPr>
        <w:t>2015 m. gegužės 29 d. nutarimu Nr. 13P-79-(7.1.2) patvirtinto Darbo krūvio skaičiavimo teismuose tvarkos aprašo priede;</w:t>
      </w:r>
    </w:p>
    <w:p w14:paraId="7C428264" w14:textId="23110C9D" w:rsidR="007011DA" w:rsidRPr="004664DE" w:rsidRDefault="00DC5E71" w:rsidP="009B5492">
      <w:pPr>
        <w:ind w:firstLine="680"/>
        <w:jc w:val="both"/>
        <w:rPr>
          <w:bCs/>
          <w:szCs w:val="24"/>
        </w:rPr>
      </w:pPr>
      <w:r>
        <w:rPr>
          <w:bCs/>
          <w:szCs w:val="24"/>
        </w:rPr>
        <w:t>19</w:t>
      </w:r>
      <w:r>
        <w:rPr>
          <w:bCs/>
          <w:szCs w:val="24"/>
          <w:vertAlign w:val="superscript"/>
        </w:rPr>
        <w:t>3</w:t>
      </w:r>
      <w:r w:rsidR="007011DA" w:rsidRPr="00B467E2">
        <w:rPr>
          <w:bCs/>
          <w:szCs w:val="24"/>
        </w:rPr>
        <w:t xml:space="preserve">.2. </w:t>
      </w:r>
      <w:bookmarkStart w:id="4" w:name="_Hlk126237852"/>
      <w:r w:rsidR="007011DA" w:rsidRPr="00B467E2">
        <w:rPr>
          <w:bCs/>
          <w:szCs w:val="24"/>
        </w:rPr>
        <w:t>teisėjų, jų padėjėjų skaiči</w:t>
      </w:r>
      <w:r w:rsidR="00FD0C74">
        <w:rPr>
          <w:bCs/>
          <w:szCs w:val="24"/>
        </w:rPr>
        <w:t>ų</w:t>
      </w:r>
      <w:r w:rsidR="003B430A" w:rsidRPr="00B467E2">
        <w:rPr>
          <w:bCs/>
          <w:szCs w:val="24"/>
        </w:rPr>
        <w:t>,</w:t>
      </w:r>
      <w:r w:rsidR="007011DA" w:rsidRPr="00B467E2">
        <w:rPr>
          <w:bCs/>
          <w:szCs w:val="24"/>
        </w:rPr>
        <w:t xml:space="preserve"> jo pokyt</w:t>
      </w:r>
      <w:r w:rsidR="00FD0C74">
        <w:rPr>
          <w:bCs/>
          <w:szCs w:val="24"/>
        </w:rPr>
        <w:t>į</w:t>
      </w:r>
      <w:r w:rsidR="007011DA" w:rsidRPr="00B467E2">
        <w:rPr>
          <w:bCs/>
          <w:szCs w:val="24"/>
        </w:rPr>
        <w:t xml:space="preserve"> (dinamik</w:t>
      </w:r>
      <w:r w:rsidR="00FD0C74">
        <w:rPr>
          <w:bCs/>
          <w:szCs w:val="24"/>
        </w:rPr>
        <w:t>ą</w:t>
      </w:r>
      <w:r w:rsidR="007011DA" w:rsidRPr="00B467E2">
        <w:rPr>
          <w:bCs/>
          <w:szCs w:val="24"/>
        </w:rPr>
        <w:t>)</w:t>
      </w:r>
      <w:r w:rsidR="004664DE">
        <w:rPr>
          <w:bCs/>
          <w:szCs w:val="24"/>
        </w:rPr>
        <w:t>;</w:t>
      </w:r>
      <w:bookmarkEnd w:id="4"/>
      <w:r w:rsidR="007011DA" w:rsidRPr="00B467E2">
        <w:rPr>
          <w:bCs/>
          <w:szCs w:val="24"/>
        </w:rPr>
        <w:t xml:space="preserve"> </w:t>
      </w:r>
    </w:p>
    <w:p w14:paraId="00B1F0CD" w14:textId="601DB8D4" w:rsidR="009B5492" w:rsidRDefault="00DC5E71" w:rsidP="007011DA">
      <w:pPr>
        <w:ind w:firstLine="680"/>
        <w:jc w:val="both"/>
        <w:rPr>
          <w:bCs/>
          <w:szCs w:val="24"/>
        </w:rPr>
      </w:pPr>
      <w:r>
        <w:rPr>
          <w:bCs/>
          <w:szCs w:val="24"/>
        </w:rPr>
        <w:t>19</w:t>
      </w:r>
      <w:r>
        <w:rPr>
          <w:bCs/>
          <w:szCs w:val="24"/>
          <w:vertAlign w:val="superscript"/>
        </w:rPr>
        <w:t>3</w:t>
      </w:r>
      <w:r w:rsidR="00FD0C74">
        <w:rPr>
          <w:bCs/>
          <w:szCs w:val="24"/>
        </w:rPr>
        <w:t>.</w:t>
      </w:r>
      <w:r w:rsidR="007011DA" w:rsidRPr="00B467E2">
        <w:rPr>
          <w:bCs/>
          <w:szCs w:val="24"/>
        </w:rPr>
        <w:t>3.</w:t>
      </w:r>
      <w:r w:rsidR="009B5492">
        <w:rPr>
          <w:bCs/>
          <w:szCs w:val="24"/>
        </w:rPr>
        <w:t xml:space="preserve"> </w:t>
      </w:r>
      <w:r w:rsidR="009B5492" w:rsidRPr="00B467E2">
        <w:rPr>
          <w:bCs/>
          <w:szCs w:val="24"/>
        </w:rPr>
        <w:t>teisėjų, jų padėjėjų</w:t>
      </w:r>
      <w:r w:rsidR="009B5492">
        <w:rPr>
          <w:bCs/>
          <w:szCs w:val="24"/>
        </w:rPr>
        <w:t xml:space="preserve"> dirbtų dienų skaiči</w:t>
      </w:r>
      <w:r w:rsidR="00FD0C74">
        <w:rPr>
          <w:bCs/>
          <w:szCs w:val="24"/>
        </w:rPr>
        <w:t>ų</w:t>
      </w:r>
      <w:r w:rsidR="009B5492">
        <w:rPr>
          <w:bCs/>
          <w:szCs w:val="24"/>
        </w:rPr>
        <w:t xml:space="preserve"> vertinamuoju laikotarpiu</w:t>
      </w:r>
      <w:r w:rsidR="004664DE">
        <w:rPr>
          <w:bCs/>
          <w:szCs w:val="24"/>
        </w:rPr>
        <w:t>;</w:t>
      </w:r>
    </w:p>
    <w:p w14:paraId="1E912526" w14:textId="479AFBCA" w:rsidR="007011DA" w:rsidRPr="00B467E2" w:rsidRDefault="00DC5E71" w:rsidP="007011DA">
      <w:pPr>
        <w:ind w:firstLine="680"/>
        <w:jc w:val="both"/>
        <w:rPr>
          <w:bCs/>
          <w:szCs w:val="24"/>
        </w:rPr>
      </w:pPr>
      <w:r>
        <w:rPr>
          <w:bCs/>
          <w:szCs w:val="24"/>
        </w:rPr>
        <w:t>19</w:t>
      </w:r>
      <w:r>
        <w:rPr>
          <w:bCs/>
          <w:szCs w:val="24"/>
          <w:vertAlign w:val="superscript"/>
        </w:rPr>
        <w:t>3</w:t>
      </w:r>
      <w:r w:rsidR="009B5492">
        <w:rPr>
          <w:bCs/>
          <w:szCs w:val="24"/>
        </w:rPr>
        <w:t xml:space="preserve">.4. </w:t>
      </w:r>
      <w:r w:rsidR="006C19D7">
        <w:rPr>
          <w:bCs/>
          <w:szCs w:val="24"/>
        </w:rPr>
        <w:t xml:space="preserve">duomenis </w:t>
      </w:r>
      <w:r w:rsidR="00654778">
        <w:rPr>
          <w:bCs/>
          <w:szCs w:val="24"/>
        </w:rPr>
        <w:t xml:space="preserve">apie </w:t>
      </w:r>
      <w:r w:rsidR="007011DA" w:rsidRPr="00B467E2">
        <w:rPr>
          <w:bCs/>
          <w:szCs w:val="24"/>
        </w:rPr>
        <w:t>teisėjų sumažint</w:t>
      </w:r>
      <w:r w:rsidR="00654778">
        <w:rPr>
          <w:bCs/>
          <w:szCs w:val="24"/>
        </w:rPr>
        <w:t>ą</w:t>
      </w:r>
      <w:r w:rsidR="007011DA" w:rsidRPr="00B467E2">
        <w:rPr>
          <w:bCs/>
          <w:szCs w:val="24"/>
        </w:rPr>
        <w:t xml:space="preserve"> darbo krūv</w:t>
      </w:r>
      <w:r w:rsidR="00654778">
        <w:rPr>
          <w:bCs/>
          <w:szCs w:val="24"/>
        </w:rPr>
        <w:t>į</w:t>
      </w:r>
      <w:r w:rsidR="007011DA" w:rsidRPr="00B467E2">
        <w:rPr>
          <w:bCs/>
          <w:szCs w:val="24"/>
        </w:rPr>
        <w:t xml:space="preserve"> (dėl teismų administravimo veiklos, dalyvavimo teismų savivaldo</w:t>
      </w:r>
      <w:r w:rsidR="00375BDF">
        <w:rPr>
          <w:bCs/>
          <w:szCs w:val="24"/>
        </w:rPr>
        <w:t xml:space="preserve">s veikloje </w:t>
      </w:r>
      <w:r w:rsidR="007011DA" w:rsidRPr="00B467E2">
        <w:rPr>
          <w:bCs/>
          <w:szCs w:val="24"/>
        </w:rPr>
        <w:t>ir kt.);</w:t>
      </w:r>
    </w:p>
    <w:p w14:paraId="532FEA92" w14:textId="6CD80119" w:rsidR="0099474C" w:rsidRDefault="00DC5E71" w:rsidP="006B0385">
      <w:pPr>
        <w:ind w:firstLine="680"/>
        <w:jc w:val="both"/>
        <w:rPr>
          <w:bCs/>
          <w:szCs w:val="24"/>
        </w:rPr>
      </w:pPr>
      <w:r>
        <w:rPr>
          <w:bCs/>
          <w:szCs w:val="24"/>
        </w:rPr>
        <w:t>19</w:t>
      </w:r>
      <w:r>
        <w:rPr>
          <w:bCs/>
          <w:szCs w:val="24"/>
          <w:vertAlign w:val="superscript"/>
        </w:rPr>
        <w:t>3</w:t>
      </w:r>
      <w:r w:rsidR="00FD0C74">
        <w:rPr>
          <w:bCs/>
          <w:szCs w:val="24"/>
        </w:rPr>
        <w:t>.5. pagal poreikį, taip pat vertinami ir kiti duomenys, reikšmingi nustatant esminį darbo krūvio skirtumą:</w:t>
      </w:r>
    </w:p>
    <w:p w14:paraId="620EBFDA" w14:textId="35AF1385" w:rsidR="006B0385" w:rsidRPr="00B467E2" w:rsidRDefault="00DC5E71" w:rsidP="006B0385">
      <w:pPr>
        <w:ind w:firstLine="680"/>
        <w:jc w:val="both"/>
        <w:rPr>
          <w:bCs/>
          <w:szCs w:val="24"/>
        </w:rPr>
      </w:pPr>
      <w:r>
        <w:rPr>
          <w:bCs/>
          <w:szCs w:val="24"/>
        </w:rPr>
        <w:t>19</w:t>
      </w:r>
      <w:r>
        <w:rPr>
          <w:bCs/>
          <w:szCs w:val="24"/>
          <w:vertAlign w:val="superscript"/>
        </w:rPr>
        <w:t>3</w:t>
      </w:r>
      <w:r w:rsidR="006B0385" w:rsidRPr="00B467E2">
        <w:rPr>
          <w:bCs/>
          <w:szCs w:val="24"/>
        </w:rPr>
        <w:t>.</w:t>
      </w:r>
      <w:r w:rsidR="00FD0C74">
        <w:rPr>
          <w:bCs/>
          <w:szCs w:val="24"/>
        </w:rPr>
        <w:t>5</w:t>
      </w:r>
      <w:r w:rsidR="007011DA" w:rsidRPr="00B467E2">
        <w:rPr>
          <w:bCs/>
          <w:szCs w:val="24"/>
        </w:rPr>
        <w:t>.1</w:t>
      </w:r>
      <w:r w:rsidR="006B0385" w:rsidRPr="00B467E2">
        <w:rPr>
          <w:bCs/>
          <w:szCs w:val="24"/>
        </w:rPr>
        <w:t>. išnagrinėtų bylų skaiči</w:t>
      </w:r>
      <w:r w:rsidR="007011DA" w:rsidRPr="00B467E2">
        <w:rPr>
          <w:bCs/>
          <w:szCs w:val="24"/>
        </w:rPr>
        <w:t>us</w:t>
      </w:r>
      <w:r w:rsidR="006B0385" w:rsidRPr="00B467E2">
        <w:rPr>
          <w:bCs/>
          <w:szCs w:val="24"/>
        </w:rPr>
        <w:t xml:space="preserve">; </w:t>
      </w:r>
    </w:p>
    <w:p w14:paraId="6BE4AA1D" w14:textId="188C9D7A" w:rsidR="008F68A0" w:rsidRPr="00B467E2" w:rsidRDefault="00DC5E71" w:rsidP="008F68A0">
      <w:pPr>
        <w:ind w:firstLine="680"/>
        <w:jc w:val="both"/>
        <w:rPr>
          <w:bCs/>
          <w:szCs w:val="24"/>
        </w:rPr>
      </w:pPr>
      <w:r>
        <w:rPr>
          <w:bCs/>
          <w:szCs w:val="24"/>
        </w:rPr>
        <w:t>19</w:t>
      </w:r>
      <w:r>
        <w:rPr>
          <w:bCs/>
          <w:szCs w:val="24"/>
          <w:vertAlign w:val="superscript"/>
        </w:rPr>
        <w:t>3</w:t>
      </w:r>
      <w:r w:rsidR="006B0385" w:rsidRPr="00B467E2">
        <w:rPr>
          <w:bCs/>
          <w:szCs w:val="24"/>
        </w:rPr>
        <w:t>.</w:t>
      </w:r>
      <w:r w:rsidR="00FD0C74">
        <w:rPr>
          <w:bCs/>
          <w:szCs w:val="24"/>
        </w:rPr>
        <w:t>5</w:t>
      </w:r>
      <w:r w:rsidR="007011DA" w:rsidRPr="00B467E2">
        <w:rPr>
          <w:bCs/>
          <w:szCs w:val="24"/>
        </w:rPr>
        <w:t>.2</w:t>
      </w:r>
      <w:r w:rsidR="006B0385" w:rsidRPr="00B467E2">
        <w:rPr>
          <w:bCs/>
          <w:szCs w:val="24"/>
        </w:rPr>
        <w:t>. neišnagrinėtų bylų likut</w:t>
      </w:r>
      <w:r w:rsidR="0079428D" w:rsidRPr="00B467E2">
        <w:rPr>
          <w:bCs/>
          <w:szCs w:val="24"/>
        </w:rPr>
        <w:t>is</w:t>
      </w:r>
      <w:r w:rsidR="008F68A0" w:rsidRPr="00B467E2">
        <w:rPr>
          <w:bCs/>
          <w:szCs w:val="24"/>
        </w:rPr>
        <w:t>;</w:t>
      </w:r>
    </w:p>
    <w:p w14:paraId="3A14AA2B" w14:textId="658201B9" w:rsidR="006E2305" w:rsidRPr="00B467E2" w:rsidRDefault="00DC5E71" w:rsidP="006E2305">
      <w:pPr>
        <w:ind w:firstLine="680"/>
        <w:jc w:val="both"/>
        <w:rPr>
          <w:bCs/>
          <w:szCs w:val="24"/>
        </w:rPr>
      </w:pPr>
      <w:r>
        <w:rPr>
          <w:bCs/>
          <w:szCs w:val="24"/>
        </w:rPr>
        <w:t>19</w:t>
      </w:r>
      <w:r>
        <w:rPr>
          <w:bCs/>
          <w:szCs w:val="24"/>
          <w:vertAlign w:val="superscript"/>
        </w:rPr>
        <w:t>3</w:t>
      </w:r>
      <w:r w:rsidR="008F68A0" w:rsidRPr="00B467E2">
        <w:rPr>
          <w:bCs/>
          <w:szCs w:val="24"/>
        </w:rPr>
        <w:t>.</w:t>
      </w:r>
      <w:r w:rsidR="00FD0C74">
        <w:rPr>
          <w:bCs/>
          <w:szCs w:val="24"/>
        </w:rPr>
        <w:t>5</w:t>
      </w:r>
      <w:r w:rsidR="007011DA" w:rsidRPr="00B467E2">
        <w:rPr>
          <w:bCs/>
          <w:szCs w:val="24"/>
        </w:rPr>
        <w:t>.3</w:t>
      </w:r>
      <w:r w:rsidR="008F68A0" w:rsidRPr="00B467E2">
        <w:rPr>
          <w:bCs/>
          <w:szCs w:val="24"/>
        </w:rPr>
        <w:t xml:space="preserve">. </w:t>
      </w:r>
      <w:r w:rsidR="006B0385" w:rsidRPr="00B467E2">
        <w:rPr>
          <w:bCs/>
          <w:szCs w:val="24"/>
        </w:rPr>
        <w:t>vidutin</w:t>
      </w:r>
      <w:r w:rsidR="0079428D" w:rsidRPr="00B467E2">
        <w:rPr>
          <w:bCs/>
          <w:szCs w:val="24"/>
        </w:rPr>
        <w:t>ė</w:t>
      </w:r>
      <w:r w:rsidR="006B0385" w:rsidRPr="00B467E2">
        <w:rPr>
          <w:bCs/>
          <w:szCs w:val="24"/>
        </w:rPr>
        <w:t xml:space="preserve"> bylų </w:t>
      </w:r>
      <w:r w:rsidR="00D13376" w:rsidRPr="00B467E2">
        <w:rPr>
          <w:bCs/>
          <w:szCs w:val="24"/>
        </w:rPr>
        <w:t xml:space="preserve">nagrinėjimo </w:t>
      </w:r>
      <w:r w:rsidR="006B0385" w:rsidRPr="00B467E2">
        <w:rPr>
          <w:bCs/>
          <w:szCs w:val="24"/>
        </w:rPr>
        <w:t>trukm</w:t>
      </w:r>
      <w:r w:rsidR="0046607D" w:rsidRPr="00B467E2">
        <w:rPr>
          <w:bCs/>
          <w:szCs w:val="24"/>
        </w:rPr>
        <w:t>ė</w:t>
      </w:r>
      <w:r w:rsidR="006B0385" w:rsidRPr="00B467E2">
        <w:rPr>
          <w:bCs/>
          <w:szCs w:val="24"/>
        </w:rPr>
        <w:t>;</w:t>
      </w:r>
    </w:p>
    <w:p w14:paraId="6A385474" w14:textId="0332E275" w:rsidR="006E2305" w:rsidRPr="00B467E2" w:rsidRDefault="00DC5E71" w:rsidP="004A0725">
      <w:pPr>
        <w:ind w:firstLine="680"/>
        <w:jc w:val="both"/>
        <w:rPr>
          <w:bCs/>
          <w:szCs w:val="24"/>
        </w:rPr>
      </w:pPr>
      <w:r>
        <w:rPr>
          <w:bCs/>
          <w:szCs w:val="24"/>
        </w:rPr>
        <w:t>19</w:t>
      </w:r>
      <w:r>
        <w:rPr>
          <w:bCs/>
          <w:szCs w:val="24"/>
          <w:vertAlign w:val="superscript"/>
        </w:rPr>
        <w:t>3</w:t>
      </w:r>
      <w:r w:rsidR="006B0385" w:rsidRPr="00B467E2">
        <w:rPr>
          <w:bCs/>
          <w:szCs w:val="24"/>
        </w:rPr>
        <w:t>.</w:t>
      </w:r>
      <w:r w:rsidR="00FD0C74">
        <w:rPr>
          <w:bCs/>
          <w:szCs w:val="24"/>
        </w:rPr>
        <w:t>5</w:t>
      </w:r>
      <w:r w:rsidR="007011DA" w:rsidRPr="00B467E2">
        <w:rPr>
          <w:bCs/>
          <w:szCs w:val="24"/>
        </w:rPr>
        <w:t>.4</w:t>
      </w:r>
      <w:r w:rsidR="005126B2" w:rsidRPr="00B467E2">
        <w:rPr>
          <w:bCs/>
          <w:szCs w:val="24"/>
        </w:rPr>
        <w:t>.</w:t>
      </w:r>
      <w:r w:rsidR="006B0385" w:rsidRPr="00B467E2">
        <w:rPr>
          <w:bCs/>
          <w:szCs w:val="24"/>
        </w:rPr>
        <w:t xml:space="preserve"> kit</w:t>
      </w:r>
      <w:r w:rsidR="0046607D" w:rsidRPr="00B467E2">
        <w:rPr>
          <w:bCs/>
          <w:szCs w:val="24"/>
        </w:rPr>
        <w:t>os</w:t>
      </w:r>
      <w:r w:rsidR="006B0385" w:rsidRPr="00B467E2">
        <w:rPr>
          <w:bCs/>
          <w:szCs w:val="24"/>
        </w:rPr>
        <w:t xml:space="preserve"> objektyvi</w:t>
      </w:r>
      <w:r w:rsidR="0046607D" w:rsidRPr="00B467E2">
        <w:rPr>
          <w:bCs/>
          <w:szCs w:val="24"/>
        </w:rPr>
        <w:t>o</w:t>
      </w:r>
      <w:r w:rsidR="006B0385" w:rsidRPr="00B467E2">
        <w:rPr>
          <w:bCs/>
          <w:szCs w:val="24"/>
        </w:rPr>
        <w:t>s aplinkyb</w:t>
      </w:r>
      <w:r w:rsidR="0046607D" w:rsidRPr="00B467E2">
        <w:rPr>
          <w:bCs/>
          <w:szCs w:val="24"/>
        </w:rPr>
        <w:t>ė</w:t>
      </w:r>
      <w:r w:rsidR="006B0385" w:rsidRPr="00B467E2">
        <w:rPr>
          <w:bCs/>
          <w:szCs w:val="24"/>
        </w:rPr>
        <w:t xml:space="preserve">s, </w:t>
      </w:r>
      <w:r w:rsidR="00BD0C77" w:rsidRPr="00B467E2">
        <w:rPr>
          <w:bCs/>
          <w:szCs w:val="24"/>
        </w:rPr>
        <w:t xml:space="preserve">galėjusios turėti esminės įtakos teisėjų darbo krūviui vertinamu laikotarpiu </w:t>
      </w:r>
      <w:r w:rsidR="00D13376" w:rsidRPr="00B467E2">
        <w:rPr>
          <w:bCs/>
          <w:szCs w:val="24"/>
        </w:rPr>
        <w:t>(pvz.</w:t>
      </w:r>
      <w:r w:rsidR="001901B2">
        <w:rPr>
          <w:bCs/>
          <w:szCs w:val="24"/>
        </w:rPr>
        <w:t>,</w:t>
      </w:r>
      <w:r w:rsidR="00D13376" w:rsidRPr="00B467E2">
        <w:rPr>
          <w:bCs/>
          <w:szCs w:val="24"/>
        </w:rPr>
        <w:t xml:space="preserve"> bylų likučio </w:t>
      </w:r>
      <w:r w:rsidR="00D13376" w:rsidRPr="00DE1E1C">
        <w:rPr>
          <w:bCs/>
          <w:szCs w:val="24"/>
        </w:rPr>
        <w:t>susidarymo priežast</w:t>
      </w:r>
      <w:r w:rsidR="0046607D" w:rsidRPr="00DE1E1C">
        <w:rPr>
          <w:bCs/>
          <w:szCs w:val="24"/>
        </w:rPr>
        <w:t>ys</w:t>
      </w:r>
      <w:r w:rsidR="00D13376" w:rsidRPr="00DE1E1C">
        <w:rPr>
          <w:bCs/>
          <w:szCs w:val="24"/>
        </w:rPr>
        <w:t>, sustabdytų bylų skaiči</w:t>
      </w:r>
      <w:r w:rsidR="0046607D" w:rsidRPr="00DE1E1C">
        <w:rPr>
          <w:bCs/>
          <w:szCs w:val="24"/>
        </w:rPr>
        <w:t>us</w:t>
      </w:r>
      <w:r w:rsidR="00654778">
        <w:rPr>
          <w:bCs/>
          <w:szCs w:val="24"/>
        </w:rPr>
        <w:t xml:space="preserve">, </w:t>
      </w:r>
      <w:r w:rsidR="00654778" w:rsidRPr="00B467E2">
        <w:rPr>
          <w:bCs/>
          <w:szCs w:val="24"/>
        </w:rPr>
        <w:t>ilgalaikio (trunkančio ilgiau kaip 1 mėn.)</w:t>
      </w:r>
      <w:r w:rsidR="00654778">
        <w:rPr>
          <w:bCs/>
          <w:szCs w:val="24"/>
        </w:rPr>
        <w:t xml:space="preserve"> </w:t>
      </w:r>
      <w:r w:rsidR="00654778" w:rsidRPr="00B467E2">
        <w:rPr>
          <w:bCs/>
          <w:szCs w:val="24"/>
        </w:rPr>
        <w:t>laikinojo nedarbingumo, ilgalaikių (trunkančių ilgiau kaip 56 kalendorines dienas) atostogų ir kit</w:t>
      </w:r>
      <w:r w:rsidR="00654778">
        <w:rPr>
          <w:bCs/>
          <w:szCs w:val="24"/>
        </w:rPr>
        <w:t>us</w:t>
      </w:r>
      <w:r w:rsidR="00654778" w:rsidRPr="00B467E2">
        <w:rPr>
          <w:bCs/>
          <w:szCs w:val="24"/>
        </w:rPr>
        <w:t> panaš</w:t>
      </w:r>
      <w:r w:rsidR="00654778">
        <w:rPr>
          <w:bCs/>
          <w:szCs w:val="24"/>
        </w:rPr>
        <w:t>ius</w:t>
      </w:r>
      <w:r w:rsidR="00654778" w:rsidRPr="00B467E2">
        <w:rPr>
          <w:bCs/>
          <w:szCs w:val="24"/>
        </w:rPr>
        <w:t xml:space="preserve"> atvej</w:t>
      </w:r>
      <w:r w:rsidR="00654778">
        <w:rPr>
          <w:bCs/>
          <w:szCs w:val="24"/>
        </w:rPr>
        <w:t>us</w:t>
      </w:r>
      <w:r w:rsidR="00654778" w:rsidRPr="00B467E2">
        <w:rPr>
          <w:bCs/>
          <w:szCs w:val="24"/>
        </w:rPr>
        <w:t>, galėj</w:t>
      </w:r>
      <w:r w:rsidR="00654778">
        <w:rPr>
          <w:bCs/>
          <w:szCs w:val="24"/>
        </w:rPr>
        <w:t>usius</w:t>
      </w:r>
      <w:r w:rsidR="00654778" w:rsidRPr="00B467E2">
        <w:rPr>
          <w:bCs/>
          <w:szCs w:val="24"/>
        </w:rPr>
        <w:t xml:space="preserve"> turėti esminės įtakos teisėjų darbo krūviui vertinamu laikotarpiu</w:t>
      </w:r>
      <w:r w:rsidR="00D13376" w:rsidRPr="00DE1E1C">
        <w:rPr>
          <w:bCs/>
          <w:szCs w:val="24"/>
        </w:rPr>
        <w:t xml:space="preserve"> ir kt.)</w:t>
      </w:r>
      <w:r w:rsidR="006B0385" w:rsidRPr="00DE1E1C">
        <w:rPr>
          <w:bCs/>
          <w:szCs w:val="24"/>
        </w:rPr>
        <w:t>.</w:t>
      </w:r>
    </w:p>
    <w:p w14:paraId="12F17A4C" w14:textId="567FEDBE" w:rsidR="00B467E2" w:rsidRPr="00B467E2" w:rsidRDefault="00DC5E71" w:rsidP="00B467E2">
      <w:pPr>
        <w:ind w:firstLine="680"/>
        <w:jc w:val="both"/>
        <w:rPr>
          <w:bCs/>
        </w:rPr>
      </w:pPr>
      <w:r>
        <w:rPr>
          <w:bCs/>
          <w:szCs w:val="24"/>
        </w:rPr>
        <w:t>19</w:t>
      </w:r>
      <w:r>
        <w:rPr>
          <w:bCs/>
          <w:szCs w:val="24"/>
          <w:vertAlign w:val="superscript"/>
        </w:rPr>
        <w:t>4</w:t>
      </w:r>
      <w:r w:rsidR="005126B2" w:rsidRPr="00B467E2">
        <w:rPr>
          <w:bCs/>
          <w:szCs w:val="24"/>
        </w:rPr>
        <w:t>.</w:t>
      </w:r>
      <w:r w:rsidR="006B0385" w:rsidRPr="00B467E2">
        <w:rPr>
          <w:bCs/>
          <w:szCs w:val="24"/>
        </w:rPr>
        <w:t xml:space="preserve"> </w:t>
      </w:r>
      <w:r w:rsidR="00A54299" w:rsidRPr="00B467E2">
        <w:rPr>
          <w:bCs/>
        </w:rPr>
        <w:t xml:space="preserve">Esminiu darbo krūvio skirtumu </w:t>
      </w:r>
      <w:r w:rsidR="00E558E4">
        <w:rPr>
          <w:bCs/>
        </w:rPr>
        <w:t xml:space="preserve">paprastai </w:t>
      </w:r>
      <w:r w:rsidR="00A54299" w:rsidRPr="00765E44">
        <w:rPr>
          <w:bCs/>
        </w:rPr>
        <w:t xml:space="preserve">laikomas </w:t>
      </w:r>
      <w:r w:rsidR="00E558E4" w:rsidRPr="00765E44">
        <w:rPr>
          <w:bCs/>
        </w:rPr>
        <w:t xml:space="preserve">ne mažesnis nei 10 procentų </w:t>
      </w:r>
      <w:r w:rsidR="00712B19" w:rsidRPr="00B467E2">
        <w:rPr>
          <w:bCs/>
        </w:rPr>
        <w:t>nuokrypis nuo vidutinio</w:t>
      </w:r>
      <w:r w:rsidR="00BC774B" w:rsidRPr="00B467E2">
        <w:rPr>
          <w:bCs/>
        </w:rPr>
        <w:t xml:space="preserve"> to paties vertinamo laikotarpio</w:t>
      </w:r>
      <w:r w:rsidR="00712B19" w:rsidRPr="00B467E2">
        <w:rPr>
          <w:bCs/>
        </w:rPr>
        <w:t xml:space="preserve"> </w:t>
      </w:r>
      <w:r w:rsidR="001267F2" w:rsidRPr="00B467E2">
        <w:rPr>
          <w:bCs/>
        </w:rPr>
        <w:t>tos pačio</w:t>
      </w:r>
      <w:r w:rsidR="00F06B31">
        <w:rPr>
          <w:bCs/>
        </w:rPr>
        <w:t>s</w:t>
      </w:r>
      <w:r w:rsidR="001267F2" w:rsidRPr="00B467E2">
        <w:rPr>
          <w:bCs/>
        </w:rPr>
        <w:t xml:space="preserve"> pakopos teismų darbo krūvio, apskaičiuojamo vertinant šių Nuostatų </w:t>
      </w:r>
      <w:r w:rsidR="004B0496">
        <w:rPr>
          <w:bCs/>
          <w:szCs w:val="24"/>
        </w:rPr>
        <w:t>19</w:t>
      </w:r>
      <w:r w:rsidR="004B0496">
        <w:rPr>
          <w:bCs/>
          <w:szCs w:val="24"/>
          <w:vertAlign w:val="superscript"/>
        </w:rPr>
        <w:t>3</w:t>
      </w:r>
      <w:r w:rsidR="004B0496" w:rsidRPr="00604216">
        <w:rPr>
          <w:bCs/>
          <w:szCs w:val="24"/>
        </w:rPr>
        <w:t>.1</w:t>
      </w:r>
      <w:r w:rsidR="00F8479B">
        <w:rPr>
          <w:bCs/>
          <w:szCs w:val="24"/>
        </w:rPr>
        <w:t xml:space="preserve"> </w:t>
      </w:r>
      <w:r w:rsidR="006553DF" w:rsidRPr="00B467E2">
        <w:rPr>
          <w:bCs/>
        </w:rPr>
        <w:t>pa</w:t>
      </w:r>
      <w:r w:rsidR="003F5BE8" w:rsidRPr="00B467E2">
        <w:rPr>
          <w:bCs/>
        </w:rPr>
        <w:t>punktyje</w:t>
      </w:r>
      <w:r w:rsidR="001267F2" w:rsidRPr="00B467E2">
        <w:rPr>
          <w:bCs/>
        </w:rPr>
        <w:t xml:space="preserve"> nurodytus duomenis.</w:t>
      </w:r>
    </w:p>
    <w:p w14:paraId="7DC87559" w14:textId="54C3553D" w:rsidR="00DF0209" w:rsidRDefault="00DC5E71" w:rsidP="00BF3F14">
      <w:pPr>
        <w:ind w:firstLine="680"/>
        <w:jc w:val="both"/>
        <w:rPr>
          <w:bCs/>
        </w:rPr>
      </w:pPr>
      <w:r>
        <w:rPr>
          <w:bCs/>
          <w:szCs w:val="24"/>
        </w:rPr>
        <w:t>19</w:t>
      </w:r>
      <w:r>
        <w:rPr>
          <w:bCs/>
          <w:szCs w:val="24"/>
          <w:vertAlign w:val="superscript"/>
        </w:rPr>
        <w:t>5</w:t>
      </w:r>
      <w:r w:rsidR="00DD0060" w:rsidRPr="00B467E2">
        <w:rPr>
          <w:bCs/>
        </w:rPr>
        <w:t xml:space="preserve">. </w:t>
      </w:r>
      <w:r w:rsidR="00375BDF">
        <w:rPr>
          <w:bCs/>
        </w:rPr>
        <w:t xml:space="preserve">Nuostatų </w:t>
      </w:r>
      <w:r w:rsidR="00F8479B">
        <w:rPr>
          <w:bCs/>
          <w:szCs w:val="24"/>
        </w:rPr>
        <w:t>19</w:t>
      </w:r>
      <w:r w:rsidR="00F8479B">
        <w:rPr>
          <w:bCs/>
          <w:szCs w:val="24"/>
          <w:vertAlign w:val="superscript"/>
        </w:rPr>
        <w:t>3</w:t>
      </w:r>
      <w:r w:rsidR="00F8479B">
        <w:rPr>
          <w:bCs/>
        </w:rPr>
        <w:t xml:space="preserve"> </w:t>
      </w:r>
      <w:r w:rsidR="00375BDF">
        <w:rPr>
          <w:bCs/>
        </w:rPr>
        <w:t>punkte nurodyti d</w:t>
      </w:r>
      <w:r w:rsidR="00805B08" w:rsidRPr="00B467E2">
        <w:rPr>
          <w:bCs/>
        </w:rPr>
        <w:t>uomenys</w:t>
      </w:r>
      <w:r w:rsidR="00375BDF">
        <w:rPr>
          <w:bCs/>
        </w:rPr>
        <w:t xml:space="preserve"> </w:t>
      </w:r>
      <w:r w:rsidR="00805B08" w:rsidRPr="00B467E2">
        <w:rPr>
          <w:bCs/>
        </w:rPr>
        <w:t xml:space="preserve">tvarkomi interaktyvioje skaičiuoklėje, </w:t>
      </w:r>
      <w:r w:rsidR="00805B08" w:rsidRPr="004664DE">
        <w:rPr>
          <w:bCs/>
        </w:rPr>
        <w:t>esančioje teismų sistemos intranete.</w:t>
      </w:r>
      <w:r w:rsidR="00805B08" w:rsidRPr="00B467E2">
        <w:rPr>
          <w:bCs/>
        </w:rPr>
        <w:t xml:space="preserve"> </w:t>
      </w:r>
      <w:r w:rsidR="00471D76" w:rsidRPr="00B467E2">
        <w:rPr>
          <w:bCs/>
        </w:rPr>
        <w:t>Nacionalinė teismų administracija</w:t>
      </w:r>
      <w:r w:rsidR="00375BDF" w:rsidRPr="00375BDF">
        <w:rPr>
          <w:bCs/>
        </w:rPr>
        <w:t xml:space="preserve"> </w:t>
      </w:r>
      <w:r w:rsidR="00375BDF" w:rsidRPr="00B467E2">
        <w:rPr>
          <w:bCs/>
        </w:rPr>
        <w:t xml:space="preserve">šių Nuostatų </w:t>
      </w:r>
      <w:r w:rsidR="00F8479B">
        <w:rPr>
          <w:bCs/>
          <w:szCs w:val="24"/>
        </w:rPr>
        <w:t>19</w:t>
      </w:r>
      <w:r w:rsidR="00F8479B">
        <w:rPr>
          <w:bCs/>
          <w:szCs w:val="24"/>
          <w:vertAlign w:val="superscript"/>
        </w:rPr>
        <w:t>3</w:t>
      </w:r>
      <w:r w:rsidR="00375BDF" w:rsidRPr="00604216">
        <w:rPr>
          <w:bCs/>
          <w:szCs w:val="24"/>
        </w:rPr>
        <w:t xml:space="preserve">.1., </w:t>
      </w:r>
      <w:r w:rsidR="00F8479B">
        <w:rPr>
          <w:bCs/>
          <w:szCs w:val="24"/>
        </w:rPr>
        <w:t>19</w:t>
      </w:r>
      <w:r w:rsidR="00F8479B">
        <w:rPr>
          <w:bCs/>
          <w:szCs w:val="24"/>
          <w:vertAlign w:val="superscript"/>
        </w:rPr>
        <w:t>3</w:t>
      </w:r>
      <w:r w:rsidR="00375BDF" w:rsidRPr="00B467E2">
        <w:rPr>
          <w:bCs/>
          <w:szCs w:val="24"/>
        </w:rPr>
        <w:t>.</w:t>
      </w:r>
      <w:r w:rsidR="00FD0C74">
        <w:rPr>
          <w:bCs/>
          <w:szCs w:val="24"/>
        </w:rPr>
        <w:t>5</w:t>
      </w:r>
      <w:r w:rsidR="00375BDF" w:rsidRPr="00B467E2">
        <w:rPr>
          <w:bCs/>
          <w:szCs w:val="24"/>
        </w:rPr>
        <w:t>.1–</w:t>
      </w:r>
      <w:r w:rsidR="00F8479B">
        <w:rPr>
          <w:bCs/>
          <w:szCs w:val="24"/>
        </w:rPr>
        <w:t>19</w:t>
      </w:r>
      <w:r w:rsidR="00F8479B">
        <w:rPr>
          <w:bCs/>
          <w:szCs w:val="24"/>
          <w:vertAlign w:val="superscript"/>
        </w:rPr>
        <w:t>3</w:t>
      </w:r>
      <w:r w:rsidR="00375BDF" w:rsidRPr="00B467E2">
        <w:rPr>
          <w:bCs/>
          <w:szCs w:val="24"/>
        </w:rPr>
        <w:t>.</w:t>
      </w:r>
      <w:r w:rsidR="00FD0C74">
        <w:rPr>
          <w:bCs/>
          <w:szCs w:val="24"/>
        </w:rPr>
        <w:t>5</w:t>
      </w:r>
      <w:r w:rsidR="00375BDF" w:rsidRPr="00B467E2">
        <w:rPr>
          <w:bCs/>
          <w:szCs w:val="24"/>
        </w:rPr>
        <w:t>.3 papunkčiuose nurodytus duomenis</w:t>
      </w:r>
      <w:r w:rsidR="00375BDF">
        <w:rPr>
          <w:bCs/>
          <w:szCs w:val="24"/>
        </w:rPr>
        <w:t xml:space="preserve"> už praėjusį ataskaitinį laikotarpį </w:t>
      </w:r>
      <w:r w:rsidR="00A2212D">
        <w:rPr>
          <w:bCs/>
          <w:szCs w:val="24"/>
        </w:rPr>
        <w:t>bei</w:t>
      </w:r>
      <w:r w:rsidR="00A2212D">
        <w:t xml:space="preserve"> </w:t>
      </w:r>
      <w:r w:rsidR="00A2212D" w:rsidRPr="0067068E">
        <w:t xml:space="preserve">duomenis apie teismų darbo krūvio vidurkius </w:t>
      </w:r>
      <w:r w:rsidR="00375BDF" w:rsidRPr="0067068E">
        <w:rPr>
          <w:bCs/>
          <w:szCs w:val="24"/>
        </w:rPr>
        <w:t>pateikia skaičiuoklėje</w:t>
      </w:r>
      <w:r w:rsidR="00471D76" w:rsidRPr="0067068E">
        <w:rPr>
          <w:bCs/>
        </w:rPr>
        <w:t xml:space="preserve"> iki </w:t>
      </w:r>
      <w:r w:rsidR="00375BDF" w:rsidRPr="0067068E">
        <w:rPr>
          <w:bCs/>
        </w:rPr>
        <w:t xml:space="preserve">kiekvieno </w:t>
      </w:r>
      <w:r w:rsidR="00471D76" w:rsidRPr="0067068E">
        <w:rPr>
          <w:bCs/>
        </w:rPr>
        <w:t>kalendorinio metų</w:t>
      </w:r>
      <w:r w:rsidR="00471D76" w:rsidRPr="00B467E2">
        <w:rPr>
          <w:bCs/>
        </w:rPr>
        <w:t xml:space="preserve"> ketvirčio / pusmečio 10 dienos</w:t>
      </w:r>
      <w:r w:rsidR="004A0725" w:rsidRPr="00B467E2">
        <w:rPr>
          <w:bCs/>
        </w:rPr>
        <w:t xml:space="preserve">. Kitus šių Nuostatų </w:t>
      </w:r>
      <w:r w:rsidR="00F8479B">
        <w:rPr>
          <w:bCs/>
          <w:szCs w:val="24"/>
        </w:rPr>
        <w:t>19</w:t>
      </w:r>
      <w:r w:rsidR="00F8479B">
        <w:rPr>
          <w:bCs/>
          <w:szCs w:val="24"/>
          <w:vertAlign w:val="superscript"/>
        </w:rPr>
        <w:t>3</w:t>
      </w:r>
      <w:r w:rsidR="004A0725" w:rsidRPr="00B467E2">
        <w:rPr>
          <w:bCs/>
        </w:rPr>
        <w:t xml:space="preserve"> punkte nurodytus duomenis </w:t>
      </w:r>
      <w:r w:rsidR="00F53F99" w:rsidRPr="00B467E2">
        <w:rPr>
          <w:bCs/>
        </w:rPr>
        <w:t xml:space="preserve">įveda </w:t>
      </w:r>
      <w:r w:rsidR="004A0725" w:rsidRPr="00B467E2">
        <w:rPr>
          <w:bCs/>
        </w:rPr>
        <w:t xml:space="preserve">ir </w:t>
      </w:r>
      <w:r w:rsidR="00B467E2" w:rsidRPr="00B467E2">
        <w:rPr>
          <w:bCs/>
        </w:rPr>
        <w:t xml:space="preserve">galutinius </w:t>
      </w:r>
      <w:r w:rsidR="00F53F99" w:rsidRPr="00B467E2">
        <w:rPr>
          <w:bCs/>
        </w:rPr>
        <w:t>teismų darbo krūvio</w:t>
      </w:r>
      <w:r w:rsidR="00B16678" w:rsidRPr="00B467E2">
        <w:rPr>
          <w:bCs/>
        </w:rPr>
        <w:t xml:space="preserve"> vertinimus </w:t>
      </w:r>
      <w:r w:rsidR="004A0725" w:rsidRPr="00B467E2">
        <w:rPr>
          <w:bCs/>
        </w:rPr>
        <w:t xml:space="preserve">atlieka </w:t>
      </w:r>
      <w:r w:rsidR="00B467E2" w:rsidRPr="00B467E2">
        <w:rPr>
          <w:bCs/>
        </w:rPr>
        <w:t>teismo organizacinės ar administracinės veiklos priežiūros subjektas</w:t>
      </w:r>
      <w:r w:rsidR="00375BDF">
        <w:rPr>
          <w:bCs/>
        </w:rPr>
        <w:t xml:space="preserve"> ne vėliau kaip iki kiekvieno</w:t>
      </w:r>
      <w:r w:rsidR="00375BDF" w:rsidRPr="00B467E2">
        <w:rPr>
          <w:bCs/>
        </w:rPr>
        <w:t xml:space="preserve"> kalendorinio metų ketvirčio / pusmečio </w:t>
      </w:r>
      <w:r w:rsidR="00375BDF">
        <w:rPr>
          <w:bCs/>
        </w:rPr>
        <w:t>2</w:t>
      </w:r>
      <w:r w:rsidR="00375BDF" w:rsidRPr="00B467E2">
        <w:rPr>
          <w:bCs/>
        </w:rPr>
        <w:t>0 dienos</w:t>
      </w:r>
      <w:r w:rsidR="00B467E2" w:rsidRPr="00B467E2">
        <w:rPr>
          <w:bCs/>
        </w:rPr>
        <w:t>.</w:t>
      </w:r>
      <w:r w:rsidR="00EB0BFF">
        <w:rPr>
          <w:bCs/>
        </w:rPr>
        <w:t>“</w:t>
      </w:r>
    </w:p>
    <w:bookmarkEnd w:id="3"/>
    <w:p w14:paraId="2B2524A0" w14:textId="683C3F6F" w:rsidR="00DF0209" w:rsidRDefault="009E07B9" w:rsidP="009E07B9">
      <w:pPr>
        <w:ind w:left="680"/>
        <w:jc w:val="both"/>
        <w:rPr>
          <w:bCs/>
          <w:szCs w:val="24"/>
          <w:lang w:eastAsia="lt-LT"/>
        </w:rPr>
      </w:pPr>
      <w:r>
        <w:rPr>
          <w:bCs/>
          <w:szCs w:val="24"/>
          <w:lang w:eastAsia="lt-LT"/>
        </w:rPr>
        <w:t>5</w:t>
      </w:r>
      <w:r w:rsidR="00DF0209">
        <w:rPr>
          <w:bCs/>
          <w:szCs w:val="24"/>
          <w:lang w:eastAsia="lt-LT"/>
        </w:rPr>
        <w:t xml:space="preserve">. </w:t>
      </w:r>
      <w:r w:rsidR="00DF0209" w:rsidRPr="00B467E2">
        <w:rPr>
          <w:bCs/>
          <w:szCs w:val="24"/>
          <w:lang w:eastAsia="lt-LT"/>
        </w:rPr>
        <w:t xml:space="preserve">Pripažinti netekusiu galios </w:t>
      </w:r>
      <w:bookmarkStart w:id="5" w:name="_Hlk129335061"/>
      <w:r w:rsidR="00DF0209" w:rsidRPr="00B467E2">
        <w:rPr>
          <w:bCs/>
          <w:szCs w:val="24"/>
          <w:lang w:eastAsia="lt-LT"/>
        </w:rPr>
        <w:t>21</w:t>
      </w:r>
      <w:r w:rsidR="00DF0209" w:rsidRPr="00B467E2">
        <w:rPr>
          <w:bCs/>
          <w:szCs w:val="24"/>
          <w:vertAlign w:val="superscript"/>
          <w:lang w:eastAsia="lt-LT"/>
        </w:rPr>
        <w:t>1</w:t>
      </w:r>
      <w:r w:rsidR="00DF0209" w:rsidRPr="00B467E2">
        <w:rPr>
          <w:bCs/>
          <w:szCs w:val="24"/>
          <w:lang w:eastAsia="lt-LT"/>
        </w:rPr>
        <w:t xml:space="preserve"> punktą</w:t>
      </w:r>
      <w:r w:rsidR="00DF0209">
        <w:rPr>
          <w:bCs/>
          <w:szCs w:val="24"/>
          <w:lang w:eastAsia="lt-LT"/>
        </w:rPr>
        <w:t>.</w:t>
      </w:r>
      <w:bookmarkEnd w:id="5"/>
    </w:p>
    <w:p w14:paraId="46ABDED2" w14:textId="51714BDD" w:rsidR="006B0385" w:rsidRPr="000807D4" w:rsidRDefault="006B0385" w:rsidP="006A7C44">
      <w:pPr>
        <w:ind w:firstLine="680"/>
        <w:jc w:val="both"/>
        <w:rPr>
          <w:bCs/>
          <w:szCs w:val="24"/>
        </w:rPr>
      </w:pPr>
    </w:p>
    <w:p w14:paraId="4C9D38A6" w14:textId="4693288C" w:rsidR="007011DA" w:rsidRDefault="007011DA" w:rsidP="006A7C44">
      <w:pPr>
        <w:jc w:val="both"/>
        <w:rPr>
          <w:bCs/>
          <w:szCs w:val="24"/>
        </w:rPr>
      </w:pPr>
    </w:p>
    <w:p w14:paraId="16876073" w14:textId="77777777" w:rsidR="007011DA" w:rsidRPr="006A7C44" w:rsidRDefault="007011DA" w:rsidP="006A7C44">
      <w:pPr>
        <w:jc w:val="both"/>
        <w:rPr>
          <w:bCs/>
          <w:szCs w:val="24"/>
        </w:rPr>
      </w:pPr>
    </w:p>
    <w:tbl>
      <w:tblPr>
        <w:tblW w:w="0" w:type="auto"/>
        <w:tblLayout w:type="fixed"/>
        <w:tblLook w:val="0000" w:firstRow="0" w:lastRow="0" w:firstColumn="0" w:lastColumn="0" w:noHBand="0" w:noVBand="0"/>
      </w:tblPr>
      <w:tblGrid>
        <w:gridCol w:w="7308"/>
        <w:gridCol w:w="2490"/>
      </w:tblGrid>
      <w:tr w:rsidR="00276042" w14:paraId="2CEF8A86" w14:textId="77777777" w:rsidTr="008A33F4">
        <w:tc>
          <w:tcPr>
            <w:tcW w:w="7308" w:type="dxa"/>
          </w:tcPr>
          <w:p w14:paraId="4FD46B1B" w14:textId="77777777" w:rsidR="00276042" w:rsidRDefault="00276042" w:rsidP="008A33F4">
            <w:r>
              <w:t>Pirmininkė</w:t>
            </w:r>
          </w:p>
        </w:tc>
        <w:tc>
          <w:tcPr>
            <w:tcW w:w="2490" w:type="dxa"/>
          </w:tcPr>
          <w:p w14:paraId="231DC3C0" w14:textId="77777777" w:rsidR="00276042" w:rsidRDefault="00276042" w:rsidP="008A33F4">
            <w:r>
              <w:t xml:space="preserve">Sigita </w:t>
            </w:r>
            <w:proofErr w:type="spellStart"/>
            <w:r>
              <w:t>Rudėnaitė</w:t>
            </w:r>
            <w:proofErr w:type="spellEnd"/>
          </w:p>
          <w:p w14:paraId="47EB6787" w14:textId="77777777" w:rsidR="00276042" w:rsidRDefault="00276042" w:rsidP="008A33F4"/>
        </w:tc>
      </w:tr>
    </w:tbl>
    <w:p w14:paraId="7CA20068" w14:textId="77777777" w:rsidR="00276042" w:rsidRDefault="00276042" w:rsidP="00276042"/>
    <w:p w14:paraId="6DF68BCA" w14:textId="77777777" w:rsidR="00276042" w:rsidRDefault="00276042" w:rsidP="00276042"/>
    <w:tbl>
      <w:tblPr>
        <w:tblW w:w="0" w:type="auto"/>
        <w:tblLayout w:type="fixed"/>
        <w:tblLook w:val="0000" w:firstRow="0" w:lastRow="0" w:firstColumn="0" w:lastColumn="0" w:noHBand="0" w:noVBand="0"/>
      </w:tblPr>
      <w:tblGrid>
        <w:gridCol w:w="7308"/>
        <w:gridCol w:w="2490"/>
      </w:tblGrid>
      <w:tr w:rsidR="00276042" w14:paraId="3D9DB7B5" w14:textId="77777777" w:rsidTr="008A33F4">
        <w:tc>
          <w:tcPr>
            <w:tcW w:w="7308" w:type="dxa"/>
          </w:tcPr>
          <w:p w14:paraId="265DC7E2" w14:textId="77777777" w:rsidR="00276042" w:rsidRDefault="00276042" w:rsidP="008A33F4">
            <w:r>
              <w:t>Sekretorius</w:t>
            </w:r>
          </w:p>
        </w:tc>
        <w:tc>
          <w:tcPr>
            <w:tcW w:w="2490" w:type="dxa"/>
          </w:tcPr>
          <w:p w14:paraId="76C9FA8C" w14:textId="77777777" w:rsidR="00276042" w:rsidRDefault="00276042" w:rsidP="008A33F4">
            <w:r>
              <w:t>Ramūnas Gadliauskas</w:t>
            </w:r>
          </w:p>
        </w:tc>
      </w:tr>
    </w:tbl>
    <w:p w14:paraId="669D757D" w14:textId="77777777" w:rsidR="00276042" w:rsidRDefault="00276042" w:rsidP="00276042"/>
    <w:p w14:paraId="35D23990" w14:textId="21E16454" w:rsidR="0008049A" w:rsidRPr="006A7C44" w:rsidRDefault="0008049A" w:rsidP="00276042">
      <w:pPr>
        <w:tabs>
          <w:tab w:val="left" w:pos="7230"/>
        </w:tabs>
        <w:rPr>
          <w:bCs/>
          <w:szCs w:val="24"/>
        </w:rPr>
      </w:pPr>
    </w:p>
    <w:sectPr w:rsidR="0008049A" w:rsidRPr="006A7C44" w:rsidSect="004B758E">
      <w:headerReference w:type="even" r:id="rId9"/>
      <w:headerReference w:type="default" r:id="rId10"/>
      <w:footerReference w:type="even" r:id="rId11"/>
      <w:footerReference w:type="default" r:id="rId12"/>
      <w:headerReference w:type="first" r:id="rId13"/>
      <w:footerReference w:type="first" r:id="rId14"/>
      <w:pgSz w:w="11906" w:h="16838"/>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F0B6E" w14:textId="77777777" w:rsidR="000C409F" w:rsidRDefault="000C409F">
      <w:pPr>
        <w:rPr>
          <w:szCs w:val="24"/>
        </w:rPr>
      </w:pPr>
      <w:r>
        <w:rPr>
          <w:szCs w:val="24"/>
        </w:rPr>
        <w:separator/>
      </w:r>
    </w:p>
  </w:endnote>
  <w:endnote w:type="continuationSeparator" w:id="0">
    <w:p w14:paraId="2CB56210" w14:textId="77777777" w:rsidR="000C409F" w:rsidRDefault="000C409F">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F8761" w14:textId="77777777" w:rsidR="006A5989" w:rsidRDefault="006A598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414E" w14:textId="77777777" w:rsidR="006A5989" w:rsidRDefault="006A598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9B73" w14:textId="77777777" w:rsidR="006A5989" w:rsidRDefault="006A59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5EC29" w14:textId="77777777" w:rsidR="000C409F" w:rsidRDefault="000C409F">
      <w:pPr>
        <w:rPr>
          <w:szCs w:val="24"/>
        </w:rPr>
      </w:pPr>
      <w:r>
        <w:rPr>
          <w:szCs w:val="24"/>
        </w:rPr>
        <w:separator/>
      </w:r>
    </w:p>
  </w:footnote>
  <w:footnote w:type="continuationSeparator" w:id="0">
    <w:p w14:paraId="7656D998" w14:textId="77777777" w:rsidR="000C409F" w:rsidRDefault="000C409F">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2310" w14:textId="77777777" w:rsidR="006A5989" w:rsidRDefault="006A59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97658"/>
      <w:docPartObj>
        <w:docPartGallery w:val="Page Numbers (Top of Page)"/>
        <w:docPartUnique/>
      </w:docPartObj>
    </w:sdtPr>
    <w:sdtContent>
      <w:p w14:paraId="5DAE0482" w14:textId="77777777" w:rsidR="006A5989" w:rsidRDefault="0076397E">
        <w:pPr>
          <w:pStyle w:val="Antrats"/>
          <w:jc w:val="center"/>
        </w:pPr>
        <w:r>
          <w:fldChar w:fldCharType="begin"/>
        </w:r>
        <w:r>
          <w:instrText>PAGE   \* MERGEFORMAT</w:instrText>
        </w:r>
        <w:r>
          <w:fldChar w:fldCharType="separate"/>
        </w:r>
        <w:r w:rsidR="00851ED0">
          <w:rPr>
            <w:noProof/>
          </w:rPr>
          <w:t>2</w:t>
        </w:r>
        <w:r>
          <w:rPr>
            <w:noProof/>
          </w:rPr>
          <w:fldChar w:fldCharType="end"/>
        </w:r>
      </w:p>
    </w:sdtContent>
  </w:sdt>
  <w:p w14:paraId="77EFD606" w14:textId="77777777" w:rsidR="006A5989" w:rsidRDefault="006A598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2CFE" w14:textId="77777777" w:rsidR="006A5989" w:rsidRPr="004B758E" w:rsidRDefault="006A5989" w:rsidP="004B75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B1F20"/>
    <w:multiLevelType w:val="multilevel"/>
    <w:tmpl w:val="896A47CA"/>
    <w:lvl w:ilvl="0">
      <w:start w:val="1"/>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num w:numId="1" w16cid:durableId="83964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454"/>
    <w:rsid w:val="00005D67"/>
    <w:rsid w:val="00007C7A"/>
    <w:rsid w:val="00013B8A"/>
    <w:rsid w:val="00014563"/>
    <w:rsid w:val="00027680"/>
    <w:rsid w:val="00032BD6"/>
    <w:rsid w:val="00034622"/>
    <w:rsid w:val="00041E51"/>
    <w:rsid w:val="000563D3"/>
    <w:rsid w:val="0008049A"/>
    <w:rsid w:val="000807D4"/>
    <w:rsid w:val="000860DD"/>
    <w:rsid w:val="0009084C"/>
    <w:rsid w:val="00092D5C"/>
    <w:rsid w:val="00093445"/>
    <w:rsid w:val="000A1E58"/>
    <w:rsid w:val="000B118B"/>
    <w:rsid w:val="000B2316"/>
    <w:rsid w:val="000C409F"/>
    <w:rsid w:val="000D59CB"/>
    <w:rsid w:val="000E4FD4"/>
    <w:rsid w:val="000F058E"/>
    <w:rsid w:val="0011783D"/>
    <w:rsid w:val="001267F2"/>
    <w:rsid w:val="00142690"/>
    <w:rsid w:val="00142C5F"/>
    <w:rsid w:val="00142E83"/>
    <w:rsid w:val="00150D77"/>
    <w:rsid w:val="00166023"/>
    <w:rsid w:val="00166297"/>
    <w:rsid w:val="00171853"/>
    <w:rsid w:val="00174760"/>
    <w:rsid w:val="0017674F"/>
    <w:rsid w:val="00176B40"/>
    <w:rsid w:val="00177D39"/>
    <w:rsid w:val="001901B2"/>
    <w:rsid w:val="00191BF1"/>
    <w:rsid w:val="001A027D"/>
    <w:rsid w:val="001C0B1D"/>
    <w:rsid w:val="001C48A3"/>
    <w:rsid w:val="001D1B4F"/>
    <w:rsid w:val="001D439B"/>
    <w:rsid w:val="001D76FA"/>
    <w:rsid w:val="001E0D02"/>
    <w:rsid w:val="001E5A2D"/>
    <w:rsid w:val="00205FB5"/>
    <w:rsid w:val="00217AB2"/>
    <w:rsid w:val="0022360A"/>
    <w:rsid w:val="00233EC8"/>
    <w:rsid w:val="00246491"/>
    <w:rsid w:val="002638B8"/>
    <w:rsid w:val="002639F9"/>
    <w:rsid w:val="00263C6B"/>
    <w:rsid w:val="00265BE5"/>
    <w:rsid w:val="002666F8"/>
    <w:rsid w:val="00266E70"/>
    <w:rsid w:val="00276042"/>
    <w:rsid w:val="00282861"/>
    <w:rsid w:val="0028651B"/>
    <w:rsid w:val="00295371"/>
    <w:rsid w:val="002C3B12"/>
    <w:rsid w:val="002C4719"/>
    <w:rsid w:val="002C48D3"/>
    <w:rsid w:val="002C7AC3"/>
    <w:rsid w:val="002E4454"/>
    <w:rsid w:val="002F0039"/>
    <w:rsid w:val="002F6516"/>
    <w:rsid w:val="00314E7B"/>
    <w:rsid w:val="0031738E"/>
    <w:rsid w:val="00351CAE"/>
    <w:rsid w:val="00355443"/>
    <w:rsid w:val="00356301"/>
    <w:rsid w:val="003750BA"/>
    <w:rsid w:val="00375BDF"/>
    <w:rsid w:val="0038332D"/>
    <w:rsid w:val="003A555A"/>
    <w:rsid w:val="003B430A"/>
    <w:rsid w:val="003B6E0A"/>
    <w:rsid w:val="003C151F"/>
    <w:rsid w:val="003E5437"/>
    <w:rsid w:val="003F5BE8"/>
    <w:rsid w:val="00417749"/>
    <w:rsid w:val="00420C63"/>
    <w:rsid w:val="004238E8"/>
    <w:rsid w:val="00454AC0"/>
    <w:rsid w:val="00455644"/>
    <w:rsid w:val="0046607D"/>
    <w:rsid w:val="004664DE"/>
    <w:rsid w:val="00471D76"/>
    <w:rsid w:val="004736A3"/>
    <w:rsid w:val="00475583"/>
    <w:rsid w:val="00477A8F"/>
    <w:rsid w:val="00484C39"/>
    <w:rsid w:val="00485CCE"/>
    <w:rsid w:val="00494F16"/>
    <w:rsid w:val="004A0725"/>
    <w:rsid w:val="004A14BE"/>
    <w:rsid w:val="004B0496"/>
    <w:rsid w:val="004B758E"/>
    <w:rsid w:val="004F0062"/>
    <w:rsid w:val="004F219E"/>
    <w:rsid w:val="004F6F97"/>
    <w:rsid w:val="005015C9"/>
    <w:rsid w:val="00501642"/>
    <w:rsid w:val="00503B5D"/>
    <w:rsid w:val="00511959"/>
    <w:rsid w:val="005126B2"/>
    <w:rsid w:val="00513B07"/>
    <w:rsid w:val="00514F5D"/>
    <w:rsid w:val="005168B3"/>
    <w:rsid w:val="00520A1B"/>
    <w:rsid w:val="00530AF6"/>
    <w:rsid w:val="005324A8"/>
    <w:rsid w:val="00536208"/>
    <w:rsid w:val="00537E37"/>
    <w:rsid w:val="00561844"/>
    <w:rsid w:val="00566519"/>
    <w:rsid w:val="00567456"/>
    <w:rsid w:val="00580EF5"/>
    <w:rsid w:val="005A2645"/>
    <w:rsid w:val="005A4FA8"/>
    <w:rsid w:val="005B7B4A"/>
    <w:rsid w:val="005D3754"/>
    <w:rsid w:val="005D691B"/>
    <w:rsid w:val="005E68AF"/>
    <w:rsid w:val="005F143A"/>
    <w:rsid w:val="00604216"/>
    <w:rsid w:val="00606199"/>
    <w:rsid w:val="00612170"/>
    <w:rsid w:val="006123C7"/>
    <w:rsid w:val="00625357"/>
    <w:rsid w:val="0063033D"/>
    <w:rsid w:val="00631817"/>
    <w:rsid w:val="00633EB8"/>
    <w:rsid w:val="00651F89"/>
    <w:rsid w:val="00653796"/>
    <w:rsid w:val="00654778"/>
    <w:rsid w:val="00654B7F"/>
    <w:rsid w:val="00655293"/>
    <w:rsid w:val="006553DF"/>
    <w:rsid w:val="00665792"/>
    <w:rsid w:val="00666CAA"/>
    <w:rsid w:val="0066729C"/>
    <w:rsid w:val="0067068E"/>
    <w:rsid w:val="00680827"/>
    <w:rsid w:val="00685513"/>
    <w:rsid w:val="006A5486"/>
    <w:rsid w:val="006A5989"/>
    <w:rsid w:val="006A7C44"/>
    <w:rsid w:val="006B0385"/>
    <w:rsid w:val="006B3F0D"/>
    <w:rsid w:val="006B6B77"/>
    <w:rsid w:val="006B7445"/>
    <w:rsid w:val="006C19D7"/>
    <w:rsid w:val="006C782E"/>
    <w:rsid w:val="006D0C44"/>
    <w:rsid w:val="006E2305"/>
    <w:rsid w:val="006E7F37"/>
    <w:rsid w:val="007011DA"/>
    <w:rsid w:val="0070198E"/>
    <w:rsid w:val="00703D50"/>
    <w:rsid w:val="00707C44"/>
    <w:rsid w:val="00712B19"/>
    <w:rsid w:val="00721C3F"/>
    <w:rsid w:val="00722AC1"/>
    <w:rsid w:val="00723CC8"/>
    <w:rsid w:val="0072713E"/>
    <w:rsid w:val="00731D14"/>
    <w:rsid w:val="00741205"/>
    <w:rsid w:val="00743BBE"/>
    <w:rsid w:val="0076397E"/>
    <w:rsid w:val="00765E44"/>
    <w:rsid w:val="00787AFD"/>
    <w:rsid w:val="0079296B"/>
    <w:rsid w:val="0079428D"/>
    <w:rsid w:val="007A07DB"/>
    <w:rsid w:val="007B1102"/>
    <w:rsid w:val="007B4E7E"/>
    <w:rsid w:val="007C3085"/>
    <w:rsid w:val="007D24BA"/>
    <w:rsid w:val="007D3535"/>
    <w:rsid w:val="007D5698"/>
    <w:rsid w:val="007D5A70"/>
    <w:rsid w:val="007E296E"/>
    <w:rsid w:val="0080334E"/>
    <w:rsid w:val="00805B08"/>
    <w:rsid w:val="00822BED"/>
    <w:rsid w:val="00823017"/>
    <w:rsid w:val="00825216"/>
    <w:rsid w:val="00842E24"/>
    <w:rsid w:val="00851ED0"/>
    <w:rsid w:val="00855800"/>
    <w:rsid w:val="00871DE3"/>
    <w:rsid w:val="008757AA"/>
    <w:rsid w:val="00877A96"/>
    <w:rsid w:val="00880ACD"/>
    <w:rsid w:val="00891CEC"/>
    <w:rsid w:val="008A00F9"/>
    <w:rsid w:val="008A1789"/>
    <w:rsid w:val="008B35AC"/>
    <w:rsid w:val="008C3212"/>
    <w:rsid w:val="008F2AE5"/>
    <w:rsid w:val="008F68A0"/>
    <w:rsid w:val="009012A4"/>
    <w:rsid w:val="00901728"/>
    <w:rsid w:val="0090438C"/>
    <w:rsid w:val="009075D3"/>
    <w:rsid w:val="009129AD"/>
    <w:rsid w:val="00924B4E"/>
    <w:rsid w:val="00925D5C"/>
    <w:rsid w:val="00935470"/>
    <w:rsid w:val="009458D3"/>
    <w:rsid w:val="00947848"/>
    <w:rsid w:val="00950019"/>
    <w:rsid w:val="00954485"/>
    <w:rsid w:val="009622EE"/>
    <w:rsid w:val="0096594E"/>
    <w:rsid w:val="009706CC"/>
    <w:rsid w:val="00976F0E"/>
    <w:rsid w:val="00977EB9"/>
    <w:rsid w:val="0099474C"/>
    <w:rsid w:val="009A1960"/>
    <w:rsid w:val="009A1E02"/>
    <w:rsid w:val="009B3275"/>
    <w:rsid w:val="009B330C"/>
    <w:rsid w:val="009B5492"/>
    <w:rsid w:val="009C2205"/>
    <w:rsid w:val="009C43A6"/>
    <w:rsid w:val="009D4B32"/>
    <w:rsid w:val="009E07B9"/>
    <w:rsid w:val="009E2D51"/>
    <w:rsid w:val="009F1318"/>
    <w:rsid w:val="00A0217D"/>
    <w:rsid w:val="00A07056"/>
    <w:rsid w:val="00A12B86"/>
    <w:rsid w:val="00A133E7"/>
    <w:rsid w:val="00A15020"/>
    <w:rsid w:val="00A15FEF"/>
    <w:rsid w:val="00A2212D"/>
    <w:rsid w:val="00A26FB1"/>
    <w:rsid w:val="00A33154"/>
    <w:rsid w:val="00A52D76"/>
    <w:rsid w:val="00A54155"/>
    <w:rsid w:val="00A54299"/>
    <w:rsid w:val="00A60CD9"/>
    <w:rsid w:val="00A664E8"/>
    <w:rsid w:val="00A67296"/>
    <w:rsid w:val="00A81448"/>
    <w:rsid w:val="00A87DBC"/>
    <w:rsid w:val="00A94A0D"/>
    <w:rsid w:val="00A96970"/>
    <w:rsid w:val="00AC1C93"/>
    <w:rsid w:val="00AC3BB7"/>
    <w:rsid w:val="00AC654E"/>
    <w:rsid w:val="00AD23DD"/>
    <w:rsid w:val="00AF1D70"/>
    <w:rsid w:val="00AF3154"/>
    <w:rsid w:val="00B04B3B"/>
    <w:rsid w:val="00B06F3D"/>
    <w:rsid w:val="00B14F19"/>
    <w:rsid w:val="00B16678"/>
    <w:rsid w:val="00B17947"/>
    <w:rsid w:val="00B220EF"/>
    <w:rsid w:val="00B27482"/>
    <w:rsid w:val="00B34EB8"/>
    <w:rsid w:val="00B36D1D"/>
    <w:rsid w:val="00B41303"/>
    <w:rsid w:val="00B467E2"/>
    <w:rsid w:val="00B51EC7"/>
    <w:rsid w:val="00B555FA"/>
    <w:rsid w:val="00B630F2"/>
    <w:rsid w:val="00B748F0"/>
    <w:rsid w:val="00B75187"/>
    <w:rsid w:val="00B75A59"/>
    <w:rsid w:val="00B846FD"/>
    <w:rsid w:val="00B86B4E"/>
    <w:rsid w:val="00B9066F"/>
    <w:rsid w:val="00B91BB6"/>
    <w:rsid w:val="00BA0649"/>
    <w:rsid w:val="00BB12A6"/>
    <w:rsid w:val="00BB352D"/>
    <w:rsid w:val="00BC04A4"/>
    <w:rsid w:val="00BC1208"/>
    <w:rsid w:val="00BC2243"/>
    <w:rsid w:val="00BC5438"/>
    <w:rsid w:val="00BC774B"/>
    <w:rsid w:val="00BD0C77"/>
    <w:rsid w:val="00BD1179"/>
    <w:rsid w:val="00BD3BE6"/>
    <w:rsid w:val="00BD549C"/>
    <w:rsid w:val="00BD64CA"/>
    <w:rsid w:val="00BF3F14"/>
    <w:rsid w:val="00C02739"/>
    <w:rsid w:val="00C1025C"/>
    <w:rsid w:val="00C17508"/>
    <w:rsid w:val="00C17AE5"/>
    <w:rsid w:val="00C22552"/>
    <w:rsid w:val="00C318CB"/>
    <w:rsid w:val="00C34804"/>
    <w:rsid w:val="00C44FBD"/>
    <w:rsid w:val="00C54127"/>
    <w:rsid w:val="00C73E99"/>
    <w:rsid w:val="00C7747C"/>
    <w:rsid w:val="00C80527"/>
    <w:rsid w:val="00C83018"/>
    <w:rsid w:val="00C83A90"/>
    <w:rsid w:val="00C96E5B"/>
    <w:rsid w:val="00C97150"/>
    <w:rsid w:val="00CA4B06"/>
    <w:rsid w:val="00CA652C"/>
    <w:rsid w:val="00CB07E5"/>
    <w:rsid w:val="00CC00B8"/>
    <w:rsid w:val="00CC5E5E"/>
    <w:rsid w:val="00CD1723"/>
    <w:rsid w:val="00D0108C"/>
    <w:rsid w:val="00D13376"/>
    <w:rsid w:val="00D272AC"/>
    <w:rsid w:val="00D36F3C"/>
    <w:rsid w:val="00D40771"/>
    <w:rsid w:val="00D41677"/>
    <w:rsid w:val="00D57FD5"/>
    <w:rsid w:val="00D90236"/>
    <w:rsid w:val="00DC5605"/>
    <w:rsid w:val="00DC5E71"/>
    <w:rsid w:val="00DD0060"/>
    <w:rsid w:val="00DD50D0"/>
    <w:rsid w:val="00DD57C3"/>
    <w:rsid w:val="00DE1E1C"/>
    <w:rsid w:val="00DE542B"/>
    <w:rsid w:val="00DE7BB4"/>
    <w:rsid w:val="00DF0209"/>
    <w:rsid w:val="00DF267E"/>
    <w:rsid w:val="00DF4304"/>
    <w:rsid w:val="00DF5381"/>
    <w:rsid w:val="00DF7A0E"/>
    <w:rsid w:val="00E0313B"/>
    <w:rsid w:val="00E10CA9"/>
    <w:rsid w:val="00E13CBE"/>
    <w:rsid w:val="00E14432"/>
    <w:rsid w:val="00E46D45"/>
    <w:rsid w:val="00E55746"/>
    <w:rsid w:val="00E558E4"/>
    <w:rsid w:val="00E633EE"/>
    <w:rsid w:val="00E6623D"/>
    <w:rsid w:val="00E66278"/>
    <w:rsid w:val="00E7719B"/>
    <w:rsid w:val="00E846DE"/>
    <w:rsid w:val="00EA46AD"/>
    <w:rsid w:val="00EB09A8"/>
    <w:rsid w:val="00EB0A55"/>
    <w:rsid w:val="00EB0BFF"/>
    <w:rsid w:val="00EB2C94"/>
    <w:rsid w:val="00EB3209"/>
    <w:rsid w:val="00EB3520"/>
    <w:rsid w:val="00ED3B3A"/>
    <w:rsid w:val="00ED70E7"/>
    <w:rsid w:val="00ED7E76"/>
    <w:rsid w:val="00EE5704"/>
    <w:rsid w:val="00EF7364"/>
    <w:rsid w:val="00F053F3"/>
    <w:rsid w:val="00F05749"/>
    <w:rsid w:val="00F06B31"/>
    <w:rsid w:val="00F10227"/>
    <w:rsid w:val="00F15C18"/>
    <w:rsid w:val="00F27C21"/>
    <w:rsid w:val="00F3244C"/>
    <w:rsid w:val="00F44A9E"/>
    <w:rsid w:val="00F45DAF"/>
    <w:rsid w:val="00F47365"/>
    <w:rsid w:val="00F53F99"/>
    <w:rsid w:val="00F64C5C"/>
    <w:rsid w:val="00F8479B"/>
    <w:rsid w:val="00F85358"/>
    <w:rsid w:val="00FA3CEA"/>
    <w:rsid w:val="00FB309F"/>
    <w:rsid w:val="00FB7619"/>
    <w:rsid w:val="00FC133B"/>
    <w:rsid w:val="00FC77CE"/>
    <w:rsid w:val="00FD0C74"/>
    <w:rsid w:val="00FD1CB2"/>
    <w:rsid w:val="00FE0E2C"/>
    <w:rsid w:val="00FE21E8"/>
    <w:rsid w:val="00FF025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61BA"/>
  <w15:docId w15:val="{5258AF8C-9C32-42B0-A8AC-A8E7A0B37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B352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EB3520"/>
    <w:rPr>
      <w:rFonts w:ascii="Tahoma" w:hAnsi="Tahoma" w:cs="Tahoma"/>
      <w:sz w:val="16"/>
      <w:szCs w:val="16"/>
    </w:rPr>
  </w:style>
  <w:style w:type="character" w:customStyle="1" w:styleId="DebesliotekstasDiagrama">
    <w:name w:val="Debesėlio tekstas Diagrama"/>
    <w:basedOn w:val="Numatytasispastraiposriftas"/>
    <w:link w:val="Debesliotekstas"/>
    <w:rsid w:val="00EB3520"/>
    <w:rPr>
      <w:rFonts w:ascii="Tahoma" w:hAnsi="Tahoma" w:cs="Tahoma"/>
      <w:sz w:val="16"/>
      <w:szCs w:val="16"/>
    </w:rPr>
  </w:style>
  <w:style w:type="paragraph" w:styleId="Antrats">
    <w:name w:val="header"/>
    <w:basedOn w:val="prastasis"/>
    <w:link w:val="AntratsDiagrama"/>
    <w:uiPriority w:val="99"/>
    <w:rsid w:val="007D5698"/>
    <w:pPr>
      <w:tabs>
        <w:tab w:val="center" w:pos="4819"/>
        <w:tab w:val="right" w:pos="9638"/>
      </w:tabs>
    </w:pPr>
  </w:style>
  <w:style w:type="character" w:customStyle="1" w:styleId="AntratsDiagrama">
    <w:name w:val="Antraštės Diagrama"/>
    <w:basedOn w:val="Numatytasispastraiposriftas"/>
    <w:link w:val="Antrats"/>
    <w:uiPriority w:val="99"/>
    <w:rsid w:val="007D5698"/>
  </w:style>
  <w:style w:type="paragraph" w:styleId="Porat">
    <w:name w:val="footer"/>
    <w:basedOn w:val="prastasis"/>
    <w:link w:val="PoratDiagrama"/>
    <w:rsid w:val="007D5698"/>
    <w:pPr>
      <w:tabs>
        <w:tab w:val="center" w:pos="4819"/>
        <w:tab w:val="right" w:pos="9638"/>
      </w:tabs>
    </w:pPr>
  </w:style>
  <w:style w:type="character" w:customStyle="1" w:styleId="PoratDiagrama">
    <w:name w:val="Poraštė Diagrama"/>
    <w:basedOn w:val="Numatytasispastraiposriftas"/>
    <w:link w:val="Porat"/>
    <w:rsid w:val="007D5698"/>
  </w:style>
  <w:style w:type="character" w:styleId="Vietosrezervavimoenklotekstas">
    <w:name w:val="Placeholder Text"/>
    <w:basedOn w:val="Numatytasispastraiposriftas"/>
    <w:rsid w:val="007D5698"/>
    <w:rPr>
      <w:color w:val="808080"/>
    </w:rPr>
  </w:style>
  <w:style w:type="character" w:styleId="Komentaronuoroda">
    <w:name w:val="annotation reference"/>
    <w:basedOn w:val="Numatytasispastraiposriftas"/>
    <w:rsid w:val="001E5A2D"/>
    <w:rPr>
      <w:sz w:val="16"/>
      <w:szCs w:val="16"/>
    </w:rPr>
  </w:style>
  <w:style w:type="paragraph" w:styleId="Komentarotekstas">
    <w:name w:val="annotation text"/>
    <w:basedOn w:val="prastasis"/>
    <w:link w:val="KomentarotekstasDiagrama"/>
    <w:rsid w:val="001E5A2D"/>
    <w:rPr>
      <w:sz w:val="20"/>
    </w:rPr>
  </w:style>
  <w:style w:type="character" w:customStyle="1" w:styleId="KomentarotekstasDiagrama">
    <w:name w:val="Komentaro tekstas Diagrama"/>
    <w:basedOn w:val="Numatytasispastraiposriftas"/>
    <w:link w:val="Komentarotekstas"/>
    <w:rsid w:val="001E5A2D"/>
    <w:rPr>
      <w:sz w:val="20"/>
    </w:rPr>
  </w:style>
  <w:style w:type="paragraph" w:styleId="Komentarotema">
    <w:name w:val="annotation subject"/>
    <w:basedOn w:val="Komentarotekstas"/>
    <w:next w:val="Komentarotekstas"/>
    <w:link w:val="KomentarotemaDiagrama"/>
    <w:rsid w:val="00AC3BB7"/>
    <w:rPr>
      <w:b/>
      <w:bCs/>
    </w:rPr>
  </w:style>
  <w:style w:type="character" w:customStyle="1" w:styleId="KomentarotemaDiagrama">
    <w:name w:val="Komentaro tema Diagrama"/>
    <w:basedOn w:val="KomentarotekstasDiagrama"/>
    <w:link w:val="Komentarotema"/>
    <w:rsid w:val="00AC3BB7"/>
    <w:rPr>
      <w:b/>
      <w:bCs/>
      <w:sz w:val="20"/>
    </w:rPr>
  </w:style>
  <w:style w:type="paragraph" w:styleId="Sraopastraipa">
    <w:name w:val="List Paragraph"/>
    <w:basedOn w:val="prastasis"/>
    <w:qFormat/>
    <w:rsid w:val="00ED3B3A"/>
    <w:pPr>
      <w:ind w:left="720"/>
      <w:contextualSpacing/>
    </w:pPr>
  </w:style>
  <w:style w:type="paragraph" w:styleId="Puslapioinaostekstas">
    <w:name w:val="footnote text"/>
    <w:basedOn w:val="prastasis"/>
    <w:link w:val="PuslapioinaostekstasDiagrama"/>
    <w:unhideWhenUsed/>
    <w:rsid w:val="000B118B"/>
    <w:rPr>
      <w:rFonts w:eastAsiaTheme="minorHAnsi"/>
      <w:sz w:val="20"/>
    </w:rPr>
  </w:style>
  <w:style w:type="character" w:customStyle="1" w:styleId="PuslapioinaostekstasDiagrama">
    <w:name w:val="Puslapio išnašos tekstas Diagrama"/>
    <w:basedOn w:val="Numatytasispastraiposriftas"/>
    <w:link w:val="Puslapioinaostekstas"/>
    <w:rsid w:val="000B118B"/>
    <w:rPr>
      <w:rFonts w:eastAsiaTheme="minorHAnsi"/>
      <w:sz w:val="20"/>
    </w:rPr>
  </w:style>
  <w:style w:type="character" w:styleId="Puslapioinaosnuoroda">
    <w:name w:val="footnote reference"/>
    <w:basedOn w:val="Numatytasispastraiposriftas"/>
    <w:unhideWhenUsed/>
    <w:rsid w:val="000B118B"/>
    <w:rPr>
      <w:vertAlign w:val="superscript"/>
    </w:rPr>
  </w:style>
  <w:style w:type="paragraph" w:styleId="Pataisymai">
    <w:name w:val="Revision"/>
    <w:hidden/>
    <w:semiHidden/>
    <w:rsid w:val="006123C7"/>
  </w:style>
  <w:style w:type="paragraph" w:customStyle="1" w:styleId="tajtip">
    <w:name w:val="tajtip"/>
    <w:basedOn w:val="prastasis"/>
    <w:rsid w:val="00707C44"/>
    <w:pPr>
      <w:spacing w:before="100" w:beforeAutospacing="1" w:after="100" w:afterAutospacing="1"/>
    </w:pPr>
    <w:rPr>
      <w:szCs w:val="24"/>
      <w:lang w:eastAsia="lt-LT"/>
    </w:rPr>
  </w:style>
  <w:style w:type="paragraph" w:customStyle="1" w:styleId="pf0">
    <w:name w:val="pf0"/>
    <w:basedOn w:val="prastasis"/>
    <w:rsid w:val="00166023"/>
    <w:pPr>
      <w:spacing w:before="100" w:beforeAutospacing="1" w:after="100" w:afterAutospacing="1"/>
    </w:pPr>
    <w:rPr>
      <w:szCs w:val="24"/>
      <w:lang w:eastAsia="lt-LT"/>
    </w:rPr>
  </w:style>
  <w:style w:type="character" w:customStyle="1" w:styleId="cf01">
    <w:name w:val="cf01"/>
    <w:basedOn w:val="Numatytasispastraiposriftas"/>
    <w:rsid w:val="00166023"/>
    <w:rPr>
      <w:rFonts w:ascii="Segoe UI" w:hAnsi="Segoe UI" w:cs="Segoe UI" w:hint="default"/>
      <w:color w:val="333333"/>
      <w:sz w:val="18"/>
      <w:szCs w:val="18"/>
      <w:shd w:val="clear" w:color="auto" w:fill="FFFFFF"/>
    </w:rPr>
  </w:style>
  <w:style w:type="character" w:customStyle="1" w:styleId="cf11">
    <w:name w:val="cf11"/>
    <w:basedOn w:val="Numatytasispastraiposriftas"/>
    <w:rsid w:val="00166023"/>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92041">
      <w:bodyDiv w:val="1"/>
      <w:marLeft w:val="0"/>
      <w:marRight w:val="0"/>
      <w:marTop w:val="0"/>
      <w:marBottom w:val="0"/>
      <w:divBdr>
        <w:top w:val="none" w:sz="0" w:space="0" w:color="auto"/>
        <w:left w:val="none" w:sz="0" w:space="0" w:color="auto"/>
        <w:bottom w:val="none" w:sz="0" w:space="0" w:color="auto"/>
        <w:right w:val="none" w:sz="0" w:space="0" w:color="auto"/>
      </w:divBdr>
    </w:div>
    <w:div w:id="425464397">
      <w:bodyDiv w:val="1"/>
      <w:marLeft w:val="0"/>
      <w:marRight w:val="0"/>
      <w:marTop w:val="0"/>
      <w:marBottom w:val="0"/>
      <w:divBdr>
        <w:top w:val="none" w:sz="0" w:space="0" w:color="auto"/>
        <w:left w:val="none" w:sz="0" w:space="0" w:color="auto"/>
        <w:bottom w:val="none" w:sz="0" w:space="0" w:color="auto"/>
        <w:right w:val="none" w:sz="0" w:space="0" w:color="auto"/>
      </w:divBdr>
    </w:div>
    <w:div w:id="785003519">
      <w:bodyDiv w:val="1"/>
      <w:marLeft w:val="0"/>
      <w:marRight w:val="0"/>
      <w:marTop w:val="0"/>
      <w:marBottom w:val="0"/>
      <w:divBdr>
        <w:top w:val="none" w:sz="0" w:space="0" w:color="auto"/>
        <w:left w:val="none" w:sz="0" w:space="0" w:color="auto"/>
        <w:bottom w:val="none" w:sz="0" w:space="0" w:color="auto"/>
        <w:right w:val="none" w:sz="0" w:space="0" w:color="auto"/>
      </w:divBdr>
      <w:divsChild>
        <w:div w:id="212812318">
          <w:marLeft w:val="0"/>
          <w:marRight w:val="0"/>
          <w:marTop w:val="0"/>
          <w:marBottom w:val="0"/>
          <w:divBdr>
            <w:top w:val="none" w:sz="0" w:space="0" w:color="auto"/>
            <w:left w:val="none" w:sz="0" w:space="0" w:color="auto"/>
            <w:bottom w:val="none" w:sz="0" w:space="0" w:color="auto"/>
            <w:right w:val="none" w:sz="0" w:space="0" w:color="auto"/>
          </w:divBdr>
        </w:div>
        <w:div w:id="603153179">
          <w:marLeft w:val="0"/>
          <w:marRight w:val="0"/>
          <w:marTop w:val="0"/>
          <w:marBottom w:val="0"/>
          <w:divBdr>
            <w:top w:val="none" w:sz="0" w:space="0" w:color="auto"/>
            <w:left w:val="none" w:sz="0" w:space="0" w:color="auto"/>
            <w:bottom w:val="none" w:sz="0" w:space="0" w:color="auto"/>
            <w:right w:val="none" w:sz="0" w:space="0" w:color="auto"/>
          </w:divBdr>
        </w:div>
      </w:divsChild>
    </w:div>
    <w:div w:id="1023288225">
      <w:bodyDiv w:val="1"/>
      <w:marLeft w:val="0"/>
      <w:marRight w:val="0"/>
      <w:marTop w:val="0"/>
      <w:marBottom w:val="0"/>
      <w:divBdr>
        <w:top w:val="none" w:sz="0" w:space="0" w:color="auto"/>
        <w:left w:val="none" w:sz="0" w:space="0" w:color="auto"/>
        <w:bottom w:val="none" w:sz="0" w:space="0" w:color="auto"/>
        <w:right w:val="none" w:sz="0" w:space="0" w:color="auto"/>
      </w:divBdr>
    </w:div>
    <w:div w:id="1035354372">
      <w:bodyDiv w:val="1"/>
      <w:marLeft w:val="0"/>
      <w:marRight w:val="0"/>
      <w:marTop w:val="0"/>
      <w:marBottom w:val="0"/>
      <w:divBdr>
        <w:top w:val="none" w:sz="0" w:space="0" w:color="auto"/>
        <w:left w:val="none" w:sz="0" w:space="0" w:color="auto"/>
        <w:bottom w:val="none" w:sz="0" w:space="0" w:color="auto"/>
        <w:right w:val="none" w:sz="0" w:space="0" w:color="auto"/>
      </w:divBdr>
    </w:div>
    <w:div w:id="1285424188">
      <w:bodyDiv w:val="1"/>
      <w:marLeft w:val="0"/>
      <w:marRight w:val="0"/>
      <w:marTop w:val="0"/>
      <w:marBottom w:val="0"/>
      <w:divBdr>
        <w:top w:val="none" w:sz="0" w:space="0" w:color="auto"/>
        <w:left w:val="none" w:sz="0" w:space="0" w:color="auto"/>
        <w:bottom w:val="none" w:sz="0" w:space="0" w:color="auto"/>
        <w:right w:val="none" w:sz="0" w:space="0" w:color="auto"/>
      </w:divBdr>
      <w:divsChild>
        <w:div w:id="214775247">
          <w:marLeft w:val="0"/>
          <w:marRight w:val="0"/>
          <w:marTop w:val="0"/>
          <w:marBottom w:val="0"/>
          <w:divBdr>
            <w:top w:val="none" w:sz="0" w:space="0" w:color="auto"/>
            <w:left w:val="none" w:sz="0" w:space="0" w:color="auto"/>
            <w:bottom w:val="none" w:sz="0" w:space="0" w:color="auto"/>
            <w:right w:val="none" w:sz="0" w:space="0" w:color="auto"/>
          </w:divBdr>
          <w:divsChild>
            <w:div w:id="633297837">
              <w:marLeft w:val="0"/>
              <w:marRight w:val="0"/>
              <w:marTop w:val="0"/>
              <w:marBottom w:val="0"/>
              <w:divBdr>
                <w:top w:val="none" w:sz="0" w:space="0" w:color="auto"/>
                <w:left w:val="none" w:sz="0" w:space="0" w:color="auto"/>
                <w:bottom w:val="none" w:sz="0" w:space="0" w:color="auto"/>
                <w:right w:val="none" w:sz="0" w:space="0" w:color="auto"/>
              </w:divBdr>
            </w:div>
            <w:div w:id="469830849">
              <w:marLeft w:val="0"/>
              <w:marRight w:val="0"/>
              <w:marTop w:val="0"/>
              <w:marBottom w:val="0"/>
              <w:divBdr>
                <w:top w:val="none" w:sz="0" w:space="0" w:color="auto"/>
                <w:left w:val="none" w:sz="0" w:space="0" w:color="auto"/>
                <w:bottom w:val="none" w:sz="0" w:space="0" w:color="auto"/>
                <w:right w:val="none" w:sz="0" w:space="0" w:color="auto"/>
              </w:divBdr>
            </w:div>
            <w:div w:id="1471897874">
              <w:marLeft w:val="0"/>
              <w:marRight w:val="0"/>
              <w:marTop w:val="0"/>
              <w:marBottom w:val="0"/>
              <w:divBdr>
                <w:top w:val="none" w:sz="0" w:space="0" w:color="auto"/>
                <w:left w:val="none" w:sz="0" w:space="0" w:color="auto"/>
                <w:bottom w:val="none" w:sz="0" w:space="0" w:color="auto"/>
                <w:right w:val="none" w:sz="0" w:space="0" w:color="auto"/>
              </w:divBdr>
            </w:div>
          </w:divsChild>
        </w:div>
        <w:div w:id="1819297138">
          <w:marLeft w:val="0"/>
          <w:marRight w:val="0"/>
          <w:marTop w:val="0"/>
          <w:marBottom w:val="0"/>
          <w:divBdr>
            <w:top w:val="none" w:sz="0" w:space="0" w:color="auto"/>
            <w:left w:val="none" w:sz="0" w:space="0" w:color="auto"/>
            <w:bottom w:val="none" w:sz="0" w:space="0" w:color="auto"/>
            <w:right w:val="none" w:sz="0" w:space="0" w:color="auto"/>
          </w:divBdr>
        </w:div>
      </w:divsChild>
    </w:div>
    <w:div w:id="1697658788">
      <w:bodyDiv w:val="1"/>
      <w:marLeft w:val="0"/>
      <w:marRight w:val="0"/>
      <w:marTop w:val="0"/>
      <w:marBottom w:val="0"/>
      <w:divBdr>
        <w:top w:val="none" w:sz="0" w:space="0" w:color="auto"/>
        <w:left w:val="none" w:sz="0" w:space="0" w:color="auto"/>
        <w:bottom w:val="none" w:sz="0" w:space="0" w:color="auto"/>
        <w:right w:val="none" w:sz="0" w:space="0" w:color="auto"/>
      </w:divBdr>
    </w:div>
    <w:div w:id="1840996745">
      <w:bodyDiv w:val="1"/>
      <w:marLeft w:val="0"/>
      <w:marRight w:val="0"/>
      <w:marTop w:val="0"/>
      <w:marBottom w:val="0"/>
      <w:divBdr>
        <w:top w:val="none" w:sz="0" w:space="0" w:color="auto"/>
        <w:left w:val="none" w:sz="0" w:space="0" w:color="auto"/>
        <w:bottom w:val="none" w:sz="0" w:space="0" w:color="auto"/>
        <w:right w:val="none" w:sz="0" w:space="0" w:color="auto"/>
      </w:divBdr>
      <w:divsChild>
        <w:div w:id="2096198800">
          <w:marLeft w:val="0"/>
          <w:marRight w:val="0"/>
          <w:marTop w:val="0"/>
          <w:marBottom w:val="0"/>
          <w:divBdr>
            <w:top w:val="none" w:sz="0" w:space="0" w:color="auto"/>
            <w:left w:val="none" w:sz="0" w:space="0" w:color="auto"/>
            <w:bottom w:val="none" w:sz="0" w:space="0" w:color="auto"/>
            <w:right w:val="none" w:sz="0" w:space="0" w:color="auto"/>
          </w:divBdr>
        </w:div>
      </w:divsChild>
    </w:div>
    <w:div w:id="213694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432377A3-1AEE-4353-B616-A57A74061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820</Words>
  <Characters>4675</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5485</CharactersWithSpaces>
  <SharedDoc>false</SharedDoc>
  <HyperlinkBase/>
  <HLinks>
    <vt:vector size="6" baseType="variant">
      <vt:variant>
        <vt:i4>7405693</vt:i4>
      </vt:variant>
      <vt:variant>
        <vt:i4>0</vt:i4>
      </vt:variant>
      <vt:variant>
        <vt:i4>0</vt:i4>
      </vt:variant>
      <vt:variant>
        <vt:i4>5</vt:i4>
      </vt:variant>
      <vt:variant>
        <vt:lpwstr>http://www.teismai.lt/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Alina Dokutovičienė</cp:lastModifiedBy>
  <cp:revision>4</cp:revision>
  <cp:lastPrinted>2015-12-15T12:32:00Z</cp:lastPrinted>
  <dcterms:created xsi:type="dcterms:W3CDTF">2023-03-31T07:51:00Z</dcterms:created>
  <dcterms:modified xsi:type="dcterms:W3CDTF">2023-03-31T10:14:00Z</dcterms:modified>
</cp:coreProperties>
</file>