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E06F3" w14:textId="2F916B9F" w:rsidR="00A411CE" w:rsidRDefault="0083567C">
      <w:pPr>
        <w:pStyle w:val="Data"/>
        <w:rPr>
          <w:noProof/>
          <w:lang w:eastAsia="lt-LT"/>
        </w:rPr>
      </w:pPr>
      <w:r>
        <w:rPr>
          <w:noProof/>
        </w:rPr>
        <w:drawing>
          <wp:inline distT="0" distB="0" distL="0" distR="0" wp14:anchorId="23DDE7A3" wp14:editId="172CDFC6">
            <wp:extent cx="733425" cy="762000"/>
            <wp:effectExtent l="0" t="0" r="9525" b="0"/>
            <wp:docPr id="164027196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0F48924F" w14:textId="77777777" w:rsidR="00A411CE" w:rsidRDefault="00A411CE">
      <w:pPr>
        <w:pStyle w:val="Data"/>
        <w:rPr>
          <w:sz w:val="16"/>
        </w:rPr>
      </w:pPr>
    </w:p>
    <w:p w14:paraId="49BCCA26" w14:textId="77777777" w:rsidR="002462EB" w:rsidRDefault="002462EB">
      <w:pPr>
        <w:pStyle w:val="Pavadinimas"/>
        <w:spacing w:line="480" w:lineRule="auto"/>
        <w:rPr>
          <w:sz w:val="24"/>
        </w:rPr>
      </w:pPr>
      <w:r>
        <w:rPr>
          <w:sz w:val="24"/>
        </w:rPr>
        <w:t>TEISĖJŲ TARYBA</w:t>
      </w:r>
    </w:p>
    <w:p w14:paraId="6AA3F13D" w14:textId="77777777" w:rsidR="002462EB" w:rsidRDefault="002462EB">
      <w:pPr>
        <w:pStyle w:val="Pavadinimas"/>
        <w:rPr>
          <w:sz w:val="24"/>
        </w:rPr>
      </w:pPr>
      <w:r>
        <w:rPr>
          <w:sz w:val="24"/>
        </w:rPr>
        <w:t>NUTARIMAS</w:t>
      </w:r>
    </w:p>
    <w:p w14:paraId="2E6A9E68" w14:textId="77777777" w:rsidR="00892619" w:rsidRDefault="00892619">
      <w:pPr>
        <w:pStyle w:val="Pavadinimas"/>
        <w:rPr>
          <w:sz w:val="24"/>
        </w:rPr>
      </w:pPr>
      <w:r>
        <w:rPr>
          <w:sz w:val="24"/>
        </w:rPr>
        <w:t xml:space="preserve">DĖL TEISĖJŲ TARYBOS 2014 M. SAUSIO 31 D. NUTARIMO </w:t>
      </w:r>
    </w:p>
    <w:p w14:paraId="4B4BCF2D" w14:textId="7C3D6BE6" w:rsidR="00892619" w:rsidRDefault="00892619">
      <w:pPr>
        <w:pStyle w:val="Pavadinimas"/>
        <w:rPr>
          <w:sz w:val="24"/>
        </w:rPr>
      </w:pPr>
      <w:r>
        <w:rPr>
          <w:sz w:val="24"/>
        </w:rPr>
        <w:t>Nr. 13P-16-(7.1.2</w:t>
      </w:r>
      <w:r w:rsidR="007C1C1F">
        <w:rPr>
          <w:sz w:val="24"/>
        </w:rPr>
        <w:t>.</w:t>
      </w:r>
      <w:r>
        <w:rPr>
          <w:sz w:val="24"/>
        </w:rPr>
        <w:t>) „</w:t>
      </w:r>
      <w:r w:rsidR="002462EB">
        <w:rPr>
          <w:sz w:val="24"/>
        </w:rPr>
        <w:t>DĖL TEISMŲ BIUDŽETŲ PROJEKTŲ RENGIMO TVARKOS APRAŠO PATVIRTINIMO</w:t>
      </w:r>
      <w:r>
        <w:rPr>
          <w:sz w:val="24"/>
        </w:rPr>
        <w:t xml:space="preserve">“ </w:t>
      </w:r>
    </w:p>
    <w:p w14:paraId="3657D18E" w14:textId="77777777" w:rsidR="002462EB" w:rsidRDefault="00892619">
      <w:pPr>
        <w:pStyle w:val="Pavadinimas"/>
        <w:rPr>
          <w:sz w:val="24"/>
        </w:rPr>
      </w:pPr>
      <w:r>
        <w:rPr>
          <w:sz w:val="24"/>
        </w:rPr>
        <w:t>PAKEITIMO</w:t>
      </w:r>
    </w:p>
    <w:p w14:paraId="620F171D" w14:textId="77777777" w:rsidR="002462EB" w:rsidRDefault="002462EB">
      <w:pPr>
        <w:pStyle w:val="Data"/>
      </w:pPr>
    </w:p>
    <w:p w14:paraId="77F6AE44" w14:textId="30E2ECA0" w:rsidR="002462EB" w:rsidRDefault="00EC3629">
      <w:pPr>
        <w:pStyle w:val="Data"/>
      </w:pPr>
      <w:r>
        <w:t>20</w:t>
      </w:r>
      <w:r w:rsidR="00892619">
        <w:t>2</w:t>
      </w:r>
      <w:r w:rsidR="00A411CE">
        <w:t>3</w:t>
      </w:r>
      <w:r w:rsidR="002462EB">
        <w:t xml:space="preserve"> m. </w:t>
      </w:r>
      <w:r w:rsidR="0083567C">
        <w:t xml:space="preserve">kovo 31 </w:t>
      </w:r>
      <w:r w:rsidR="002462EB">
        <w:t xml:space="preserve">d. Nr. </w:t>
      </w:r>
      <w:r w:rsidR="00347976">
        <w:t>13P-</w:t>
      </w:r>
      <w:r w:rsidR="00BA188A">
        <w:t>60</w:t>
      </w:r>
      <w:r w:rsidR="00347976">
        <w:t>-(7.1.2</w:t>
      </w:r>
      <w:r w:rsidR="00AA69B7">
        <w:t>.</w:t>
      </w:r>
      <w:r w:rsidR="00347976">
        <w:t>)</w:t>
      </w:r>
    </w:p>
    <w:p w14:paraId="4D8854C6" w14:textId="77777777" w:rsidR="002462EB" w:rsidRDefault="002462EB">
      <w:pPr>
        <w:pStyle w:val="Data"/>
      </w:pPr>
      <w:r>
        <w:t>Vilnius</w:t>
      </w:r>
    </w:p>
    <w:p w14:paraId="48B58CCA" w14:textId="77777777" w:rsidR="0083567C" w:rsidRDefault="0083567C" w:rsidP="00BA7AF4">
      <w:pPr>
        <w:pStyle w:val="Pavadinimas"/>
        <w:ind w:left="0" w:right="0" w:firstLine="720"/>
        <w:jc w:val="both"/>
        <w:rPr>
          <w:b w:val="0"/>
          <w:caps w:val="0"/>
          <w:sz w:val="24"/>
        </w:rPr>
      </w:pPr>
    </w:p>
    <w:p w14:paraId="6B7C26E3" w14:textId="387DAF29" w:rsidR="00A411CE" w:rsidRPr="00AB5F60" w:rsidRDefault="0083567C" w:rsidP="0083567C">
      <w:pPr>
        <w:pStyle w:val="Pavadinimas"/>
        <w:spacing w:line="360" w:lineRule="auto"/>
        <w:ind w:left="0" w:right="0" w:firstLine="720"/>
        <w:jc w:val="both"/>
        <w:rPr>
          <w:b w:val="0"/>
          <w:caps w:val="0"/>
          <w:sz w:val="24"/>
        </w:rPr>
      </w:pPr>
      <w:r>
        <w:rPr>
          <w:b w:val="0"/>
          <w:caps w:val="0"/>
          <w:sz w:val="24"/>
        </w:rPr>
        <w:t>V</w:t>
      </w:r>
      <w:r w:rsidR="002462EB" w:rsidRPr="00AB5F60">
        <w:rPr>
          <w:b w:val="0"/>
          <w:caps w:val="0"/>
          <w:sz w:val="24"/>
        </w:rPr>
        <w:t>adovaudamasi Lietu</w:t>
      </w:r>
      <w:r w:rsidR="00AC0D1C" w:rsidRPr="00AB5F60">
        <w:rPr>
          <w:b w:val="0"/>
          <w:caps w:val="0"/>
          <w:sz w:val="24"/>
        </w:rPr>
        <w:t xml:space="preserve">vos Respublikos teismų įstatymo </w:t>
      </w:r>
      <w:r w:rsidR="002462EB" w:rsidRPr="00AB5F60">
        <w:rPr>
          <w:b w:val="0"/>
          <w:caps w:val="0"/>
          <w:sz w:val="24"/>
        </w:rPr>
        <w:t>120 straipsnio 20 ir 27 punktais</w:t>
      </w:r>
      <w:r w:rsidR="00AB5F60" w:rsidRPr="00AB5F60">
        <w:rPr>
          <w:b w:val="0"/>
          <w:caps w:val="0"/>
          <w:sz w:val="24"/>
        </w:rPr>
        <w:t xml:space="preserve"> ir </w:t>
      </w:r>
      <w:r w:rsidR="004E1874" w:rsidRPr="00301A20">
        <w:rPr>
          <w:b w:val="0"/>
          <w:bCs w:val="0"/>
          <w:caps w:val="0"/>
          <w:sz w:val="24"/>
        </w:rPr>
        <w:t>Strateginio valdymo metodik</w:t>
      </w:r>
      <w:r w:rsidR="00B1752F">
        <w:rPr>
          <w:b w:val="0"/>
          <w:bCs w:val="0"/>
          <w:caps w:val="0"/>
          <w:sz w:val="24"/>
        </w:rPr>
        <w:t>a</w:t>
      </w:r>
      <w:r w:rsidR="004E1874">
        <w:rPr>
          <w:b w:val="0"/>
          <w:bCs w:val="0"/>
          <w:caps w:val="0"/>
          <w:sz w:val="24"/>
        </w:rPr>
        <w:t>,</w:t>
      </w:r>
      <w:r w:rsidR="004E1874" w:rsidRPr="00301A20">
        <w:rPr>
          <w:b w:val="0"/>
          <w:bCs w:val="0"/>
          <w:caps w:val="0"/>
          <w:sz w:val="24"/>
        </w:rPr>
        <w:t xml:space="preserve"> patvirtint</w:t>
      </w:r>
      <w:r w:rsidR="00B1752F">
        <w:rPr>
          <w:b w:val="0"/>
          <w:bCs w:val="0"/>
          <w:caps w:val="0"/>
          <w:sz w:val="24"/>
        </w:rPr>
        <w:t>a</w:t>
      </w:r>
      <w:r w:rsidR="004E1874" w:rsidRPr="00301A20">
        <w:rPr>
          <w:b w:val="0"/>
          <w:bCs w:val="0"/>
          <w:caps w:val="0"/>
          <w:sz w:val="24"/>
        </w:rPr>
        <w:t xml:space="preserve"> </w:t>
      </w:r>
      <w:r w:rsidR="00301A20" w:rsidRPr="00301A20">
        <w:rPr>
          <w:b w:val="0"/>
          <w:bCs w:val="0"/>
          <w:caps w:val="0"/>
          <w:sz w:val="24"/>
        </w:rPr>
        <w:t>Lietuvos Respublikos Vyriausybės 2021 m. balandžio 28 d. nutarimo Nr. 292 „</w:t>
      </w:r>
      <w:r w:rsidR="00301A20" w:rsidRPr="00301A20">
        <w:rPr>
          <w:b w:val="0"/>
          <w:bCs w:val="0"/>
          <w:caps w:val="0"/>
          <w:sz w:val="24"/>
          <w:shd w:val="clear" w:color="auto" w:fill="FFFFFF"/>
        </w:rPr>
        <w:t>Dėl Strateginio valdymo metodikos patvirtinimo</w:t>
      </w:r>
      <w:r w:rsidR="00301A20" w:rsidRPr="00301A20">
        <w:rPr>
          <w:b w:val="0"/>
          <w:bCs w:val="0"/>
          <w:caps w:val="0"/>
          <w:sz w:val="24"/>
        </w:rPr>
        <w:t>“ (su visais pakeitimais ir papildymais) 1 punktu</w:t>
      </w:r>
      <w:r w:rsidR="00AB5F60" w:rsidRPr="00301A20">
        <w:rPr>
          <w:rFonts w:eastAsia="Calibri"/>
          <w:b w:val="0"/>
          <w:bCs w:val="0"/>
          <w:caps w:val="0"/>
          <w:sz w:val="24"/>
          <w:lang w:eastAsia="lt-LT"/>
        </w:rPr>
        <w:t>,</w:t>
      </w:r>
      <w:r w:rsidR="002462EB" w:rsidRPr="00AB5F60">
        <w:rPr>
          <w:b w:val="0"/>
          <w:caps w:val="0"/>
          <w:sz w:val="24"/>
        </w:rPr>
        <w:t xml:space="preserve"> Teisėjų taryba n u t a r i a</w:t>
      </w:r>
      <w:r w:rsidR="00892619" w:rsidRPr="00AB5F60">
        <w:rPr>
          <w:b w:val="0"/>
          <w:caps w:val="0"/>
          <w:sz w:val="24"/>
        </w:rPr>
        <w:t>:</w:t>
      </w:r>
    </w:p>
    <w:p w14:paraId="1E587A04" w14:textId="18B5787D" w:rsidR="002462EB" w:rsidRDefault="002462EB" w:rsidP="0083567C">
      <w:pPr>
        <w:pStyle w:val="Pavadinimas"/>
        <w:spacing w:line="360" w:lineRule="auto"/>
        <w:ind w:left="0" w:right="0" w:firstLine="720"/>
        <w:jc w:val="both"/>
        <w:rPr>
          <w:b w:val="0"/>
          <w:caps w:val="0"/>
          <w:sz w:val="24"/>
        </w:rPr>
      </w:pPr>
      <w:r>
        <w:rPr>
          <w:b w:val="0"/>
          <w:caps w:val="0"/>
          <w:sz w:val="24"/>
        </w:rPr>
        <w:t>Pa</w:t>
      </w:r>
      <w:r w:rsidR="00892619">
        <w:rPr>
          <w:b w:val="0"/>
          <w:caps w:val="0"/>
          <w:sz w:val="24"/>
        </w:rPr>
        <w:t xml:space="preserve">keisti </w:t>
      </w:r>
      <w:r w:rsidR="004E1874">
        <w:rPr>
          <w:b w:val="0"/>
          <w:caps w:val="0"/>
          <w:sz w:val="24"/>
        </w:rPr>
        <w:t xml:space="preserve">Teismų biudžetų projektų rengimo tvarkos aprašą, patvirtintą </w:t>
      </w:r>
      <w:r w:rsidR="00892619">
        <w:rPr>
          <w:b w:val="0"/>
          <w:caps w:val="0"/>
          <w:sz w:val="24"/>
        </w:rPr>
        <w:t>Teisėjų tarybos 2014</w:t>
      </w:r>
      <w:r w:rsidR="001E6EED">
        <w:rPr>
          <w:b w:val="0"/>
          <w:caps w:val="0"/>
          <w:sz w:val="24"/>
        </w:rPr>
        <w:t xml:space="preserve"> </w:t>
      </w:r>
      <w:r w:rsidR="00892619">
        <w:rPr>
          <w:b w:val="0"/>
          <w:caps w:val="0"/>
          <w:sz w:val="24"/>
        </w:rPr>
        <w:t>m. sausio 31 d. nutarimu Nr. 13P-16-(7.1.2</w:t>
      </w:r>
      <w:r w:rsidR="007C1C1F">
        <w:rPr>
          <w:b w:val="0"/>
          <w:caps w:val="0"/>
          <w:sz w:val="24"/>
        </w:rPr>
        <w:t>.</w:t>
      </w:r>
      <w:r w:rsidR="00892619">
        <w:rPr>
          <w:b w:val="0"/>
          <w:caps w:val="0"/>
          <w:sz w:val="24"/>
        </w:rPr>
        <w:t xml:space="preserve">) „Dėl Teismų biudžetų projektų rengimo tvarkos aprašo patvirtinimo“ </w:t>
      </w:r>
      <w:r w:rsidR="00D05514">
        <w:rPr>
          <w:b w:val="0"/>
          <w:caps w:val="0"/>
          <w:sz w:val="24"/>
        </w:rPr>
        <w:t>(toliau – Aprašas):</w:t>
      </w:r>
    </w:p>
    <w:p w14:paraId="61097580" w14:textId="7734405B" w:rsidR="00D05514" w:rsidRPr="00AB5F60" w:rsidRDefault="00D05514" w:rsidP="0083567C">
      <w:pPr>
        <w:pStyle w:val="Pavadinimas"/>
        <w:spacing w:line="360" w:lineRule="auto"/>
        <w:ind w:left="0" w:right="0" w:firstLine="720"/>
        <w:jc w:val="both"/>
        <w:rPr>
          <w:b w:val="0"/>
          <w:caps w:val="0"/>
          <w:sz w:val="24"/>
        </w:rPr>
      </w:pPr>
      <w:r w:rsidRPr="00AB5F60">
        <w:rPr>
          <w:b w:val="0"/>
          <w:caps w:val="0"/>
          <w:sz w:val="24"/>
        </w:rPr>
        <w:t>1. Pakeisti Aprašo 5.3 papunktį ir jį išdėstyti taip:</w:t>
      </w:r>
    </w:p>
    <w:p w14:paraId="65505A69" w14:textId="204181D4" w:rsidR="00A411CE" w:rsidRPr="00AB5F60" w:rsidRDefault="00032D60" w:rsidP="0083567C">
      <w:pPr>
        <w:pStyle w:val="Pagrindinistekstas"/>
        <w:spacing w:line="360" w:lineRule="auto"/>
        <w:ind w:firstLine="720"/>
      </w:pPr>
      <w:r w:rsidRPr="00AB5F60">
        <w:t>„</w:t>
      </w:r>
      <w:r w:rsidR="00A411CE" w:rsidRPr="00AB5F60">
        <w:t xml:space="preserve">5.3. Balandžio–gegužės mėnesiais, ne vėliau kaip iki Lietuvos Respublikos Vyriausybės patvirtintame ateinančių metų valstybės biudžeto ir savivaldybių biudžetų finansinių rodiklių projektų rengimo plane nurodyto termino pabaigos, teismai, pateikdami kopiją Nacionalinei teismų administracijai, Finansų ministerijai teikia </w:t>
      </w:r>
      <w:r w:rsidR="0044604C">
        <w:t xml:space="preserve">informaciją apie </w:t>
      </w:r>
      <w:r w:rsidR="001B49FC">
        <w:t xml:space="preserve">valstybės biudžeto asignavimų </w:t>
      </w:r>
      <w:r w:rsidR="0044604C">
        <w:t xml:space="preserve">poreikius, </w:t>
      </w:r>
      <w:r w:rsidR="00A411CE" w:rsidRPr="00AB5F60">
        <w:t>Finansų ministerijos prašom</w:t>
      </w:r>
      <w:r w:rsidR="007559F1">
        <w:t>a</w:t>
      </w:r>
      <w:r w:rsidR="00A411CE" w:rsidRPr="00AB5F60">
        <w:t>s užpildyti form</w:t>
      </w:r>
      <w:r w:rsidR="007559F1">
        <w:t>a</w:t>
      </w:r>
      <w:r w:rsidR="00A411CE" w:rsidRPr="00AB5F60">
        <w:t xml:space="preserve">s (jei tokios yra), kuriuose nurodyti </w:t>
      </w:r>
      <w:r w:rsidR="007559F1">
        <w:t xml:space="preserve">bendri </w:t>
      </w:r>
      <w:r w:rsidR="00A411CE" w:rsidRPr="00AB5F60">
        <w:t>lėšų poreikiai, įskaitant poreikius naujoms funkcijoms, veikloms ir (arba) priemonėms vykdyti, turi atitikti teismų pagal šio Aprašo 5.2 punktą pateiktus poreikių duomenis.</w:t>
      </w:r>
      <w:r w:rsidRPr="00AB5F60">
        <w:t>“</w:t>
      </w:r>
    </w:p>
    <w:p w14:paraId="4F23225D" w14:textId="2705EF34" w:rsidR="00D05514" w:rsidRPr="00AB5F60" w:rsidRDefault="00D05514" w:rsidP="0083567C">
      <w:pPr>
        <w:pStyle w:val="Pavadinimas"/>
        <w:spacing w:line="360" w:lineRule="auto"/>
        <w:ind w:left="0" w:right="0" w:firstLine="720"/>
        <w:jc w:val="both"/>
        <w:rPr>
          <w:b w:val="0"/>
          <w:caps w:val="0"/>
          <w:sz w:val="24"/>
        </w:rPr>
      </w:pPr>
      <w:r w:rsidRPr="00AB5F60">
        <w:rPr>
          <w:b w:val="0"/>
          <w:caps w:val="0"/>
          <w:sz w:val="24"/>
        </w:rPr>
        <w:t>2. Pakeisti Aprašo 5.7 papunktį ir jį išdėstyti taip:</w:t>
      </w:r>
    </w:p>
    <w:p w14:paraId="56A96BCC" w14:textId="4EFD7CC8" w:rsidR="00A411CE" w:rsidRPr="00AB5F60" w:rsidRDefault="00032D60" w:rsidP="0083567C">
      <w:pPr>
        <w:pStyle w:val="Pagrindinistekstas"/>
        <w:spacing w:line="360" w:lineRule="auto"/>
        <w:ind w:firstLine="720"/>
      </w:pPr>
      <w:r w:rsidRPr="00AB5F60">
        <w:t>„</w:t>
      </w:r>
      <w:r w:rsidR="00A411CE" w:rsidRPr="00AB5F60">
        <w:t xml:space="preserve">5.7. Teisėjų tarybai aprobavus numatomų maksimalių valstybės biudžeto asignavimų paskirstymo teismams projektą, Nacionalinė teismų administracija praneša teismams </w:t>
      </w:r>
      <w:r w:rsidR="00533B1E">
        <w:t xml:space="preserve">informaciją apie priimtą Teisėjų tarybos nutarimą ir </w:t>
      </w:r>
      <w:r w:rsidR="00A411CE" w:rsidRPr="00AB5F60">
        <w:t xml:space="preserve">programų sąmatų projektų sudarymo </w:t>
      </w:r>
      <w:r w:rsidR="002522AB">
        <w:t>bei</w:t>
      </w:r>
      <w:r w:rsidR="00A411CE" w:rsidRPr="00AB5F60">
        <w:t xml:space="preserve"> jų pateikimo terminus. Nustatomi tokie programų sąmatų projektų sudarymo ir jų pateikimo terminai, kad Nacionalinė teismų administracija galėtų laiku pateikti Finansų ministerijai bendr</w:t>
      </w:r>
      <w:r w:rsidR="00D7331C">
        <w:t>as</w:t>
      </w:r>
      <w:r w:rsidR="00A411CE" w:rsidRPr="00AB5F60">
        <w:t xml:space="preserve"> teismų </w:t>
      </w:r>
      <w:r w:rsidR="00D7331C">
        <w:t xml:space="preserve">duomenų </w:t>
      </w:r>
      <w:r w:rsidR="00A411CE" w:rsidRPr="00AB5F60">
        <w:t>suvestin</w:t>
      </w:r>
      <w:r w:rsidR="00D7331C">
        <w:t>es, jei Finansų ministerija tokių prašo</w:t>
      </w:r>
      <w:r w:rsidR="00A411CE" w:rsidRPr="00AB5F60">
        <w:t>.</w:t>
      </w:r>
      <w:r w:rsidRPr="00AB5F60">
        <w:t>“</w:t>
      </w:r>
    </w:p>
    <w:p w14:paraId="531FCC06" w14:textId="144904E4" w:rsidR="00D05514" w:rsidRPr="00AB5F60" w:rsidRDefault="00D05514" w:rsidP="0083567C">
      <w:pPr>
        <w:pStyle w:val="Pavadinimas"/>
        <w:spacing w:line="360" w:lineRule="auto"/>
        <w:ind w:left="0" w:right="0" w:firstLine="720"/>
        <w:jc w:val="both"/>
        <w:rPr>
          <w:b w:val="0"/>
          <w:caps w:val="0"/>
          <w:sz w:val="24"/>
        </w:rPr>
      </w:pPr>
      <w:r w:rsidRPr="00AB5F60">
        <w:rPr>
          <w:b w:val="0"/>
          <w:caps w:val="0"/>
          <w:sz w:val="24"/>
        </w:rPr>
        <w:t>3. Pakeisti Aprašo 5.8 papunktį ir jį išdėstyti taip:</w:t>
      </w:r>
    </w:p>
    <w:p w14:paraId="3C996267" w14:textId="1D24D1C0" w:rsidR="00A411CE" w:rsidRPr="00AB5F60" w:rsidRDefault="00032D60" w:rsidP="0083567C">
      <w:pPr>
        <w:pStyle w:val="Pagrindinistekstas"/>
        <w:spacing w:line="360" w:lineRule="auto"/>
        <w:ind w:firstLine="720"/>
      </w:pPr>
      <w:r w:rsidRPr="00AB5F60">
        <w:t>„</w:t>
      </w:r>
      <w:r w:rsidR="00A411CE" w:rsidRPr="00AB5F60">
        <w:t>5.8. Rugpjūčio</w:t>
      </w:r>
      <w:r w:rsidR="00E24DB9">
        <w:t>–rugsėjo</w:t>
      </w:r>
      <w:r w:rsidR="00A411CE" w:rsidRPr="00AB5F60">
        <w:t xml:space="preserve"> mėnes</w:t>
      </w:r>
      <w:r w:rsidR="00E24DB9">
        <w:t>iais</w:t>
      </w:r>
      <w:r w:rsidR="00A411CE" w:rsidRPr="00AB5F60">
        <w:t xml:space="preserve"> šio Aprašo 5.7 punkte ir Lietuvos Respublikos Vyriausybės patvirtintame ateinančių metų valstybės biudžeto ir savivaldybių biudžetų finansinių </w:t>
      </w:r>
      <w:r w:rsidR="00A411CE" w:rsidRPr="00AB5F60">
        <w:lastRenderedPageBreak/>
        <w:t xml:space="preserve">rodiklių projektų rengimo plane nurodytais terminais teismai, neviršydami numatomų maksimalių valstybės biudžeto asignavimų paskirstymo teismams projekte nurodytų asignavimų apimčių, </w:t>
      </w:r>
      <w:r w:rsidR="00E24DB9">
        <w:t xml:space="preserve">parengia </w:t>
      </w:r>
      <w:r w:rsidR="00A411CE" w:rsidRPr="00AB5F60">
        <w:t>ateinančių trejų metų programų sąmatų projekt</w:t>
      </w:r>
      <w:r w:rsidR="00E24DB9">
        <w:t>us ir</w:t>
      </w:r>
      <w:r w:rsidR="00A411CE" w:rsidRPr="00AB5F60">
        <w:t xml:space="preserve"> pateikia juos Finansų ministerijai </w:t>
      </w:r>
      <w:r w:rsidR="00E24DB9">
        <w:t>bei</w:t>
      </w:r>
      <w:r w:rsidR="00E24DB9" w:rsidRPr="00AB5F60">
        <w:t xml:space="preserve"> </w:t>
      </w:r>
      <w:r w:rsidR="00A411CE" w:rsidRPr="00AB5F60">
        <w:t>Nacionalinei teismų administracijai</w:t>
      </w:r>
      <w:r w:rsidR="00E24DB9">
        <w:t>, taip pat,</w:t>
      </w:r>
      <w:r w:rsidR="00E24DB9" w:rsidRPr="00E24DB9">
        <w:t xml:space="preserve"> </w:t>
      </w:r>
      <w:r w:rsidR="00E24DB9" w:rsidRPr="00AB5F60">
        <w:t xml:space="preserve">vadovaudamiesi Strateginio valdymo metodika, </w:t>
      </w:r>
      <w:r w:rsidR="00E24DB9">
        <w:t>rengia</w:t>
      </w:r>
      <w:r w:rsidR="00E24DB9" w:rsidRPr="00AB5F60">
        <w:t xml:space="preserve"> ateinančių trejų metų strateginių veiklos planų projektus</w:t>
      </w:r>
      <w:r w:rsidR="00A411CE" w:rsidRPr="00AB5F60">
        <w:t>.</w:t>
      </w:r>
      <w:r w:rsidRPr="00AB5F60">
        <w:t>“</w:t>
      </w:r>
    </w:p>
    <w:p w14:paraId="1F7A4C93" w14:textId="18D8D170" w:rsidR="00D05514" w:rsidRPr="00AB5F60" w:rsidRDefault="00D05514" w:rsidP="0083567C">
      <w:pPr>
        <w:pStyle w:val="Pavadinimas"/>
        <w:spacing w:line="360" w:lineRule="auto"/>
        <w:ind w:left="0" w:right="0" w:firstLine="720"/>
        <w:jc w:val="both"/>
        <w:rPr>
          <w:b w:val="0"/>
          <w:caps w:val="0"/>
          <w:sz w:val="24"/>
        </w:rPr>
      </w:pPr>
      <w:r w:rsidRPr="00AB5F60">
        <w:rPr>
          <w:b w:val="0"/>
          <w:caps w:val="0"/>
          <w:sz w:val="24"/>
        </w:rPr>
        <w:t>4. Pakeisti Aprašo 5.11 papunktį ir jį išdėstyti taip:</w:t>
      </w:r>
    </w:p>
    <w:p w14:paraId="6360D578" w14:textId="77E6F380" w:rsidR="00A411CE" w:rsidRDefault="00032D60" w:rsidP="0083567C">
      <w:pPr>
        <w:pStyle w:val="Pagrindinistekstas"/>
        <w:spacing w:line="360" w:lineRule="auto"/>
        <w:ind w:firstLine="720"/>
      </w:pPr>
      <w:r w:rsidRPr="00AB5F60">
        <w:t>„</w:t>
      </w:r>
      <w:r w:rsidR="00A411CE" w:rsidRPr="00AB5F60">
        <w:t>5.11. Iki lapkričio 1 d.</w:t>
      </w:r>
      <w:r w:rsidR="00423DA6" w:rsidRPr="00423DA6">
        <w:t xml:space="preserve"> </w:t>
      </w:r>
      <w:r w:rsidR="00423DA6" w:rsidRPr="00AB5F60">
        <w:t>teismai</w:t>
      </w:r>
      <w:r w:rsidR="002522AB" w:rsidRPr="002522AB">
        <w:t xml:space="preserve"> </w:t>
      </w:r>
      <w:r w:rsidR="002522AB">
        <w:t xml:space="preserve">baigtus rengti </w:t>
      </w:r>
      <w:r w:rsidR="002522AB" w:rsidRPr="00AB5F60">
        <w:t xml:space="preserve">ateinančių trejų metų strateginių veiklos planų projektus pateikia Finansų ministerijai </w:t>
      </w:r>
      <w:r w:rsidR="002522AB">
        <w:t>ir</w:t>
      </w:r>
      <w:r w:rsidR="002522AB" w:rsidRPr="00AB5F60">
        <w:t xml:space="preserve"> Nacionalinei teismų administracijai</w:t>
      </w:r>
      <w:r w:rsidR="00A411CE" w:rsidRPr="00AB5F60">
        <w:t>.</w:t>
      </w:r>
      <w:r w:rsidRPr="00AB5F60">
        <w:t>“</w:t>
      </w:r>
    </w:p>
    <w:p w14:paraId="08DC3382" w14:textId="02B0B87B" w:rsidR="0083567C" w:rsidRDefault="0083567C" w:rsidP="00BA7AF4">
      <w:pPr>
        <w:pStyle w:val="Pagrindinistekstas"/>
        <w:ind w:firstLine="720"/>
      </w:pPr>
    </w:p>
    <w:p w14:paraId="50A1E747" w14:textId="77777777" w:rsidR="0083567C" w:rsidRPr="00AB5F60" w:rsidRDefault="0083567C" w:rsidP="00BA7AF4">
      <w:pPr>
        <w:pStyle w:val="Pagrindinistekstas"/>
        <w:ind w:firstLine="720"/>
      </w:pPr>
    </w:p>
    <w:tbl>
      <w:tblPr>
        <w:tblW w:w="0" w:type="auto"/>
        <w:tblLayout w:type="fixed"/>
        <w:tblLook w:val="0000" w:firstRow="0" w:lastRow="0" w:firstColumn="0" w:lastColumn="0" w:noHBand="0" w:noVBand="0"/>
      </w:tblPr>
      <w:tblGrid>
        <w:gridCol w:w="7308"/>
        <w:gridCol w:w="2490"/>
      </w:tblGrid>
      <w:tr w:rsidR="0083567C" w14:paraId="57CA145B" w14:textId="77777777" w:rsidTr="008A33F4">
        <w:tc>
          <w:tcPr>
            <w:tcW w:w="7308" w:type="dxa"/>
          </w:tcPr>
          <w:p w14:paraId="21626A15" w14:textId="77777777" w:rsidR="0083567C" w:rsidRDefault="0083567C" w:rsidP="008A33F4">
            <w:r>
              <w:t>Pirmininkė</w:t>
            </w:r>
          </w:p>
        </w:tc>
        <w:tc>
          <w:tcPr>
            <w:tcW w:w="2490" w:type="dxa"/>
          </w:tcPr>
          <w:p w14:paraId="578C5DA7" w14:textId="77777777" w:rsidR="0083567C" w:rsidRDefault="0083567C" w:rsidP="008A33F4">
            <w:r>
              <w:t>Sigita Rudėnaitė</w:t>
            </w:r>
          </w:p>
          <w:p w14:paraId="3EF1A815" w14:textId="77777777" w:rsidR="0083567C" w:rsidRDefault="0083567C" w:rsidP="008A33F4"/>
        </w:tc>
      </w:tr>
    </w:tbl>
    <w:p w14:paraId="6CCF2749" w14:textId="77777777" w:rsidR="0083567C" w:rsidRDefault="0083567C" w:rsidP="0083567C"/>
    <w:tbl>
      <w:tblPr>
        <w:tblW w:w="0" w:type="auto"/>
        <w:tblLayout w:type="fixed"/>
        <w:tblLook w:val="0000" w:firstRow="0" w:lastRow="0" w:firstColumn="0" w:lastColumn="0" w:noHBand="0" w:noVBand="0"/>
      </w:tblPr>
      <w:tblGrid>
        <w:gridCol w:w="7308"/>
        <w:gridCol w:w="2490"/>
      </w:tblGrid>
      <w:tr w:rsidR="0083567C" w14:paraId="1F6F3CC5" w14:textId="77777777" w:rsidTr="008A33F4">
        <w:tc>
          <w:tcPr>
            <w:tcW w:w="7308" w:type="dxa"/>
          </w:tcPr>
          <w:p w14:paraId="622303E5" w14:textId="77777777" w:rsidR="0083567C" w:rsidRDefault="0083567C" w:rsidP="008A33F4">
            <w:r>
              <w:t>Sekretorius</w:t>
            </w:r>
          </w:p>
        </w:tc>
        <w:tc>
          <w:tcPr>
            <w:tcW w:w="2490" w:type="dxa"/>
          </w:tcPr>
          <w:p w14:paraId="74594314" w14:textId="77777777" w:rsidR="0083567C" w:rsidRDefault="0083567C" w:rsidP="008A33F4">
            <w:r>
              <w:t>Ramūnas Gadliauskas</w:t>
            </w:r>
          </w:p>
        </w:tc>
      </w:tr>
    </w:tbl>
    <w:p w14:paraId="097B17A1" w14:textId="77777777" w:rsidR="0083567C" w:rsidRDefault="0083567C" w:rsidP="0083567C"/>
    <w:p w14:paraId="0308CB00" w14:textId="77777777" w:rsidR="00BA7AF4" w:rsidRDefault="00BA7AF4">
      <w:pPr>
        <w:pStyle w:val="Tekstas"/>
        <w:ind w:firstLine="0"/>
      </w:pPr>
    </w:p>
    <w:sectPr w:rsidR="00BA7AF4" w:rsidSect="0044604C">
      <w:pgSz w:w="11906" w:h="16838"/>
      <w:pgMar w:top="1134" w:right="737" w:bottom="851" w:left="153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E624C"/>
    <w:multiLevelType w:val="hybridMultilevel"/>
    <w:tmpl w:val="5ED443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133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76"/>
    <w:rsid w:val="00021A40"/>
    <w:rsid w:val="000273A4"/>
    <w:rsid w:val="00030D69"/>
    <w:rsid w:val="00032D60"/>
    <w:rsid w:val="00052FDF"/>
    <w:rsid w:val="00063536"/>
    <w:rsid w:val="00065F10"/>
    <w:rsid w:val="00084F5E"/>
    <w:rsid w:val="000934AD"/>
    <w:rsid w:val="0009708F"/>
    <w:rsid w:val="000975F0"/>
    <w:rsid w:val="000A2D91"/>
    <w:rsid w:val="000A7F0F"/>
    <w:rsid w:val="000B14CB"/>
    <w:rsid w:val="000B7E47"/>
    <w:rsid w:val="000C73E9"/>
    <w:rsid w:val="000C7B49"/>
    <w:rsid w:val="000D20DA"/>
    <w:rsid w:val="000D5CFD"/>
    <w:rsid w:val="000E22B0"/>
    <w:rsid w:val="000E29C5"/>
    <w:rsid w:val="000E4318"/>
    <w:rsid w:val="000F5E0B"/>
    <w:rsid w:val="00133CEF"/>
    <w:rsid w:val="001366DC"/>
    <w:rsid w:val="001479A6"/>
    <w:rsid w:val="00165FA5"/>
    <w:rsid w:val="00171E9E"/>
    <w:rsid w:val="00192BA6"/>
    <w:rsid w:val="00196731"/>
    <w:rsid w:val="0019775A"/>
    <w:rsid w:val="001A2DCA"/>
    <w:rsid w:val="001A437D"/>
    <w:rsid w:val="001B0BE2"/>
    <w:rsid w:val="001B4033"/>
    <w:rsid w:val="001B49FC"/>
    <w:rsid w:val="001B66AC"/>
    <w:rsid w:val="001D6EA9"/>
    <w:rsid w:val="001E6EED"/>
    <w:rsid w:val="001F621F"/>
    <w:rsid w:val="00201E42"/>
    <w:rsid w:val="00222416"/>
    <w:rsid w:val="00222D92"/>
    <w:rsid w:val="00231360"/>
    <w:rsid w:val="00236078"/>
    <w:rsid w:val="00237AA5"/>
    <w:rsid w:val="00242BEE"/>
    <w:rsid w:val="002462EB"/>
    <w:rsid w:val="00251C9A"/>
    <w:rsid w:val="002522AB"/>
    <w:rsid w:val="00277B63"/>
    <w:rsid w:val="0029049B"/>
    <w:rsid w:val="0029541C"/>
    <w:rsid w:val="002A0308"/>
    <w:rsid w:val="002A5D95"/>
    <w:rsid w:val="002A640A"/>
    <w:rsid w:val="002B1100"/>
    <w:rsid w:val="002B33F5"/>
    <w:rsid w:val="002B574B"/>
    <w:rsid w:val="002C4804"/>
    <w:rsid w:val="002C69DA"/>
    <w:rsid w:val="002D41E7"/>
    <w:rsid w:val="002D6616"/>
    <w:rsid w:val="002E24B5"/>
    <w:rsid w:val="002E3722"/>
    <w:rsid w:val="00301A20"/>
    <w:rsid w:val="00304F7F"/>
    <w:rsid w:val="00314565"/>
    <w:rsid w:val="00330761"/>
    <w:rsid w:val="00334294"/>
    <w:rsid w:val="003455B5"/>
    <w:rsid w:val="00347976"/>
    <w:rsid w:val="00356BC6"/>
    <w:rsid w:val="00370F3D"/>
    <w:rsid w:val="00381D99"/>
    <w:rsid w:val="00392041"/>
    <w:rsid w:val="00394088"/>
    <w:rsid w:val="003A2727"/>
    <w:rsid w:val="003A4A11"/>
    <w:rsid w:val="003A4D09"/>
    <w:rsid w:val="003A5447"/>
    <w:rsid w:val="003B4A28"/>
    <w:rsid w:val="003C2178"/>
    <w:rsid w:val="003D525C"/>
    <w:rsid w:val="003E1CCC"/>
    <w:rsid w:val="003E5B1E"/>
    <w:rsid w:val="00411222"/>
    <w:rsid w:val="00411ACD"/>
    <w:rsid w:val="00414B56"/>
    <w:rsid w:val="00416DBA"/>
    <w:rsid w:val="004172E2"/>
    <w:rsid w:val="00423DA6"/>
    <w:rsid w:val="00434CA1"/>
    <w:rsid w:val="004452A1"/>
    <w:rsid w:val="0044604C"/>
    <w:rsid w:val="004505AE"/>
    <w:rsid w:val="0045561A"/>
    <w:rsid w:val="00456CCA"/>
    <w:rsid w:val="00480384"/>
    <w:rsid w:val="0048054E"/>
    <w:rsid w:val="00484AB2"/>
    <w:rsid w:val="00490619"/>
    <w:rsid w:val="0049465B"/>
    <w:rsid w:val="004A4D21"/>
    <w:rsid w:val="004B1DBE"/>
    <w:rsid w:val="004B3BF7"/>
    <w:rsid w:val="004C2FE0"/>
    <w:rsid w:val="004C5406"/>
    <w:rsid w:val="004C767F"/>
    <w:rsid w:val="004D6D32"/>
    <w:rsid w:val="004E1874"/>
    <w:rsid w:val="004E67C7"/>
    <w:rsid w:val="004E72AA"/>
    <w:rsid w:val="004F7B8E"/>
    <w:rsid w:val="0050293C"/>
    <w:rsid w:val="00505B4A"/>
    <w:rsid w:val="005306CC"/>
    <w:rsid w:val="00533B1E"/>
    <w:rsid w:val="00537311"/>
    <w:rsid w:val="00545706"/>
    <w:rsid w:val="005643E2"/>
    <w:rsid w:val="0056787E"/>
    <w:rsid w:val="0057462C"/>
    <w:rsid w:val="00586FC8"/>
    <w:rsid w:val="00587414"/>
    <w:rsid w:val="005A36E7"/>
    <w:rsid w:val="005B2094"/>
    <w:rsid w:val="005B2712"/>
    <w:rsid w:val="005B3058"/>
    <w:rsid w:val="005B3FA8"/>
    <w:rsid w:val="005B64A7"/>
    <w:rsid w:val="005D158B"/>
    <w:rsid w:val="005D3413"/>
    <w:rsid w:val="005E2EA5"/>
    <w:rsid w:val="00600E82"/>
    <w:rsid w:val="0063239B"/>
    <w:rsid w:val="00634F84"/>
    <w:rsid w:val="006356A8"/>
    <w:rsid w:val="00635BAE"/>
    <w:rsid w:val="00641A1E"/>
    <w:rsid w:val="006421EE"/>
    <w:rsid w:val="00645620"/>
    <w:rsid w:val="00646AB5"/>
    <w:rsid w:val="00653012"/>
    <w:rsid w:val="0066162D"/>
    <w:rsid w:val="006770F0"/>
    <w:rsid w:val="00683068"/>
    <w:rsid w:val="00683450"/>
    <w:rsid w:val="0068418E"/>
    <w:rsid w:val="006940D6"/>
    <w:rsid w:val="00695670"/>
    <w:rsid w:val="006A4CBA"/>
    <w:rsid w:val="006A6643"/>
    <w:rsid w:val="006B28BC"/>
    <w:rsid w:val="006B4CD5"/>
    <w:rsid w:val="006B6D72"/>
    <w:rsid w:val="006D0883"/>
    <w:rsid w:val="006D14E0"/>
    <w:rsid w:val="006D629B"/>
    <w:rsid w:val="006E0A7D"/>
    <w:rsid w:val="006E46D1"/>
    <w:rsid w:val="006E74F2"/>
    <w:rsid w:val="00717444"/>
    <w:rsid w:val="00737EA3"/>
    <w:rsid w:val="007449A9"/>
    <w:rsid w:val="00752A2D"/>
    <w:rsid w:val="007559F1"/>
    <w:rsid w:val="00755A6B"/>
    <w:rsid w:val="007651DB"/>
    <w:rsid w:val="00772839"/>
    <w:rsid w:val="00784ABD"/>
    <w:rsid w:val="007B7E2B"/>
    <w:rsid w:val="007C1620"/>
    <w:rsid w:val="007C1775"/>
    <w:rsid w:val="007C1C1F"/>
    <w:rsid w:val="007C2763"/>
    <w:rsid w:val="007C7193"/>
    <w:rsid w:val="007C7CD5"/>
    <w:rsid w:val="007F0FB5"/>
    <w:rsid w:val="007F274A"/>
    <w:rsid w:val="007F5B98"/>
    <w:rsid w:val="00815170"/>
    <w:rsid w:val="0082009C"/>
    <w:rsid w:val="008226A3"/>
    <w:rsid w:val="0083232B"/>
    <w:rsid w:val="0083567C"/>
    <w:rsid w:val="00837624"/>
    <w:rsid w:val="0084197C"/>
    <w:rsid w:val="00856390"/>
    <w:rsid w:val="0087257C"/>
    <w:rsid w:val="008805D4"/>
    <w:rsid w:val="00882C8B"/>
    <w:rsid w:val="00887F51"/>
    <w:rsid w:val="00892619"/>
    <w:rsid w:val="00892656"/>
    <w:rsid w:val="008966A4"/>
    <w:rsid w:val="008A14ED"/>
    <w:rsid w:val="008A4340"/>
    <w:rsid w:val="008C4FAF"/>
    <w:rsid w:val="008C6EC2"/>
    <w:rsid w:val="008D2699"/>
    <w:rsid w:val="008D2872"/>
    <w:rsid w:val="008D56D7"/>
    <w:rsid w:val="008F1134"/>
    <w:rsid w:val="008F6FAE"/>
    <w:rsid w:val="008F702D"/>
    <w:rsid w:val="009071D8"/>
    <w:rsid w:val="00913004"/>
    <w:rsid w:val="009229B2"/>
    <w:rsid w:val="009308E9"/>
    <w:rsid w:val="009464B0"/>
    <w:rsid w:val="00946818"/>
    <w:rsid w:val="009479F0"/>
    <w:rsid w:val="00952289"/>
    <w:rsid w:val="009571E3"/>
    <w:rsid w:val="00977311"/>
    <w:rsid w:val="00980B40"/>
    <w:rsid w:val="00983927"/>
    <w:rsid w:val="00986ED5"/>
    <w:rsid w:val="00990C29"/>
    <w:rsid w:val="00993185"/>
    <w:rsid w:val="009A1218"/>
    <w:rsid w:val="009A21C4"/>
    <w:rsid w:val="009A40E0"/>
    <w:rsid w:val="009A6BAA"/>
    <w:rsid w:val="009B4D8B"/>
    <w:rsid w:val="009E3BC2"/>
    <w:rsid w:val="00A02F69"/>
    <w:rsid w:val="00A03451"/>
    <w:rsid w:val="00A112B6"/>
    <w:rsid w:val="00A11F1E"/>
    <w:rsid w:val="00A12462"/>
    <w:rsid w:val="00A21374"/>
    <w:rsid w:val="00A21674"/>
    <w:rsid w:val="00A225F5"/>
    <w:rsid w:val="00A234D3"/>
    <w:rsid w:val="00A32C90"/>
    <w:rsid w:val="00A3346D"/>
    <w:rsid w:val="00A40469"/>
    <w:rsid w:val="00A411CE"/>
    <w:rsid w:val="00A46617"/>
    <w:rsid w:val="00A50BDC"/>
    <w:rsid w:val="00A66D95"/>
    <w:rsid w:val="00A72672"/>
    <w:rsid w:val="00A74145"/>
    <w:rsid w:val="00A744FE"/>
    <w:rsid w:val="00A745EC"/>
    <w:rsid w:val="00A84E7F"/>
    <w:rsid w:val="00AA4E5A"/>
    <w:rsid w:val="00AA69B7"/>
    <w:rsid w:val="00AB115D"/>
    <w:rsid w:val="00AB1379"/>
    <w:rsid w:val="00AB3986"/>
    <w:rsid w:val="00AB5F60"/>
    <w:rsid w:val="00AC0473"/>
    <w:rsid w:val="00AC0D1C"/>
    <w:rsid w:val="00AC112B"/>
    <w:rsid w:val="00AC656B"/>
    <w:rsid w:val="00AE63DD"/>
    <w:rsid w:val="00AF5AC4"/>
    <w:rsid w:val="00B0316D"/>
    <w:rsid w:val="00B03833"/>
    <w:rsid w:val="00B0477C"/>
    <w:rsid w:val="00B1752F"/>
    <w:rsid w:val="00B2472B"/>
    <w:rsid w:val="00B552B9"/>
    <w:rsid w:val="00B6109D"/>
    <w:rsid w:val="00B64341"/>
    <w:rsid w:val="00B64D91"/>
    <w:rsid w:val="00B946FA"/>
    <w:rsid w:val="00BA188A"/>
    <w:rsid w:val="00BA7AF4"/>
    <w:rsid w:val="00BC29FE"/>
    <w:rsid w:val="00BD4BB9"/>
    <w:rsid w:val="00BE14F0"/>
    <w:rsid w:val="00BE56A3"/>
    <w:rsid w:val="00C0276E"/>
    <w:rsid w:val="00C11D22"/>
    <w:rsid w:val="00C1447B"/>
    <w:rsid w:val="00C14568"/>
    <w:rsid w:val="00C15E79"/>
    <w:rsid w:val="00C2107C"/>
    <w:rsid w:val="00C31BC0"/>
    <w:rsid w:val="00C352E5"/>
    <w:rsid w:val="00C41310"/>
    <w:rsid w:val="00C44CB7"/>
    <w:rsid w:val="00C61F04"/>
    <w:rsid w:val="00C703E5"/>
    <w:rsid w:val="00C72244"/>
    <w:rsid w:val="00CA0C1C"/>
    <w:rsid w:val="00CB49E9"/>
    <w:rsid w:val="00CC1FB1"/>
    <w:rsid w:val="00CC77EC"/>
    <w:rsid w:val="00CD176C"/>
    <w:rsid w:val="00CD7790"/>
    <w:rsid w:val="00CE1686"/>
    <w:rsid w:val="00CF14C6"/>
    <w:rsid w:val="00CF4B3E"/>
    <w:rsid w:val="00CF7356"/>
    <w:rsid w:val="00D01096"/>
    <w:rsid w:val="00D05514"/>
    <w:rsid w:val="00D07FF7"/>
    <w:rsid w:val="00D13E37"/>
    <w:rsid w:val="00D27CD6"/>
    <w:rsid w:val="00D30556"/>
    <w:rsid w:val="00D30B2B"/>
    <w:rsid w:val="00D3488C"/>
    <w:rsid w:val="00D352AB"/>
    <w:rsid w:val="00D35C84"/>
    <w:rsid w:val="00D50FDC"/>
    <w:rsid w:val="00D57007"/>
    <w:rsid w:val="00D65B31"/>
    <w:rsid w:val="00D663C8"/>
    <w:rsid w:val="00D666B8"/>
    <w:rsid w:val="00D66848"/>
    <w:rsid w:val="00D72B8C"/>
    <w:rsid w:val="00D7331C"/>
    <w:rsid w:val="00D73881"/>
    <w:rsid w:val="00D93F7A"/>
    <w:rsid w:val="00D945A7"/>
    <w:rsid w:val="00D95A71"/>
    <w:rsid w:val="00D95B76"/>
    <w:rsid w:val="00DB76D7"/>
    <w:rsid w:val="00DC30A0"/>
    <w:rsid w:val="00DC4F76"/>
    <w:rsid w:val="00E10B89"/>
    <w:rsid w:val="00E1351E"/>
    <w:rsid w:val="00E1415F"/>
    <w:rsid w:val="00E15805"/>
    <w:rsid w:val="00E24DB9"/>
    <w:rsid w:val="00E266C2"/>
    <w:rsid w:val="00E47E71"/>
    <w:rsid w:val="00E57E82"/>
    <w:rsid w:val="00E6020F"/>
    <w:rsid w:val="00E62404"/>
    <w:rsid w:val="00E71455"/>
    <w:rsid w:val="00E77693"/>
    <w:rsid w:val="00E91A33"/>
    <w:rsid w:val="00E92144"/>
    <w:rsid w:val="00EB000D"/>
    <w:rsid w:val="00EC3629"/>
    <w:rsid w:val="00EC4E0F"/>
    <w:rsid w:val="00EE5634"/>
    <w:rsid w:val="00EE72CD"/>
    <w:rsid w:val="00F110F4"/>
    <w:rsid w:val="00F113E4"/>
    <w:rsid w:val="00F126B0"/>
    <w:rsid w:val="00F14D6D"/>
    <w:rsid w:val="00F230A3"/>
    <w:rsid w:val="00F267C6"/>
    <w:rsid w:val="00F33048"/>
    <w:rsid w:val="00F37A27"/>
    <w:rsid w:val="00F4667B"/>
    <w:rsid w:val="00F62CCD"/>
    <w:rsid w:val="00F64EFF"/>
    <w:rsid w:val="00F6713C"/>
    <w:rsid w:val="00F734D6"/>
    <w:rsid w:val="00F81847"/>
    <w:rsid w:val="00FA6818"/>
    <w:rsid w:val="00FB227C"/>
    <w:rsid w:val="00FB4CA8"/>
    <w:rsid w:val="00FB5C1A"/>
    <w:rsid w:val="00FC4A42"/>
    <w:rsid w:val="00FD0F37"/>
    <w:rsid w:val="00FD27E5"/>
    <w:rsid w:val="00FD703A"/>
    <w:rsid w:val="00FF168B"/>
    <w:rsid w:val="00FF29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0B44B"/>
  <w15:chartTrackingRefBased/>
  <w15:docId w15:val="{466A460B-CCDA-4EB2-93B1-4EBC8DD7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Antrat1"/>
    <w:qFormat/>
    <w:pPr>
      <w:spacing w:before="0" w:after="0"/>
      <w:ind w:left="1134" w:right="1134"/>
      <w:jc w:val="center"/>
    </w:pPr>
    <w:rPr>
      <w:rFonts w:ascii="Times New Roman" w:hAnsi="Times New Roman" w:cs="Times New Roman"/>
      <w:caps/>
      <w:kern w:val="0"/>
      <w:sz w:val="26"/>
      <w:szCs w:val="24"/>
    </w:rPr>
  </w:style>
  <w:style w:type="paragraph" w:styleId="Data">
    <w:name w:val="Date"/>
    <w:basedOn w:val="Antrats"/>
    <w:semiHidden/>
    <w:pPr>
      <w:tabs>
        <w:tab w:val="clear" w:pos="4819"/>
        <w:tab w:val="clear" w:pos="9638"/>
      </w:tabs>
      <w:jc w:val="center"/>
    </w:pPr>
  </w:style>
  <w:style w:type="paragraph" w:customStyle="1" w:styleId="Tekstas">
    <w:name w:val="Tekstas"/>
    <w:basedOn w:val="prastasis"/>
    <w:pPr>
      <w:spacing w:before="40" w:after="40"/>
      <w:ind w:firstLine="1247"/>
      <w:jc w:val="both"/>
    </w:pPr>
  </w:style>
  <w:style w:type="paragraph" w:styleId="Antrats">
    <w:name w:val="header"/>
    <w:basedOn w:val="prastasis"/>
    <w:semiHidden/>
    <w:pPr>
      <w:tabs>
        <w:tab w:val="center" w:pos="4819"/>
        <w:tab w:val="right" w:pos="9638"/>
      </w:tabs>
    </w:pPr>
  </w:style>
  <w:style w:type="paragraph" w:styleId="Pagrindiniotekstotrauka">
    <w:name w:val="Body Text Indent"/>
    <w:basedOn w:val="prastasis"/>
    <w:semiHidden/>
    <w:pPr>
      <w:spacing w:before="120"/>
      <w:ind w:left="4536"/>
      <w:jc w:val="center"/>
    </w:pPr>
    <w:rPr>
      <w:szCs w:val="20"/>
      <w:lang w:eastAsia="lt-LT"/>
    </w:rPr>
  </w:style>
  <w:style w:type="character" w:customStyle="1" w:styleId="PagrindiniotekstotraukaDiagrama">
    <w:name w:val="Pagrindinio teksto įtrauka Diagrama"/>
    <w:rPr>
      <w:sz w:val="24"/>
    </w:rPr>
  </w:style>
  <w:style w:type="paragraph" w:styleId="Pagrindinistekstas2">
    <w:name w:val="Body Text 2"/>
    <w:basedOn w:val="prastasis"/>
    <w:semiHidden/>
    <w:pPr>
      <w:spacing w:after="120" w:line="480" w:lineRule="auto"/>
    </w:pPr>
    <w:rPr>
      <w:szCs w:val="20"/>
      <w:lang w:eastAsia="lt-LT"/>
    </w:rPr>
  </w:style>
  <w:style w:type="character" w:customStyle="1" w:styleId="Pagrindinistekstas2Diagrama">
    <w:name w:val="Pagrindinis tekstas 2 Diagrama"/>
    <w:rPr>
      <w:sz w:val="24"/>
    </w:rPr>
  </w:style>
  <w:style w:type="paragraph" w:styleId="Pagrindinistekstas">
    <w:name w:val="Body Text"/>
    <w:basedOn w:val="prastasis"/>
    <w:semiHidden/>
    <w:pPr>
      <w:jc w:val="both"/>
    </w:pPr>
    <w:rPr>
      <w:szCs w:val="20"/>
      <w:lang w:eastAsia="lt-LT"/>
    </w:rPr>
  </w:style>
  <w:style w:type="character" w:customStyle="1" w:styleId="PagrindinistekstasDiagrama">
    <w:name w:val="Pagrindinis tekstas Diagrama"/>
    <w:rPr>
      <w:sz w:val="24"/>
    </w:rPr>
  </w:style>
  <w:style w:type="paragraph" w:styleId="Debesliotekstas">
    <w:name w:val="Balloon Text"/>
    <w:basedOn w:val="prastasis"/>
    <w:link w:val="DebesliotekstasDiagrama"/>
    <w:uiPriority w:val="99"/>
    <w:semiHidden/>
    <w:unhideWhenUsed/>
    <w:rsid w:val="000B7E47"/>
    <w:rPr>
      <w:rFonts w:ascii="Tahoma" w:hAnsi="Tahoma"/>
      <w:sz w:val="16"/>
      <w:szCs w:val="16"/>
      <w:lang w:val="x-none"/>
    </w:rPr>
  </w:style>
  <w:style w:type="character" w:customStyle="1" w:styleId="DebesliotekstasDiagrama">
    <w:name w:val="Debesėlio tekstas Diagrama"/>
    <w:link w:val="Debesliotekstas"/>
    <w:uiPriority w:val="99"/>
    <w:semiHidden/>
    <w:rsid w:val="000B7E47"/>
    <w:rPr>
      <w:rFonts w:ascii="Tahoma" w:hAnsi="Tahoma" w:cs="Tahoma"/>
      <w:sz w:val="16"/>
      <w:szCs w:val="16"/>
      <w:lang w:eastAsia="en-US"/>
    </w:rPr>
  </w:style>
  <w:style w:type="character" w:styleId="Komentaronuoroda">
    <w:name w:val="annotation reference"/>
    <w:uiPriority w:val="99"/>
    <w:semiHidden/>
    <w:unhideWhenUsed/>
    <w:rsid w:val="007C1775"/>
    <w:rPr>
      <w:sz w:val="16"/>
      <w:szCs w:val="16"/>
    </w:rPr>
  </w:style>
  <w:style w:type="paragraph" w:styleId="Komentarotekstas">
    <w:name w:val="annotation text"/>
    <w:basedOn w:val="prastasis"/>
    <w:link w:val="KomentarotekstasDiagrama"/>
    <w:uiPriority w:val="99"/>
    <w:unhideWhenUsed/>
    <w:rsid w:val="007C1775"/>
    <w:rPr>
      <w:sz w:val="20"/>
      <w:szCs w:val="20"/>
      <w:lang w:val="x-none"/>
    </w:rPr>
  </w:style>
  <w:style w:type="character" w:customStyle="1" w:styleId="KomentarotekstasDiagrama">
    <w:name w:val="Komentaro tekstas Diagrama"/>
    <w:link w:val="Komentarotekstas"/>
    <w:uiPriority w:val="99"/>
    <w:rsid w:val="007C1775"/>
    <w:rPr>
      <w:lang w:eastAsia="en-US"/>
    </w:rPr>
  </w:style>
  <w:style w:type="paragraph" w:styleId="Komentarotema">
    <w:name w:val="annotation subject"/>
    <w:basedOn w:val="Komentarotekstas"/>
    <w:next w:val="Komentarotekstas"/>
    <w:link w:val="KomentarotemaDiagrama"/>
    <w:uiPriority w:val="99"/>
    <w:semiHidden/>
    <w:unhideWhenUsed/>
    <w:rsid w:val="007C1775"/>
    <w:rPr>
      <w:b/>
      <w:bCs/>
    </w:rPr>
  </w:style>
  <w:style w:type="character" w:customStyle="1" w:styleId="KomentarotemaDiagrama">
    <w:name w:val="Komentaro tema Diagrama"/>
    <w:link w:val="Komentarotema"/>
    <w:uiPriority w:val="99"/>
    <w:semiHidden/>
    <w:rsid w:val="007C1775"/>
    <w:rPr>
      <w:b/>
      <w:bCs/>
      <w:lang w:eastAsia="en-US"/>
    </w:rPr>
  </w:style>
  <w:style w:type="paragraph" w:styleId="Pataisymai">
    <w:name w:val="Revision"/>
    <w:hidden/>
    <w:uiPriority w:val="99"/>
    <w:semiHidden/>
    <w:rsid w:val="00D73881"/>
    <w:rPr>
      <w:sz w:val="24"/>
      <w:szCs w:val="24"/>
      <w:lang w:eastAsia="en-US"/>
    </w:rPr>
  </w:style>
  <w:style w:type="character" w:styleId="Hipersaitas">
    <w:name w:val="Hyperlink"/>
    <w:basedOn w:val="Numatytasispastraiposriftas"/>
    <w:uiPriority w:val="99"/>
    <w:unhideWhenUsed/>
    <w:rsid w:val="00993185"/>
    <w:rPr>
      <w:color w:val="0563C1" w:themeColor="hyperlink"/>
      <w:u w:val="single"/>
    </w:rPr>
  </w:style>
  <w:style w:type="character" w:styleId="Neapdorotaspaminjimas">
    <w:name w:val="Unresolved Mention"/>
    <w:basedOn w:val="Numatytasispastraiposriftas"/>
    <w:uiPriority w:val="99"/>
    <w:semiHidden/>
    <w:unhideWhenUsed/>
    <w:rsid w:val="00993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140376">
      <w:bodyDiv w:val="1"/>
      <w:marLeft w:val="225"/>
      <w:marRight w:val="225"/>
      <w:marTop w:val="0"/>
      <w:marBottom w:val="0"/>
      <w:divBdr>
        <w:top w:val="none" w:sz="0" w:space="0" w:color="auto"/>
        <w:left w:val="none" w:sz="0" w:space="0" w:color="auto"/>
        <w:bottom w:val="none" w:sz="0" w:space="0" w:color="auto"/>
        <w:right w:val="none" w:sz="0" w:space="0" w:color="auto"/>
      </w:divBdr>
      <w:divsChild>
        <w:div w:id="773133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04F39-BDF2-4609-BAB1-50110896E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449</Words>
  <Characters>2565</Characters>
  <Application>Microsoft Office Word</Application>
  <DocSecurity>0</DocSecurity>
  <Lines>21</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t:lpstr>
      <vt:lpstr>-</vt:lpstr>
    </vt:vector>
  </TitlesOfParts>
  <Manager>-</Manager>
  <Company>-</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Alina Dokutovičienė</cp:lastModifiedBy>
  <cp:revision>4</cp:revision>
  <cp:lastPrinted>2013-06-11T07:50:00Z</cp:lastPrinted>
  <dcterms:created xsi:type="dcterms:W3CDTF">2023-03-22T12:07:00Z</dcterms:created>
  <dcterms:modified xsi:type="dcterms:W3CDTF">2023-03-31T09:27:00Z</dcterms:modified>
</cp:coreProperties>
</file>