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BB03" w14:textId="4B2D2D3E" w:rsidR="00FE4C13" w:rsidRDefault="00FE4C13" w:rsidP="00233E13">
      <w:pPr>
        <w:keepNext/>
        <w:suppressAutoHyphens/>
        <w:ind w:left="1134" w:right="1134" w:firstLine="0"/>
        <w:jc w:val="center"/>
        <w:rPr>
          <w:rFonts w:ascii="Times New Roman" w:hAnsi="Times New Roman" w:cs="Times New Roman"/>
          <w:b/>
          <w:bCs/>
          <w:caps/>
          <w:sz w:val="24"/>
          <w:szCs w:val="24"/>
          <w:lang w:eastAsia="zh-CN"/>
        </w:rPr>
      </w:pPr>
      <w:r>
        <w:rPr>
          <w:noProof/>
        </w:rPr>
        <w:drawing>
          <wp:inline distT="0" distB="0" distL="0" distR="0" wp14:anchorId="1F2D847C" wp14:editId="30403E2C">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E0F77B1" w14:textId="577E99E5" w:rsidR="00233E13" w:rsidRPr="00233E13" w:rsidRDefault="00233E13" w:rsidP="00233E13">
      <w:pPr>
        <w:keepNext/>
        <w:suppressAutoHyphens/>
        <w:ind w:left="1134" w:right="1134" w:firstLine="0"/>
        <w:jc w:val="center"/>
        <w:rPr>
          <w:rFonts w:ascii="Times New Roman" w:hAnsi="Times New Roman" w:cs="Times New Roman"/>
          <w:b/>
          <w:bCs/>
          <w:caps/>
          <w:sz w:val="24"/>
          <w:szCs w:val="24"/>
          <w:lang w:eastAsia="zh-CN"/>
        </w:rPr>
      </w:pPr>
      <w:r w:rsidRPr="00233E13">
        <w:rPr>
          <w:rFonts w:ascii="Times New Roman" w:hAnsi="Times New Roman" w:cs="Times New Roman"/>
          <w:b/>
          <w:bCs/>
          <w:caps/>
          <w:sz w:val="24"/>
          <w:szCs w:val="24"/>
          <w:lang w:eastAsia="zh-CN"/>
        </w:rPr>
        <w:t>TEISĖJŲ TARYBA</w:t>
      </w:r>
    </w:p>
    <w:p w14:paraId="426FA734" w14:textId="77777777" w:rsidR="00233E13" w:rsidRPr="00233E13" w:rsidRDefault="00233E13" w:rsidP="00233E13">
      <w:pPr>
        <w:keepNext/>
        <w:suppressAutoHyphens/>
        <w:spacing w:line="360" w:lineRule="auto"/>
        <w:ind w:left="1134" w:right="1134" w:firstLine="0"/>
        <w:jc w:val="center"/>
        <w:rPr>
          <w:rFonts w:ascii="Times New Roman" w:hAnsi="Times New Roman" w:cs="Times New Roman"/>
          <w:b/>
          <w:bCs/>
          <w:caps/>
          <w:sz w:val="24"/>
          <w:szCs w:val="24"/>
          <w:lang w:eastAsia="zh-CN"/>
        </w:rPr>
      </w:pPr>
    </w:p>
    <w:p w14:paraId="506E50EE" w14:textId="77777777" w:rsidR="00233E13" w:rsidRPr="00233E13" w:rsidRDefault="00233E13" w:rsidP="00233E13">
      <w:pPr>
        <w:keepNext/>
        <w:suppressAutoHyphens/>
        <w:ind w:left="1134" w:right="1134" w:firstLine="0"/>
        <w:jc w:val="center"/>
        <w:rPr>
          <w:rFonts w:ascii="Times New Roman" w:hAnsi="Times New Roman" w:cs="Times New Roman"/>
          <w:b/>
          <w:bCs/>
          <w:caps/>
          <w:sz w:val="24"/>
          <w:szCs w:val="24"/>
          <w:lang w:eastAsia="zh-CN"/>
        </w:rPr>
      </w:pPr>
      <w:r w:rsidRPr="00233E13">
        <w:rPr>
          <w:rFonts w:ascii="Times New Roman" w:hAnsi="Times New Roman" w:cs="Times New Roman"/>
          <w:b/>
          <w:bCs/>
          <w:caps/>
          <w:sz w:val="24"/>
          <w:szCs w:val="24"/>
          <w:lang w:eastAsia="zh-CN"/>
        </w:rPr>
        <w:t>NUTARIMAS</w:t>
      </w:r>
    </w:p>
    <w:p w14:paraId="7539D3F2" w14:textId="4217F46B" w:rsidR="00233E13" w:rsidRPr="00233E13" w:rsidRDefault="001C2439" w:rsidP="00233E13">
      <w:pPr>
        <w:keepNext/>
        <w:ind w:left="1134" w:right="1134" w:firstLine="0"/>
        <w:jc w:val="center"/>
        <w:outlineLvl w:val="0"/>
        <w:rPr>
          <w:rFonts w:ascii="Times New Roman" w:hAnsi="Times New Roman" w:cs="Times New Roman"/>
          <w:b/>
          <w:bCs/>
          <w:caps/>
          <w:sz w:val="24"/>
          <w:szCs w:val="24"/>
          <w:lang w:eastAsia="en-US"/>
        </w:rPr>
      </w:pPr>
      <w:r>
        <w:rPr>
          <w:rFonts w:ascii="Times New Roman" w:hAnsi="Times New Roman" w:cs="Times New Roman"/>
          <w:b/>
          <w:bCs/>
          <w:caps/>
          <w:sz w:val="24"/>
          <w:szCs w:val="24"/>
          <w:lang w:eastAsia="en-US"/>
        </w:rPr>
        <w:t>DĖL TEISĖJŲ TARYBOS 2021 m. GRUODŽIO 20 D. NUTARIMO NR. 13P-155-(7.1.2.) „</w:t>
      </w:r>
      <w:r w:rsidR="00233E13" w:rsidRPr="00233E13">
        <w:rPr>
          <w:rFonts w:ascii="Times New Roman" w:hAnsi="Times New Roman" w:cs="Times New Roman"/>
          <w:b/>
          <w:bCs/>
          <w:caps/>
          <w:sz w:val="24"/>
          <w:szCs w:val="24"/>
          <w:lang w:eastAsia="en-US"/>
        </w:rPr>
        <w:t xml:space="preserve">DĖL </w:t>
      </w:r>
      <w:r w:rsidR="00B614F3" w:rsidRPr="00B614F3">
        <w:rPr>
          <w:rFonts w:ascii="Times New Roman" w:hAnsi="Times New Roman" w:cs="Times New Roman"/>
          <w:b/>
          <w:bCs/>
          <w:caps/>
          <w:sz w:val="24"/>
          <w:szCs w:val="24"/>
          <w:lang w:eastAsia="en-US"/>
        </w:rPr>
        <w:t>MOKĖJIMO UŽ DARBĄ IR BUDĖJIMĄ POILSIO IR ŠVENČIŲ DIENOMIS BEI PAVADAVIMĄ</w:t>
      </w:r>
      <w:r w:rsidR="00F15DD5">
        <w:rPr>
          <w:rFonts w:ascii="Times New Roman" w:hAnsi="Times New Roman" w:cs="Times New Roman"/>
          <w:b/>
          <w:bCs/>
          <w:caps/>
          <w:sz w:val="24"/>
          <w:szCs w:val="24"/>
          <w:lang w:eastAsia="en-US"/>
        </w:rPr>
        <w:t>, PRIEMOKŲ UŽ PADIDĖJUSĮ DARBO KRŪVĮ SKYRIMO IR MOKĖJIMO</w:t>
      </w:r>
      <w:r w:rsidR="00B614F3" w:rsidRPr="00B614F3">
        <w:rPr>
          <w:rFonts w:ascii="Times New Roman" w:hAnsi="Times New Roman" w:cs="Times New Roman"/>
          <w:b/>
          <w:bCs/>
          <w:caps/>
          <w:sz w:val="24"/>
          <w:szCs w:val="24"/>
          <w:lang w:eastAsia="en-US"/>
        </w:rPr>
        <w:t xml:space="preserve"> BENDROSIOS KOMPETENCIJOS IR SPECIALIZUOTŲ TEISMŲ TEISĖJAMS TVARKOS APRAŠ</w:t>
      </w:r>
      <w:r w:rsidR="00064043">
        <w:rPr>
          <w:rFonts w:ascii="Times New Roman" w:hAnsi="Times New Roman" w:cs="Times New Roman"/>
          <w:b/>
          <w:bCs/>
          <w:caps/>
          <w:sz w:val="24"/>
          <w:szCs w:val="24"/>
          <w:lang w:eastAsia="en-US"/>
        </w:rPr>
        <w:t xml:space="preserve">O </w:t>
      </w:r>
      <w:r>
        <w:rPr>
          <w:rFonts w:ascii="Times New Roman" w:hAnsi="Times New Roman" w:cs="Times New Roman"/>
          <w:b/>
          <w:bCs/>
          <w:caps/>
          <w:sz w:val="24"/>
          <w:szCs w:val="24"/>
          <w:lang w:eastAsia="en-US"/>
        </w:rPr>
        <w:t xml:space="preserve">PATVIRTINIMO“ </w:t>
      </w:r>
      <w:r w:rsidR="00233E13" w:rsidRPr="00233E13">
        <w:rPr>
          <w:rFonts w:ascii="Times New Roman" w:hAnsi="Times New Roman" w:cs="Times New Roman"/>
          <w:b/>
          <w:bCs/>
          <w:caps/>
          <w:sz w:val="24"/>
          <w:szCs w:val="24"/>
          <w:lang w:eastAsia="en-US"/>
        </w:rPr>
        <w:t>pa</w:t>
      </w:r>
      <w:r w:rsidR="00F15DD5">
        <w:rPr>
          <w:rFonts w:ascii="Times New Roman" w:hAnsi="Times New Roman" w:cs="Times New Roman"/>
          <w:b/>
          <w:bCs/>
          <w:caps/>
          <w:sz w:val="24"/>
          <w:szCs w:val="24"/>
          <w:lang w:eastAsia="en-US"/>
        </w:rPr>
        <w:t>KEITIMO</w:t>
      </w:r>
    </w:p>
    <w:p w14:paraId="4684E57F" w14:textId="77777777" w:rsidR="00233E13" w:rsidRPr="00233E13" w:rsidRDefault="00233E13" w:rsidP="00233E13">
      <w:pPr>
        <w:keepNext/>
        <w:suppressAutoHyphens/>
        <w:ind w:left="1134" w:right="1134" w:firstLine="0"/>
        <w:jc w:val="center"/>
        <w:rPr>
          <w:rFonts w:ascii="Times New Roman" w:hAnsi="Times New Roman" w:cs="Times New Roman"/>
          <w:b/>
          <w:bCs/>
          <w:caps/>
          <w:sz w:val="24"/>
          <w:szCs w:val="24"/>
          <w:lang w:eastAsia="zh-CN"/>
        </w:rPr>
      </w:pPr>
    </w:p>
    <w:p w14:paraId="73651944" w14:textId="3E9B4082" w:rsidR="00233E13" w:rsidRPr="00233E13" w:rsidRDefault="00233E13" w:rsidP="00233E13">
      <w:pPr>
        <w:suppressAutoHyphens/>
        <w:ind w:firstLine="0"/>
        <w:jc w:val="center"/>
        <w:rPr>
          <w:rFonts w:ascii="Times New Roman" w:hAnsi="Times New Roman" w:cs="Times New Roman"/>
          <w:sz w:val="24"/>
          <w:szCs w:val="24"/>
          <w:lang w:eastAsia="zh-CN"/>
        </w:rPr>
      </w:pPr>
      <w:r w:rsidRPr="00233E13">
        <w:rPr>
          <w:rFonts w:ascii="Times New Roman" w:hAnsi="Times New Roman" w:cs="Times New Roman"/>
          <w:sz w:val="24"/>
          <w:szCs w:val="24"/>
          <w:lang w:eastAsia="zh-CN"/>
        </w:rPr>
        <w:t>2023 m. s</w:t>
      </w:r>
      <w:r w:rsidR="00064043">
        <w:rPr>
          <w:rFonts w:ascii="Times New Roman" w:hAnsi="Times New Roman" w:cs="Times New Roman"/>
          <w:sz w:val="24"/>
          <w:szCs w:val="24"/>
          <w:lang w:eastAsia="zh-CN"/>
        </w:rPr>
        <w:t>palio</w:t>
      </w:r>
      <w:r w:rsidR="008E382A">
        <w:rPr>
          <w:rFonts w:ascii="Times New Roman" w:hAnsi="Times New Roman" w:cs="Times New Roman"/>
          <w:sz w:val="24"/>
          <w:szCs w:val="24"/>
          <w:lang w:eastAsia="zh-CN"/>
        </w:rPr>
        <w:t xml:space="preserve"> 27 </w:t>
      </w:r>
      <w:r w:rsidRPr="00233E13">
        <w:rPr>
          <w:rFonts w:ascii="Times New Roman" w:hAnsi="Times New Roman" w:cs="Times New Roman"/>
          <w:sz w:val="24"/>
          <w:szCs w:val="24"/>
          <w:lang w:eastAsia="zh-CN"/>
        </w:rPr>
        <w:t>d. Nr. 13P-</w:t>
      </w:r>
      <w:r w:rsidR="008E382A">
        <w:rPr>
          <w:rFonts w:ascii="Times New Roman" w:hAnsi="Times New Roman" w:cs="Times New Roman"/>
          <w:sz w:val="24"/>
          <w:szCs w:val="24"/>
          <w:lang w:eastAsia="zh-CN"/>
        </w:rPr>
        <w:t>149</w:t>
      </w:r>
      <w:r w:rsidRPr="00233E13">
        <w:rPr>
          <w:rFonts w:ascii="Times New Roman" w:hAnsi="Times New Roman" w:cs="Times New Roman"/>
          <w:sz w:val="24"/>
          <w:szCs w:val="24"/>
          <w:lang w:eastAsia="zh-CN"/>
        </w:rPr>
        <w:t>-(7.1.2.</w:t>
      </w:r>
      <w:r w:rsidR="00064043">
        <w:rPr>
          <w:rFonts w:ascii="Times New Roman" w:hAnsi="Times New Roman" w:cs="Times New Roman"/>
          <w:sz w:val="24"/>
          <w:szCs w:val="24"/>
          <w:lang w:eastAsia="zh-CN"/>
        </w:rPr>
        <w:t>)</w:t>
      </w:r>
      <w:r w:rsidRPr="00233E13">
        <w:rPr>
          <w:rFonts w:ascii="Times New Roman" w:hAnsi="Times New Roman" w:cs="Times New Roman"/>
          <w:sz w:val="24"/>
          <w:szCs w:val="24"/>
          <w:lang w:eastAsia="zh-CN"/>
        </w:rPr>
        <w:t xml:space="preserve">  </w:t>
      </w:r>
    </w:p>
    <w:p w14:paraId="088747A2" w14:textId="77777777" w:rsidR="00233E13" w:rsidRPr="00233E13" w:rsidRDefault="00233E13" w:rsidP="00233E13">
      <w:pPr>
        <w:suppressAutoHyphens/>
        <w:ind w:firstLine="0"/>
        <w:jc w:val="center"/>
        <w:rPr>
          <w:rFonts w:ascii="Times New Roman" w:hAnsi="Times New Roman" w:cs="Times New Roman"/>
          <w:sz w:val="24"/>
          <w:szCs w:val="24"/>
          <w:lang w:eastAsia="zh-CN"/>
        </w:rPr>
      </w:pPr>
      <w:r w:rsidRPr="00233E13">
        <w:rPr>
          <w:rFonts w:ascii="Times New Roman" w:hAnsi="Times New Roman" w:cs="Times New Roman"/>
          <w:sz w:val="24"/>
          <w:szCs w:val="24"/>
          <w:lang w:eastAsia="zh-CN"/>
        </w:rPr>
        <w:t>Vilnius</w:t>
      </w:r>
    </w:p>
    <w:p w14:paraId="48D3C421" w14:textId="77777777" w:rsidR="00233E13" w:rsidRPr="00233E13" w:rsidRDefault="00233E13" w:rsidP="00233E13">
      <w:pPr>
        <w:tabs>
          <w:tab w:val="left" w:pos="1296"/>
          <w:tab w:val="center" w:pos="4153"/>
          <w:tab w:val="right" w:pos="8306"/>
        </w:tabs>
        <w:suppressAutoHyphens/>
        <w:spacing w:line="360" w:lineRule="auto"/>
        <w:ind w:firstLine="0"/>
        <w:rPr>
          <w:rFonts w:ascii="Times New Roman" w:hAnsi="Times New Roman" w:cs="Times New Roman"/>
          <w:sz w:val="24"/>
          <w:szCs w:val="24"/>
          <w:lang w:eastAsia="zh-CN"/>
        </w:rPr>
      </w:pPr>
    </w:p>
    <w:p w14:paraId="7F17FB41" w14:textId="77777777" w:rsidR="00233E13" w:rsidRPr="00233E13" w:rsidRDefault="00233E13" w:rsidP="00233E13">
      <w:pPr>
        <w:tabs>
          <w:tab w:val="left" w:pos="993"/>
        </w:tabs>
        <w:suppressAutoHyphens/>
        <w:spacing w:line="360" w:lineRule="auto"/>
        <w:jc w:val="both"/>
        <w:rPr>
          <w:rFonts w:ascii="Times New Roman" w:hAnsi="Times New Roman" w:cs="Times New Roman"/>
          <w:sz w:val="24"/>
          <w:szCs w:val="24"/>
          <w:lang w:eastAsia="zh-CN"/>
        </w:rPr>
      </w:pPr>
      <w:r w:rsidRPr="00233E13">
        <w:rPr>
          <w:rFonts w:ascii="Times New Roman" w:hAnsi="Times New Roman" w:cs="Times New Roman"/>
          <w:sz w:val="24"/>
          <w:szCs w:val="24"/>
          <w:lang w:eastAsia="zh-CN"/>
        </w:rPr>
        <w:t>Vadovaudamasi Lietuvos Respublikos teismų įstatymo 120 straipsnio 27 punktu, Teisėjų taryba n u t a r i a:</w:t>
      </w:r>
    </w:p>
    <w:p w14:paraId="560EE193" w14:textId="2F0ACE41" w:rsidR="00F15DD5" w:rsidRPr="00233E13" w:rsidRDefault="00233E13" w:rsidP="00F15DD5">
      <w:pPr>
        <w:suppressAutoHyphens/>
        <w:spacing w:line="360" w:lineRule="auto"/>
        <w:ind w:firstLine="709"/>
        <w:contextualSpacing/>
        <w:jc w:val="both"/>
        <w:rPr>
          <w:rFonts w:ascii="Times New Roman" w:hAnsi="Times New Roman" w:cs="Times New Roman"/>
          <w:sz w:val="24"/>
          <w:szCs w:val="24"/>
          <w:lang w:eastAsia="zh-CN"/>
        </w:rPr>
      </w:pPr>
      <w:r w:rsidRPr="00233E13">
        <w:rPr>
          <w:rFonts w:ascii="Times New Roman" w:hAnsi="Times New Roman" w:cs="Times New Roman"/>
          <w:sz w:val="24"/>
          <w:szCs w:val="24"/>
          <w:lang w:eastAsia="zh-CN"/>
        </w:rPr>
        <w:t>Pa</w:t>
      </w:r>
      <w:r w:rsidR="00F15DD5">
        <w:rPr>
          <w:rFonts w:ascii="Times New Roman" w:hAnsi="Times New Roman" w:cs="Times New Roman"/>
          <w:sz w:val="24"/>
          <w:szCs w:val="24"/>
          <w:lang w:eastAsia="zh-CN"/>
        </w:rPr>
        <w:t>keisti</w:t>
      </w:r>
      <w:r w:rsidRPr="00233E13">
        <w:rPr>
          <w:rFonts w:ascii="Times New Roman" w:hAnsi="Times New Roman" w:cs="Times New Roman"/>
          <w:sz w:val="24"/>
          <w:szCs w:val="24"/>
          <w:lang w:eastAsia="zh-CN"/>
        </w:rPr>
        <w:t xml:space="preserve"> </w:t>
      </w:r>
      <w:r w:rsidR="00F15DD5" w:rsidRPr="00F15DD5">
        <w:rPr>
          <w:rFonts w:ascii="Times New Roman" w:hAnsi="Times New Roman" w:cs="Times New Roman"/>
          <w:bCs/>
          <w:sz w:val="24"/>
          <w:szCs w:val="24"/>
          <w:lang w:eastAsia="zh-CN"/>
        </w:rPr>
        <w:t>Mokėjimo už darbą ir budėjimą poilsio ir švenčių dienomis bei pavadavimą, priemokų už padidėjusį darbo krūvį skyrimo ir mokėjimo bendrosios kompetencijos ir specializuotų teismų teisėjams tvarkos apraš</w:t>
      </w:r>
      <w:r w:rsidR="0092411C">
        <w:rPr>
          <w:rFonts w:ascii="Times New Roman" w:hAnsi="Times New Roman" w:cs="Times New Roman"/>
          <w:bCs/>
          <w:sz w:val="24"/>
          <w:szCs w:val="24"/>
          <w:lang w:eastAsia="zh-CN"/>
        </w:rPr>
        <w:t>ą</w:t>
      </w:r>
      <w:r w:rsidR="001C2439">
        <w:rPr>
          <w:rFonts w:ascii="Times New Roman" w:hAnsi="Times New Roman" w:cs="Times New Roman"/>
          <w:bCs/>
          <w:sz w:val="24"/>
          <w:szCs w:val="24"/>
          <w:lang w:eastAsia="zh-CN"/>
        </w:rPr>
        <w:t xml:space="preserve">, patvirtintą Teisėjų tarybos 2021 m. gruodžio 20 d. nutarimu Nr. 13P-155-(7.1.2.) „Dėl </w:t>
      </w:r>
      <w:r w:rsidR="001C2439" w:rsidRPr="001C2439">
        <w:rPr>
          <w:rFonts w:ascii="Times New Roman" w:hAnsi="Times New Roman" w:cs="Times New Roman"/>
          <w:bCs/>
          <w:sz w:val="24"/>
          <w:szCs w:val="24"/>
          <w:lang w:eastAsia="zh-CN"/>
        </w:rPr>
        <w:t>Mokėjimo už darbą ir budėjimą poilsio ir švenčių dienomis bei pavadavimą, priemokų už padidėjusį darbo krūvį skyrimo ir mokėjimo bendrosios kompetencijos ir specializuotų teismų teisėjams tvarkos apraš</w:t>
      </w:r>
      <w:r w:rsidR="001C2439">
        <w:rPr>
          <w:rFonts w:ascii="Times New Roman" w:hAnsi="Times New Roman" w:cs="Times New Roman"/>
          <w:bCs/>
          <w:sz w:val="24"/>
          <w:szCs w:val="24"/>
          <w:lang w:eastAsia="zh-CN"/>
        </w:rPr>
        <w:t>o patvirtinimo“,</w:t>
      </w:r>
      <w:r w:rsidRPr="00233E13">
        <w:rPr>
          <w:rFonts w:ascii="Times New Roman" w:hAnsi="Times New Roman" w:cs="Times New Roman"/>
          <w:sz w:val="24"/>
          <w:szCs w:val="24"/>
          <w:lang w:eastAsia="zh-CN"/>
        </w:rPr>
        <w:t xml:space="preserve"> </w:t>
      </w:r>
      <w:r w:rsidR="00F15DD5">
        <w:rPr>
          <w:rFonts w:ascii="Times New Roman" w:hAnsi="Times New Roman" w:cs="Times New Roman"/>
          <w:sz w:val="24"/>
          <w:szCs w:val="24"/>
          <w:lang w:eastAsia="zh-CN"/>
        </w:rPr>
        <w:t xml:space="preserve">ir jį išdėstyti nauja redakcija </w:t>
      </w:r>
      <w:r w:rsidRPr="00233E13">
        <w:rPr>
          <w:rFonts w:ascii="Times New Roman" w:hAnsi="Times New Roman" w:cs="Times New Roman"/>
          <w:sz w:val="24"/>
          <w:szCs w:val="24"/>
          <w:lang w:eastAsia="zh-CN"/>
        </w:rPr>
        <w:t>(pridedama).</w:t>
      </w:r>
    </w:p>
    <w:p w14:paraId="13F0B313" w14:textId="77777777" w:rsidR="00233E13" w:rsidRPr="00233E13" w:rsidRDefault="00233E13" w:rsidP="00233E13">
      <w:pPr>
        <w:suppressAutoHyphens/>
        <w:ind w:firstLine="0"/>
        <w:rPr>
          <w:rFonts w:ascii="Times New Roman" w:hAnsi="Times New Roman" w:cs="Times New Roman"/>
          <w:sz w:val="24"/>
          <w:szCs w:val="24"/>
          <w:lang w:eastAsia="zh-CN"/>
        </w:rPr>
      </w:pPr>
    </w:p>
    <w:p w14:paraId="14129E3F" w14:textId="77777777" w:rsidR="00233E13" w:rsidRPr="00233E13" w:rsidRDefault="00233E13" w:rsidP="00233E13">
      <w:pPr>
        <w:suppressAutoHyphens/>
        <w:ind w:firstLine="0"/>
        <w:rPr>
          <w:rFonts w:ascii="Times New Roman" w:hAnsi="Times New Roman" w:cs="Times New Roman"/>
          <w:sz w:val="24"/>
          <w:szCs w:val="24"/>
          <w:lang w:eastAsia="zh-CN"/>
        </w:rPr>
      </w:pPr>
    </w:p>
    <w:tbl>
      <w:tblPr>
        <w:tblW w:w="9798" w:type="dxa"/>
        <w:tblLayout w:type="fixed"/>
        <w:tblLook w:val="04A0" w:firstRow="1" w:lastRow="0" w:firstColumn="1" w:lastColumn="0" w:noHBand="0" w:noVBand="1"/>
      </w:tblPr>
      <w:tblGrid>
        <w:gridCol w:w="7196"/>
        <w:gridCol w:w="34"/>
        <w:gridCol w:w="2490"/>
        <w:gridCol w:w="78"/>
      </w:tblGrid>
      <w:tr w:rsidR="00233E13" w:rsidRPr="00233E13" w14:paraId="20DA51E6" w14:textId="77777777" w:rsidTr="008E382A">
        <w:tc>
          <w:tcPr>
            <w:tcW w:w="7196" w:type="dxa"/>
            <w:hideMark/>
          </w:tcPr>
          <w:p w14:paraId="294D8F29" w14:textId="73BB802D" w:rsidR="00233E13" w:rsidRPr="00233E13" w:rsidRDefault="00233E13" w:rsidP="00233E13">
            <w:pPr>
              <w:suppressAutoHyphens/>
              <w:ind w:firstLine="0"/>
              <w:rPr>
                <w:rFonts w:ascii="Times New Roman" w:hAnsi="Times New Roman" w:cs="Times New Roman"/>
                <w:sz w:val="24"/>
                <w:szCs w:val="24"/>
                <w:lang w:eastAsia="zh-CN"/>
              </w:rPr>
            </w:pPr>
            <w:r w:rsidRPr="00233E13">
              <w:rPr>
                <w:rFonts w:ascii="Times New Roman" w:hAnsi="Times New Roman" w:cs="Times New Roman"/>
                <w:sz w:val="24"/>
                <w:szCs w:val="24"/>
                <w:lang w:eastAsia="zh-CN"/>
              </w:rPr>
              <w:t>Pirminink</w:t>
            </w:r>
            <w:r w:rsidR="008E382A">
              <w:rPr>
                <w:rFonts w:ascii="Times New Roman" w:hAnsi="Times New Roman" w:cs="Times New Roman"/>
                <w:sz w:val="24"/>
                <w:szCs w:val="24"/>
                <w:lang w:eastAsia="zh-CN"/>
              </w:rPr>
              <w:t xml:space="preserve">ė </w:t>
            </w:r>
          </w:p>
        </w:tc>
        <w:tc>
          <w:tcPr>
            <w:tcW w:w="2602" w:type="dxa"/>
            <w:gridSpan w:val="3"/>
            <w:hideMark/>
          </w:tcPr>
          <w:p w14:paraId="1F79DB2F" w14:textId="32980D09" w:rsidR="00233E13" w:rsidRPr="00233E13" w:rsidRDefault="008E382A" w:rsidP="00233E13">
            <w:pPr>
              <w:suppressAutoHyphens/>
              <w:ind w:firstLine="0"/>
              <w:rPr>
                <w:rFonts w:ascii="Times New Roman" w:hAnsi="Times New Roman" w:cs="Times New Roman"/>
                <w:sz w:val="24"/>
                <w:szCs w:val="24"/>
              </w:rPr>
            </w:pPr>
            <w:r>
              <w:rPr>
                <w:rFonts w:ascii="Times New Roman" w:hAnsi="Times New Roman" w:cs="Times New Roman"/>
                <w:sz w:val="24"/>
                <w:szCs w:val="24"/>
              </w:rPr>
              <w:t xml:space="preserve">Sigita </w:t>
            </w:r>
            <w:proofErr w:type="spellStart"/>
            <w:r>
              <w:rPr>
                <w:rFonts w:ascii="Times New Roman" w:hAnsi="Times New Roman" w:cs="Times New Roman"/>
                <w:sz w:val="24"/>
                <w:szCs w:val="24"/>
              </w:rPr>
              <w:t>Rudėnaitė</w:t>
            </w:r>
            <w:proofErr w:type="spellEnd"/>
          </w:p>
        </w:tc>
      </w:tr>
      <w:tr w:rsidR="008E382A" w:rsidRPr="00233E13" w14:paraId="11D000CD" w14:textId="77777777" w:rsidTr="008E382A">
        <w:tc>
          <w:tcPr>
            <w:tcW w:w="7196" w:type="dxa"/>
          </w:tcPr>
          <w:p w14:paraId="5FF533D6" w14:textId="77777777" w:rsidR="008E382A" w:rsidRPr="00233E13" w:rsidRDefault="008E382A" w:rsidP="00233E13">
            <w:pPr>
              <w:suppressAutoHyphens/>
              <w:ind w:firstLine="0"/>
              <w:rPr>
                <w:rFonts w:ascii="Times New Roman" w:hAnsi="Times New Roman" w:cs="Times New Roman"/>
                <w:sz w:val="24"/>
                <w:szCs w:val="24"/>
                <w:lang w:eastAsia="zh-CN"/>
              </w:rPr>
            </w:pPr>
          </w:p>
        </w:tc>
        <w:tc>
          <w:tcPr>
            <w:tcW w:w="2602" w:type="dxa"/>
            <w:gridSpan w:val="3"/>
          </w:tcPr>
          <w:p w14:paraId="5CD27B45" w14:textId="77777777" w:rsidR="008E382A" w:rsidRPr="00233E13" w:rsidRDefault="008E382A" w:rsidP="00233E13">
            <w:pPr>
              <w:suppressAutoHyphens/>
              <w:ind w:firstLine="0"/>
              <w:rPr>
                <w:rFonts w:ascii="Times New Roman" w:hAnsi="Times New Roman" w:cs="Times New Roman"/>
                <w:sz w:val="24"/>
                <w:szCs w:val="24"/>
              </w:rPr>
            </w:pPr>
          </w:p>
        </w:tc>
      </w:tr>
      <w:tr w:rsidR="00233E13" w:rsidRPr="00233E13" w14:paraId="78550515" w14:textId="77777777" w:rsidTr="008E382A">
        <w:tblPrEx>
          <w:tblLook w:val="0000" w:firstRow="0" w:lastRow="0" w:firstColumn="0" w:lastColumn="0" w:noHBand="0" w:noVBand="0"/>
        </w:tblPrEx>
        <w:trPr>
          <w:gridAfter w:val="1"/>
          <w:wAfter w:w="78" w:type="dxa"/>
          <w:trHeight w:val="421"/>
        </w:trPr>
        <w:tc>
          <w:tcPr>
            <w:tcW w:w="7230" w:type="dxa"/>
            <w:gridSpan w:val="2"/>
          </w:tcPr>
          <w:p w14:paraId="65A3873D" w14:textId="77777777" w:rsidR="00233E13" w:rsidRPr="00233E13" w:rsidRDefault="00233E13" w:rsidP="00233E13">
            <w:pPr>
              <w:suppressAutoHyphens/>
              <w:ind w:firstLine="0"/>
              <w:rPr>
                <w:rFonts w:ascii="Times New Roman" w:hAnsi="Times New Roman" w:cs="Times New Roman"/>
                <w:sz w:val="24"/>
                <w:szCs w:val="24"/>
                <w:lang w:eastAsia="zh-CN"/>
              </w:rPr>
            </w:pPr>
          </w:p>
        </w:tc>
        <w:tc>
          <w:tcPr>
            <w:tcW w:w="2490" w:type="dxa"/>
          </w:tcPr>
          <w:p w14:paraId="4D881330" w14:textId="77777777" w:rsidR="00233E13" w:rsidRPr="00233E13" w:rsidRDefault="00233E13" w:rsidP="00233E13">
            <w:pPr>
              <w:suppressAutoHyphens/>
              <w:ind w:firstLine="0"/>
              <w:rPr>
                <w:rFonts w:ascii="Times New Roman" w:hAnsi="Times New Roman" w:cs="Times New Roman"/>
                <w:sz w:val="24"/>
                <w:szCs w:val="24"/>
                <w:lang w:eastAsia="zh-CN"/>
              </w:rPr>
            </w:pPr>
          </w:p>
        </w:tc>
      </w:tr>
      <w:tr w:rsidR="00233E13" w:rsidRPr="00233E13" w14:paraId="4D77F1D4" w14:textId="77777777" w:rsidTr="008E382A">
        <w:tblPrEx>
          <w:tblLook w:val="0000" w:firstRow="0" w:lastRow="0" w:firstColumn="0" w:lastColumn="0" w:noHBand="0" w:noVBand="0"/>
        </w:tblPrEx>
        <w:trPr>
          <w:gridAfter w:val="1"/>
          <w:wAfter w:w="78" w:type="dxa"/>
        </w:trPr>
        <w:tc>
          <w:tcPr>
            <w:tcW w:w="7230" w:type="dxa"/>
            <w:gridSpan w:val="2"/>
          </w:tcPr>
          <w:p w14:paraId="70B0DF00" w14:textId="77777777" w:rsidR="00233E13" w:rsidRPr="00233E13" w:rsidRDefault="00233E13" w:rsidP="00233E13">
            <w:pPr>
              <w:suppressAutoHyphens/>
              <w:ind w:firstLine="0"/>
              <w:rPr>
                <w:rFonts w:ascii="Times New Roman" w:hAnsi="Times New Roman" w:cs="Times New Roman"/>
                <w:sz w:val="24"/>
                <w:szCs w:val="24"/>
                <w:lang w:eastAsia="zh-CN"/>
              </w:rPr>
            </w:pPr>
            <w:r w:rsidRPr="00233E13">
              <w:rPr>
                <w:rFonts w:ascii="Times New Roman" w:hAnsi="Times New Roman" w:cs="Times New Roman"/>
                <w:sz w:val="24"/>
                <w:szCs w:val="24"/>
                <w:lang w:eastAsia="zh-CN"/>
              </w:rPr>
              <w:t>Sekretorius</w:t>
            </w:r>
          </w:p>
        </w:tc>
        <w:tc>
          <w:tcPr>
            <w:tcW w:w="2490" w:type="dxa"/>
          </w:tcPr>
          <w:p w14:paraId="4C680440" w14:textId="123BF330" w:rsidR="00233E13" w:rsidRPr="00233E13" w:rsidRDefault="008E382A" w:rsidP="00233E13">
            <w:pPr>
              <w:suppressAutoHyphens/>
              <w:ind w:left="-322" w:firstLine="283"/>
              <w:rPr>
                <w:rFonts w:ascii="Times New Roman" w:hAnsi="Times New Roman" w:cs="Times New Roman"/>
                <w:sz w:val="24"/>
                <w:szCs w:val="24"/>
                <w:lang w:eastAsia="zh-CN"/>
              </w:rPr>
            </w:pPr>
            <w:r>
              <w:rPr>
                <w:rFonts w:ascii="Times New Roman" w:hAnsi="Times New Roman" w:cs="Times New Roman"/>
                <w:sz w:val="24"/>
                <w:szCs w:val="24"/>
                <w:lang w:eastAsia="zh-CN"/>
              </w:rPr>
              <w:t>Ramūnas Gadliauskas</w:t>
            </w:r>
          </w:p>
        </w:tc>
      </w:tr>
    </w:tbl>
    <w:p w14:paraId="0D851F0C" w14:textId="77777777" w:rsidR="00233E13" w:rsidRPr="00233E13" w:rsidRDefault="00233E13" w:rsidP="00233E13">
      <w:pPr>
        <w:suppressAutoHyphens/>
        <w:spacing w:line="360" w:lineRule="auto"/>
        <w:ind w:left="709" w:firstLine="0"/>
        <w:contextualSpacing/>
        <w:jc w:val="both"/>
        <w:rPr>
          <w:rFonts w:ascii="Times New Roman" w:hAnsi="Times New Roman" w:cs="Times New Roman"/>
          <w:sz w:val="24"/>
          <w:szCs w:val="24"/>
          <w:lang w:eastAsia="zh-CN"/>
        </w:rPr>
      </w:pPr>
    </w:p>
    <w:p w14:paraId="5E194F53" w14:textId="77777777" w:rsidR="001C2439" w:rsidRDefault="00233E13" w:rsidP="00855B40">
      <w:pPr>
        <w:suppressAutoHyphens/>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br w:type="page"/>
      </w:r>
      <w:bookmarkStart w:id="0" w:name="_Hlk148517687"/>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1C2439" w:rsidRPr="001C2439" w14:paraId="2BBD6E5E" w14:textId="77777777" w:rsidTr="000F384B">
        <w:trPr>
          <w:hidden/>
        </w:trPr>
        <w:tc>
          <w:tcPr>
            <w:tcW w:w="4962" w:type="dxa"/>
          </w:tcPr>
          <w:p w14:paraId="0A632BEA" w14:textId="77777777" w:rsidR="001C2439" w:rsidRPr="001C2439" w:rsidRDefault="001C2439" w:rsidP="001C2439">
            <w:pPr>
              <w:ind w:firstLine="0"/>
              <w:rPr>
                <w:rFonts w:ascii="Times New Roman" w:hAnsi="Times New Roman" w:cs="Times New Roman"/>
                <w:vanish/>
              </w:rPr>
            </w:pPr>
          </w:p>
        </w:tc>
        <w:tc>
          <w:tcPr>
            <w:tcW w:w="4950" w:type="dxa"/>
          </w:tcPr>
          <w:p w14:paraId="19985BB2" w14:textId="77777777" w:rsidR="001C2439" w:rsidRPr="001C2439" w:rsidRDefault="001C2439" w:rsidP="001C2439">
            <w:pPr>
              <w:keepNext/>
              <w:ind w:firstLine="0"/>
              <w:outlineLvl w:val="6"/>
              <w:rPr>
                <w:rFonts w:ascii="Times New Roman" w:hAnsi="Times New Roman" w:cs="Times New Roman"/>
                <w:bCs/>
                <w:i/>
                <w:sz w:val="24"/>
                <w:szCs w:val="24"/>
              </w:rPr>
            </w:pPr>
            <w:r w:rsidRPr="001C2439">
              <w:rPr>
                <w:rFonts w:ascii="Times New Roman" w:hAnsi="Times New Roman" w:cs="Times New Roman"/>
                <w:bCs/>
                <w:sz w:val="24"/>
                <w:szCs w:val="24"/>
              </w:rPr>
              <w:t>PATVIRTINTA</w:t>
            </w:r>
          </w:p>
          <w:p w14:paraId="48D6309B" w14:textId="52B22437" w:rsidR="001C2439" w:rsidRPr="001C2439" w:rsidRDefault="008E382A" w:rsidP="001C2439">
            <w:pPr>
              <w:keepNext/>
              <w:ind w:firstLine="0"/>
              <w:outlineLvl w:val="6"/>
              <w:rPr>
                <w:rFonts w:ascii="Times New Roman" w:hAnsi="Times New Roman" w:cs="Times New Roman"/>
                <w:bCs/>
                <w:sz w:val="24"/>
                <w:szCs w:val="24"/>
              </w:rPr>
            </w:pPr>
            <w:r>
              <w:rPr>
                <w:rFonts w:ascii="Times New Roman" w:hAnsi="Times New Roman" w:cs="Times New Roman"/>
                <w:bCs/>
                <w:sz w:val="24"/>
                <w:szCs w:val="24"/>
              </w:rPr>
              <w:t>Teisėjų tarybos</w:t>
            </w:r>
            <w:r w:rsidR="00FE4C13">
              <w:rPr>
                <w:rFonts w:ascii="Times New Roman" w:hAnsi="Times New Roman" w:cs="Times New Roman"/>
                <w:bCs/>
                <w:sz w:val="24"/>
                <w:szCs w:val="24"/>
              </w:rPr>
              <w:t xml:space="preserve"> </w:t>
            </w:r>
            <w:r w:rsidR="001C2439" w:rsidRPr="001C2439">
              <w:rPr>
                <w:rFonts w:ascii="Times New Roman" w:hAnsi="Times New Roman" w:cs="Times New Roman"/>
                <w:bCs/>
                <w:sz w:val="24"/>
                <w:szCs w:val="24"/>
              </w:rPr>
              <w:t>20</w:t>
            </w:r>
            <w:r>
              <w:rPr>
                <w:rFonts w:ascii="Times New Roman" w:hAnsi="Times New Roman" w:cs="Times New Roman"/>
                <w:bCs/>
                <w:sz w:val="24"/>
                <w:szCs w:val="24"/>
              </w:rPr>
              <w:t>21</w:t>
            </w:r>
            <w:r w:rsidR="001C2439" w:rsidRPr="001C2439">
              <w:rPr>
                <w:rFonts w:ascii="Times New Roman" w:hAnsi="Times New Roman" w:cs="Times New Roman"/>
                <w:bCs/>
                <w:sz w:val="24"/>
                <w:szCs w:val="24"/>
              </w:rPr>
              <w:t xml:space="preserve"> m. </w:t>
            </w:r>
            <w:r>
              <w:rPr>
                <w:rFonts w:ascii="Times New Roman" w:hAnsi="Times New Roman" w:cs="Times New Roman"/>
                <w:bCs/>
                <w:sz w:val="24"/>
                <w:szCs w:val="24"/>
              </w:rPr>
              <w:t>gruodžio</w:t>
            </w:r>
            <w:r w:rsidR="001C2439" w:rsidRPr="001C2439">
              <w:rPr>
                <w:rFonts w:ascii="Times New Roman" w:hAnsi="Times New Roman" w:cs="Times New Roman"/>
                <w:bCs/>
                <w:sz w:val="24"/>
                <w:szCs w:val="24"/>
              </w:rPr>
              <w:t xml:space="preserve"> </w:t>
            </w:r>
            <w:r>
              <w:rPr>
                <w:rFonts w:ascii="Times New Roman" w:hAnsi="Times New Roman" w:cs="Times New Roman"/>
                <w:bCs/>
                <w:sz w:val="24"/>
                <w:szCs w:val="24"/>
              </w:rPr>
              <w:t>20</w:t>
            </w:r>
            <w:r w:rsidR="001C2439" w:rsidRPr="001C2439">
              <w:rPr>
                <w:rFonts w:ascii="Times New Roman" w:hAnsi="Times New Roman" w:cs="Times New Roman"/>
                <w:bCs/>
                <w:sz w:val="24"/>
                <w:szCs w:val="24"/>
              </w:rPr>
              <w:t xml:space="preserve"> d. </w:t>
            </w:r>
          </w:p>
          <w:p w14:paraId="5C1377EF" w14:textId="28DDD1C2" w:rsidR="001C2439" w:rsidRPr="001C2439" w:rsidRDefault="008E382A" w:rsidP="001C2439">
            <w:pPr>
              <w:keepNext/>
              <w:ind w:firstLine="0"/>
              <w:outlineLvl w:val="6"/>
              <w:rPr>
                <w:rFonts w:ascii="Times New Roman" w:hAnsi="Times New Roman" w:cs="Times New Roman"/>
                <w:bCs/>
                <w:sz w:val="24"/>
                <w:szCs w:val="24"/>
              </w:rPr>
            </w:pPr>
            <w:r>
              <w:rPr>
                <w:rFonts w:ascii="Times New Roman" w:hAnsi="Times New Roman" w:cs="Times New Roman"/>
                <w:bCs/>
                <w:sz w:val="24"/>
                <w:szCs w:val="24"/>
              </w:rPr>
              <w:t>nutarimu</w:t>
            </w:r>
            <w:r w:rsidR="001C2439" w:rsidRPr="001C2439">
              <w:rPr>
                <w:rFonts w:ascii="Times New Roman" w:hAnsi="Times New Roman" w:cs="Times New Roman"/>
                <w:bCs/>
                <w:sz w:val="24"/>
                <w:szCs w:val="24"/>
              </w:rPr>
              <w:t xml:space="preserve"> Nr.</w:t>
            </w:r>
            <w:r>
              <w:rPr>
                <w:rFonts w:ascii="Times New Roman" w:hAnsi="Times New Roman" w:cs="Times New Roman"/>
                <w:bCs/>
                <w:sz w:val="24"/>
                <w:szCs w:val="24"/>
              </w:rPr>
              <w:t xml:space="preserve"> </w:t>
            </w:r>
            <w:r w:rsidR="001C2439" w:rsidRPr="001C2439">
              <w:rPr>
                <w:rFonts w:ascii="Times New Roman" w:hAnsi="Times New Roman" w:cs="Times New Roman"/>
                <w:bCs/>
                <w:sz w:val="24"/>
                <w:szCs w:val="24"/>
              </w:rPr>
              <w:t>1</w:t>
            </w:r>
            <w:r>
              <w:rPr>
                <w:rFonts w:ascii="Times New Roman" w:hAnsi="Times New Roman" w:cs="Times New Roman"/>
                <w:bCs/>
                <w:sz w:val="24"/>
                <w:szCs w:val="24"/>
              </w:rPr>
              <w:t>3</w:t>
            </w:r>
            <w:r w:rsidR="001C2439" w:rsidRPr="001C2439">
              <w:rPr>
                <w:rFonts w:ascii="Times New Roman" w:hAnsi="Times New Roman" w:cs="Times New Roman"/>
                <w:bCs/>
                <w:sz w:val="24"/>
                <w:szCs w:val="24"/>
              </w:rPr>
              <w:t>P-</w:t>
            </w:r>
            <w:r>
              <w:rPr>
                <w:rFonts w:ascii="Times New Roman" w:hAnsi="Times New Roman" w:cs="Times New Roman"/>
                <w:bCs/>
                <w:sz w:val="24"/>
                <w:szCs w:val="24"/>
              </w:rPr>
              <w:t>155</w:t>
            </w:r>
            <w:r w:rsidR="001C2439" w:rsidRPr="001C2439">
              <w:rPr>
                <w:rFonts w:ascii="Times New Roman" w:hAnsi="Times New Roman" w:cs="Times New Roman"/>
                <w:bCs/>
                <w:sz w:val="24"/>
                <w:szCs w:val="24"/>
              </w:rPr>
              <w:t>-(7.</w:t>
            </w:r>
            <w:r>
              <w:rPr>
                <w:rFonts w:ascii="Times New Roman" w:hAnsi="Times New Roman" w:cs="Times New Roman"/>
                <w:bCs/>
                <w:sz w:val="24"/>
                <w:szCs w:val="24"/>
              </w:rPr>
              <w:t>1</w:t>
            </w:r>
            <w:r w:rsidR="001C2439" w:rsidRPr="001C2439">
              <w:rPr>
                <w:rFonts w:ascii="Times New Roman" w:hAnsi="Times New Roman" w:cs="Times New Roman"/>
                <w:bCs/>
                <w:sz w:val="24"/>
                <w:szCs w:val="24"/>
              </w:rPr>
              <w:t>.2</w:t>
            </w:r>
            <w:r>
              <w:rPr>
                <w:rFonts w:ascii="Times New Roman" w:hAnsi="Times New Roman" w:cs="Times New Roman"/>
                <w:bCs/>
                <w:sz w:val="24"/>
                <w:szCs w:val="24"/>
              </w:rPr>
              <w:t>.</w:t>
            </w:r>
            <w:r w:rsidR="001C2439" w:rsidRPr="001C2439">
              <w:rPr>
                <w:rFonts w:ascii="Times New Roman" w:hAnsi="Times New Roman" w:cs="Times New Roman"/>
                <w:bCs/>
                <w:sz w:val="24"/>
                <w:szCs w:val="24"/>
              </w:rPr>
              <w:t>)</w:t>
            </w:r>
          </w:p>
          <w:p w14:paraId="293BF089" w14:textId="17242501" w:rsidR="001C2439" w:rsidRPr="001C2439" w:rsidRDefault="001C2439" w:rsidP="001C2439">
            <w:pPr>
              <w:keepNext/>
              <w:ind w:firstLine="0"/>
              <w:outlineLvl w:val="6"/>
              <w:rPr>
                <w:rFonts w:ascii="Times New Roman" w:hAnsi="Times New Roman" w:cs="Times New Roman"/>
                <w:bCs/>
                <w:sz w:val="24"/>
                <w:szCs w:val="24"/>
              </w:rPr>
            </w:pPr>
            <w:r w:rsidRPr="001C2439">
              <w:rPr>
                <w:rFonts w:ascii="Times New Roman" w:hAnsi="Times New Roman" w:cs="Times New Roman"/>
                <w:bCs/>
                <w:sz w:val="24"/>
                <w:szCs w:val="24"/>
              </w:rPr>
              <w:t>(</w:t>
            </w:r>
            <w:r w:rsidR="008E382A">
              <w:rPr>
                <w:rFonts w:ascii="Times New Roman" w:hAnsi="Times New Roman" w:cs="Times New Roman"/>
                <w:bCs/>
                <w:sz w:val="24"/>
                <w:szCs w:val="24"/>
              </w:rPr>
              <w:t>Teisėjų tarybos</w:t>
            </w:r>
            <w:r w:rsidRPr="001C2439">
              <w:rPr>
                <w:rFonts w:ascii="Times New Roman" w:hAnsi="Times New Roman" w:cs="Times New Roman"/>
                <w:bCs/>
                <w:sz w:val="24"/>
                <w:szCs w:val="24"/>
              </w:rPr>
              <w:t xml:space="preserve"> 202</w:t>
            </w:r>
            <w:r w:rsidR="008E382A">
              <w:rPr>
                <w:rFonts w:ascii="Times New Roman" w:hAnsi="Times New Roman" w:cs="Times New Roman"/>
                <w:bCs/>
                <w:sz w:val="24"/>
                <w:szCs w:val="24"/>
              </w:rPr>
              <w:t>3</w:t>
            </w:r>
            <w:r w:rsidRPr="001C2439">
              <w:rPr>
                <w:rFonts w:ascii="Times New Roman" w:hAnsi="Times New Roman" w:cs="Times New Roman"/>
                <w:bCs/>
                <w:sz w:val="24"/>
                <w:szCs w:val="24"/>
              </w:rPr>
              <w:t xml:space="preserve"> m. spalio 2</w:t>
            </w:r>
            <w:r w:rsidR="008E382A">
              <w:rPr>
                <w:rFonts w:ascii="Times New Roman" w:hAnsi="Times New Roman" w:cs="Times New Roman"/>
                <w:bCs/>
                <w:sz w:val="24"/>
                <w:szCs w:val="24"/>
              </w:rPr>
              <w:t>7</w:t>
            </w:r>
            <w:r w:rsidRPr="001C2439">
              <w:rPr>
                <w:rFonts w:ascii="Times New Roman" w:hAnsi="Times New Roman" w:cs="Times New Roman"/>
                <w:bCs/>
                <w:sz w:val="24"/>
                <w:szCs w:val="24"/>
              </w:rPr>
              <w:t xml:space="preserve"> d. </w:t>
            </w:r>
            <w:r w:rsidR="008E382A">
              <w:rPr>
                <w:rFonts w:ascii="Times New Roman" w:hAnsi="Times New Roman" w:cs="Times New Roman"/>
                <w:bCs/>
                <w:sz w:val="24"/>
                <w:szCs w:val="24"/>
              </w:rPr>
              <w:t>nutarimo</w:t>
            </w:r>
            <w:r w:rsidRPr="001C2439">
              <w:rPr>
                <w:rFonts w:ascii="Times New Roman" w:hAnsi="Times New Roman" w:cs="Times New Roman"/>
                <w:bCs/>
                <w:sz w:val="24"/>
                <w:szCs w:val="24"/>
              </w:rPr>
              <w:t xml:space="preserve"> Nr. 1</w:t>
            </w:r>
            <w:r w:rsidR="008E382A">
              <w:rPr>
                <w:rFonts w:ascii="Times New Roman" w:hAnsi="Times New Roman" w:cs="Times New Roman"/>
                <w:bCs/>
                <w:sz w:val="24"/>
                <w:szCs w:val="24"/>
              </w:rPr>
              <w:t>3</w:t>
            </w:r>
            <w:r w:rsidRPr="001C2439">
              <w:rPr>
                <w:rFonts w:ascii="Times New Roman" w:hAnsi="Times New Roman" w:cs="Times New Roman"/>
                <w:bCs/>
                <w:sz w:val="24"/>
                <w:szCs w:val="24"/>
              </w:rPr>
              <w:t>P-1</w:t>
            </w:r>
            <w:r w:rsidR="008E382A">
              <w:rPr>
                <w:rFonts w:ascii="Times New Roman" w:hAnsi="Times New Roman" w:cs="Times New Roman"/>
                <w:bCs/>
                <w:sz w:val="24"/>
                <w:szCs w:val="24"/>
              </w:rPr>
              <w:t>49</w:t>
            </w:r>
            <w:r w:rsidRPr="001C2439">
              <w:rPr>
                <w:rFonts w:ascii="Times New Roman" w:hAnsi="Times New Roman" w:cs="Times New Roman"/>
                <w:bCs/>
                <w:sz w:val="24"/>
                <w:szCs w:val="24"/>
              </w:rPr>
              <w:t>-(7.</w:t>
            </w:r>
            <w:r w:rsidR="008E382A">
              <w:rPr>
                <w:rFonts w:ascii="Times New Roman" w:hAnsi="Times New Roman" w:cs="Times New Roman"/>
                <w:bCs/>
                <w:sz w:val="24"/>
                <w:szCs w:val="24"/>
              </w:rPr>
              <w:t>1</w:t>
            </w:r>
            <w:r w:rsidRPr="001C2439">
              <w:rPr>
                <w:rFonts w:ascii="Times New Roman" w:hAnsi="Times New Roman" w:cs="Times New Roman"/>
                <w:bCs/>
                <w:sz w:val="24"/>
                <w:szCs w:val="24"/>
              </w:rPr>
              <w:t>.2</w:t>
            </w:r>
            <w:r w:rsidR="008E382A">
              <w:rPr>
                <w:rFonts w:ascii="Times New Roman" w:hAnsi="Times New Roman" w:cs="Times New Roman"/>
                <w:bCs/>
                <w:sz w:val="24"/>
                <w:szCs w:val="24"/>
              </w:rPr>
              <w:t>.</w:t>
            </w:r>
            <w:r w:rsidRPr="001C2439">
              <w:rPr>
                <w:rFonts w:ascii="Times New Roman" w:hAnsi="Times New Roman" w:cs="Times New Roman"/>
                <w:bCs/>
                <w:sz w:val="24"/>
                <w:szCs w:val="24"/>
              </w:rPr>
              <w:t>) redakcija)</w:t>
            </w:r>
          </w:p>
          <w:p w14:paraId="15CB1A52" w14:textId="77777777" w:rsidR="001C2439" w:rsidRPr="001C2439" w:rsidRDefault="001C2439" w:rsidP="001C2439">
            <w:pPr>
              <w:ind w:firstLine="0"/>
              <w:rPr>
                <w:rFonts w:ascii="Times New Roman" w:hAnsi="Times New Roman" w:cs="Times New Roman"/>
                <w:vanish/>
              </w:rPr>
            </w:pPr>
          </w:p>
        </w:tc>
      </w:tr>
    </w:tbl>
    <w:p w14:paraId="3C91446D" w14:textId="77777777" w:rsidR="001C2439" w:rsidRDefault="001C2439" w:rsidP="00855B40">
      <w:pPr>
        <w:suppressAutoHyphens/>
        <w:ind w:firstLine="0"/>
        <w:jc w:val="center"/>
        <w:rPr>
          <w:rFonts w:ascii="Times New Roman" w:hAnsi="Times New Roman" w:cs="Times New Roman"/>
          <w:sz w:val="24"/>
          <w:szCs w:val="24"/>
          <w:lang w:eastAsia="zh-CN"/>
        </w:rPr>
      </w:pPr>
    </w:p>
    <w:p w14:paraId="01BFD3E5" w14:textId="77777777" w:rsidR="00FE4C13" w:rsidRDefault="00FE4C13" w:rsidP="00855B40">
      <w:pPr>
        <w:suppressAutoHyphens/>
        <w:ind w:firstLine="0"/>
        <w:jc w:val="center"/>
        <w:rPr>
          <w:rFonts w:ascii="Times New Roman" w:hAnsi="Times New Roman" w:cs="Times New Roman"/>
          <w:sz w:val="24"/>
          <w:szCs w:val="24"/>
          <w:lang w:eastAsia="zh-CN"/>
        </w:rPr>
      </w:pPr>
    </w:p>
    <w:p w14:paraId="4704B858" w14:textId="6D2842A2" w:rsidR="00305149" w:rsidRPr="00960100" w:rsidRDefault="00305149" w:rsidP="00855B40">
      <w:pPr>
        <w:suppressAutoHyphens/>
        <w:ind w:firstLine="0"/>
        <w:jc w:val="center"/>
        <w:rPr>
          <w:rFonts w:ascii="Times New Roman" w:hAnsi="Times New Roman" w:cs="Times New Roman"/>
          <w:b/>
          <w:bCs/>
          <w:sz w:val="24"/>
          <w:szCs w:val="24"/>
        </w:rPr>
      </w:pPr>
      <w:r w:rsidRPr="00960100">
        <w:rPr>
          <w:rFonts w:ascii="Times New Roman" w:hAnsi="Times New Roman" w:cs="Times New Roman"/>
          <w:b/>
          <w:bCs/>
          <w:caps/>
          <w:sz w:val="24"/>
          <w:szCs w:val="24"/>
        </w:rPr>
        <w:t>MOKĖJIMO UŽ DARBĄ IR BUDĖJIMĄ POILSIO IR ŠVENČIŲ DIENOMIS BEI PAVADAVIMĄ</w:t>
      </w:r>
      <w:r w:rsidR="00855B40">
        <w:rPr>
          <w:rFonts w:ascii="Times New Roman" w:hAnsi="Times New Roman" w:cs="Times New Roman"/>
          <w:b/>
          <w:bCs/>
          <w:caps/>
          <w:sz w:val="24"/>
          <w:szCs w:val="24"/>
        </w:rPr>
        <w:t xml:space="preserve"> </w:t>
      </w:r>
      <w:r w:rsidRPr="00960100">
        <w:rPr>
          <w:rFonts w:ascii="Times New Roman" w:hAnsi="Times New Roman" w:cs="Times New Roman"/>
          <w:b/>
          <w:bCs/>
          <w:caps/>
          <w:sz w:val="24"/>
          <w:szCs w:val="24"/>
        </w:rPr>
        <w:t xml:space="preserve">BENDROSIOS KOMPETENCIJOS IR SPECIALIZUOTŲ TEISMŲ TEISĖJAMS </w:t>
      </w:r>
      <w:r w:rsidRPr="00960100">
        <w:rPr>
          <w:rFonts w:ascii="Times New Roman" w:hAnsi="Times New Roman" w:cs="Times New Roman"/>
          <w:b/>
          <w:bCs/>
          <w:sz w:val="24"/>
          <w:szCs w:val="24"/>
        </w:rPr>
        <w:t>TVARKOS APRAŠAS</w:t>
      </w:r>
      <w:bookmarkEnd w:id="0"/>
    </w:p>
    <w:p w14:paraId="1B20EF86" w14:textId="77777777" w:rsidR="00305149" w:rsidRPr="00960100" w:rsidRDefault="00305149" w:rsidP="00305149">
      <w:pPr>
        <w:suppressAutoHyphens/>
        <w:ind w:firstLine="0"/>
        <w:jc w:val="center"/>
        <w:textAlignment w:val="baseline"/>
        <w:rPr>
          <w:rFonts w:ascii="Times New Roman" w:hAnsi="Times New Roman" w:cs="Times New Roman"/>
          <w:b/>
          <w:bCs/>
          <w:sz w:val="24"/>
          <w:szCs w:val="24"/>
        </w:rPr>
      </w:pPr>
    </w:p>
    <w:p w14:paraId="59919C34" w14:textId="77777777" w:rsidR="00305149" w:rsidRPr="00960100" w:rsidRDefault="00305149" w:rsidP="00305149">
      <w:pPr>
        <w:suppressAutoHyphens/>
        <w:ind w:firstLine="0"/>
        <w:jc w:val="center"/>
        <w:textAlignment w:val="baseline"/>
        <w:rPr>
          <w:rFonts w:ascii="Times New Roman" w:hAnsi="Times New Roman" w:cs="Times New Roman"/>
          <w:b/>
          <w:bCs/>
          <w:sz w:val="24"/>
          <w:szCs w:val="24"/>
        </w:rPr>
      </w:pPr>
      <w:r w:rsidRPr="00960100">
        <w:rPr>
          <w:rFonts w:ascii="Times New Roman" w:hAnsi="Times New Roman" w:cs="Times New Roman"/>
          <w:b/>
          <w:bCs/>
          <w:sz w:val="24"/>
          <w:szCs w:val="24"/>
        </w:rPr>
        <w:t>I. BENDROSIOS NUOSTATOS</w:t>
      </w:r>
    </w:p>
    <w:p w14:paraId="42225D65" w14:textId="77777777" w:rsidR="00305149" w:rsidRPr="00960100" w:rsidRDefault="00305149" w:rsidP="00305149">
      <w:pPr>
        <w:suppressAutoHyphens/>
        <w:jc w:val="both"/>
        <w:textAlignment w:val="baseline"/>
        <w:rPr>
          <w:rFonts w:ascii="Times New Roman" w:hAnsi="Times New Roman" w:cs="Times New Roman"/>
          <w:caps/>
          <w:sz w:val="24"/>
          <w:szCs w:val="24"/>
        </w:rPr>
      </w:pPr>
    </w:p>
    <w:p w14:paraId="3B65B1C0" w14:textId="77777777" w:rsidR="00305149" w:rsidRPr="00960100" w:rsidRDefault="00305149" w:rsidP="00305149">
      <w:pPr>
        <w:tabs>
          <w:tab w:val="left" w:pos="709"/>
          <w:tab w:val="left" w:pos="1134"/>
        </w:tabs>
        <w:suppressAutoHyphens/>
        <w:jc w:val="both"/>
        <w:textAlignment w:val="baseline"/>
        <w:rPr>
          <w:rFonts w:ascii="Times New Roman" w:hAnsi="Times New Roman" w:cs="Times New Roman"/>
          <w:bCs/>
          <w:color w:val="000000"/>
          <w:sz w:val="24"/>
          <w:szCs w:val="24"/>
        </w:rPr>
      </w:pPr>
      <w:r w:rsidRPr="00960100">
        <w:rPr>
          <w:rFonts w:ascii="Times New Roman" w:hAnsi="Times New Roman" w:cs="Times New Roman"/>
          <w:sz w:val="24"/>
          <w:szCs w:val="24"/>
        </w:rPr>
        <w:t xml:space="preserve">1. </w:t>
      </w:r>
      <w:r w:rsidRPr="00960100">
        <w:rPr>
          <w:rFonts w:ascii="Times New Roman" w:hAnsi="Times New Roman" w:cs="Times New Roman"/>
          <w:bCs/>
          <w:sz w:val="24"/>
          <w:szCs w:val="24"/>
        </w:rPr>
        <w:t xml:space="preserve">Mokėjimo </w:t>
      </w:r>
      <w:r w:rsidRPr="00960100">
        <w:rPr>
          <w:rFonts w:ascii="Times New Roman" w:hAnsi="Times New Roman" w:cs="Times New Roman"/>
          <w:sz w:val="24"/>
          <w:szCs w:val="24"/>
        </w:rPr>
        <w:t>už darbą ir budėjimą poilsio ir švenčių dienomis bei pavadavimą</w:t>
      </w:r>
      <w:r w:rsidR="00855B40">
        <w:rPr>
          <w:rFonts w:ascii="Times New Roman" w:hAnsi="Times New Roman" w:cs="Times New Roman"/>
          <w:sz w:val="24"/>
          <w:szCs w:val="24"/>
        </w:rPr>
        <w:t xml:space="preserve"> </w:t>
      </w:r>
      <w:r w:rsidRPr="00960100">
        <w:rPr>
          <w:rFonts w:ascii="Times New Roman" w:hAnsi="Times New Roman" w:cs="Times New Roman"/>
          <w:bCs/>
          <w:sz w:val="24"/>
          <w:szCs w:val="24"/>
        </w:rPr>
        <w:t>bendrosios kompetencijos ir specializuotų teismų teisėjams tvarkos aprašas</w:t>
      </w:r>
      <w:r w:rsidRPr="00960100">
        <w:rPr>
          <w:rFonts w:ascii="Times New Roman" w:hAnsi="Times New Roman" w:cs="Times New Roman"/>
          <w:sz w:val="24"/>
          <w:szCs w:val="24"/>
        </w:rPr>
        <w:t xml:space="preserve"> (toliau – Aprašas) nustato mokėjimo bendrosios kompetencijos ir specializuotų teismų teisėjams už darbą ir budėjimą poilsio ir švenčių dienomis bei pavadavimą</w:t>
      </w:r>
      <w:r w:rsidRPr="00960100">
        <w:rPr>
          <w:rFonts w:ascii="Times New Roman" w:hAnsi="Times New Roman" w:cs="Times New Roman"/>
          <w:bCs/>
          <w:color w:val="000000"/>
          <w:sz w:val="24"/>
          <w:szCs w:val="24"/>
        </w:rPr>
        <w:t xml:space="preserve"> tvarką</w:t>
      </w:r>
      <w:r w:rsidRPr="00960100">
        <w:rPr>
          <w:rFonts w:ascii="Times New Roman" w:hAnsi="Times New Roman" w:cs="Times New Roman"/>
          <w:sz w:val="24"/>
          <w:szCs w:val="24"/>
        </w:rPr>
        <w:t>.</w:t>
      </w:r>
    </w:p>
    <w:p w14:paraId="4760E638" w14:textId="77777777" w:rsidR="00305149" w:rsidRPr="00960100" w:rsidRDefault="00855B40" w:rsidP="00305149">
      <w:pPr>
        <w:tabs>
          <w:tab w:val="left" w:pos="709"/>
          <w:tab w:val="left" w:pos="1134"/>
        </w:tabs>
        <w:suppressAutoHyphens/>
        <w:jc w:val="both"/>
        <w:textAlignment w:val="baseline"/>
        <w:rPr>
          <w:rFonts w:ascii="Times New Roman" w:hAnsi="Times New Roman" w:cs="Times New Roman"/>
          <w:sz w:val="24"/>
          <w:szCs w:val="24"/>
        </w:rPr>
      </w:pPr>
      <w:r w:rsidRPr="00855B40">
        <w:rPr>
          <w:rFonts w:ascii="Times New Roman" w:hAnsi="Times New Roman" w:cs="Times New Roman"/>
          <w:sz w:val="24"/>
          <w:szCs w:val="24"/>
        </w:rPr>
        <w:t>2</w:t>
      </w:r>
      <w:r w:rsidR="00305149" w:rsidRPr="00855B40">
        <w:rPr>
          <w:rFonts w:ascii="Times New Roman" w:hAnsi="Times New Roman" w:cs="Times New Roman"/>
          <w:sz w:val="24"/>
          <w:szCs w:val="24"/>
        </w:rPr>
        <w:t>.</w:t>
      </w:r>
      <w:r w:rsidR="00305149" w:rsidRPr="00960100">
        <w:rPr>
          <w:rFonts w:ascii="Times New Roman" w:hAnsi="Times New Roman" w:cs="Times New Roman"/>
          <w:sz w:val="24"/>
          <w:szCs w:val="24"/>
        </w:rPr>
        <w:t xml:space="preserve"> Siekdami efektyvaus teismo darbo organizavimo ir darbo užmokesčiui skirtų lėšų naudojimo, teismų pirmininkai bendradarbiaudami su kitomis institucijomis (policija, prokuratūra) turi imtis organizacinių priemonių, užtikrinančių, jog budėjimas būtų vykdomas kuo trumpesnį laiką, paprastai budint sekmadieniais ar antrą iš eilės einančią šventinę dieną.</w:t>
      </w:r>
    </w:p>
    <w:p w14:paraId="6B6CD985" w14:textId="77777777" w:rsidR="00305149" w:rsidRPr="00960100" w:rsidRDefault="0056483F" w:rsidP="00305149">
      <w:pPr>
        <w:tabs>
          <w:tab w:val="left" w:pos="709"/>
          <w:tab w:val="left" w:pos="1134"/>
          <w:tab w:val="left" w:pos="2345"/>
        </w:tabs>
        <w:suppressAutoHyphens/>
        <w:jc w:val="both"/>
        <w:textAlignment w:val="baseline"/>
        <w:rPr>
          <w:rFonts w:ascii="Times New Roman" w:hAnsi="Times New Roman" w:cs="Times New Roman"/>
          <w:sz w:val="24"/>
          <w:szCs w:val="24"/>
        </w:rPr>
      </w:pPr>
      <w:r w:rsidRPr="00855B40">
        <w:rPr>
          <w:rFonts w:ascii="Times New Roman" w:hAnsi="Times New Roman" w:cs="Times New Roman"/>
          <w:sz w:val="24"/>
          <w:szCs w:val="24"/>
        </w:rPr>
        <w:t>3.</w:t>
      </w:r>
      <w:r w:rsidR="00305149" w:rsidRPr="00960100">
        <w:rPr>
          <w:rFonts w:ascii="Times New Roman" w:hAnsi="Times New Roman" w:cs="Times New Roman"/>
          <w:sz w:val="24"/>
          <w:szCs w:val="24"/>
        </w:rPr>
        <w:t xml:space="preserve"> Šiame Apraše vartojamos sąvokos:</w:t>
      </w:r>
    </w:p>
    <w:p w14:paraId="49E1A1BA" w14:textId="77777777" w:rsidR="00305149" w:rsidRPr="00960100" w:rsidRDefault="0056483F" w:rsidP="00305149">
      <w:pPr>
        <w:suppressAutoHyphens/>
        <w:jc w:val="both"/>
        <w:textAlignment w:val="baseline"/>
        <w:rPr>
          <w:rFonts w:ascii="Times New Roman" w:hAnsi="Times New Roman" w:cs="Times New Roman"/>
          <w:sz w:val="24"/>
          <w:szCs w:val="24"/>
        </w:rPr>
      </w:pPr>
      <w:r w:rsidRPr="005F5B69">
        <w:rPr>
          <w:rFonts w:ascii="Times New Roman" w:hAnsi="Times New Roman" w:cs="Times New Roman"/>
          <w:sz w:val="24"/>
          <w:szCs w:val="24"/>
        </w:rPr>
        <w:t>3.1.</w:t>
      </w:r>
      <w:r w:rsidR="00305149" w:rsidRPr="00960100">
        <w:rPr>
          <w:rFonts w:ascii="Times New Roman" w:hAnsi="Times New Roman" w:cs="Times New Roman"/>
          <w:sz w:val="24"/>
          <w:szCs w:val="24"/>
        </w:rPr>
        <w:t xml:space="preserve"> Budėjimas – teisėjo buvimas teisme arba namuose pagal teismo pirmininko ar jo įgalioto teisėjo patvirtintą teisėjų budėjimo grafiką poilsio ir švenčių dienomis, kad prireikus teisėjas galėtų atlikti Lietuvos Respublikos baudžiamojo proceso kodekse, Lietuvos Respublikos civilinio proceso kodekse ir kituose įstatymuose nustatytas teisėjo funkcijas, kurių iš anksto nebuvo galima suplanuoti ir numatyti ir kurių dėl teisinių ir (ar) faktinių kliūčių negalima atlikti kitu laiku ar atidėti kitai darbo dienai (toliau – neatidėliotini veiksmai).</w:t>
      </w:r>
    </w:p>
    <w:p w14:paraId="70063150" w14:textId="77777777" w:rsidR="00305149" w:rsidRDefault="0056483F" w:rsidP="00305149">
      <w:pPr>
        <w:suppressAutoHyphens/>
        <w:jc w:val="both"/>
        <w:textAlignment w:val="baseline"/>
        <w:rPr>
          <w:rFonts w:ascii="Times New Roman" w:hAnsi="Times New Roman" w:cs="Times New Roman"/>
          <w:color w:val="000000"/>
          <w:sz w:val="24"/>
          <w:szCs w:val="24"/>
        </w:rPr>
      </w:pPr>
      <w:r w:rsidRPr="005F5B69">
        <w:rPr>
          <w:rFonts w:ascii="Times New Roman" w:hAnsi="Times New Roman" w:cs="Times New Roman"/>
          <w:sz w:val="24"/>
          <w:szCs w:val="24"/>
        </w:rPr>
        <w:t>3.2.</w:t>
      </w:r>
      <w:r w:rsidR="00305149" w:rsidRPr="00960100">
        <w:rPr>
          <w:rFonts w:ascii="Times New Roman" w:hAnsi="Times New Roman" w:cs="Times New Roman"/>
          <w:sz w:val="24"/>
          <w:szCs w:val="24"/>
        </w:rPr>
        <w:t xml:space="preserve"> Darbas poilsio ir švenčių dienomis – teismo pirmininko </w:t>
      </w:r>
      <w:r w:rsidR="00305149" w:rsidRPr="00960100">
        <w:rPr>
          <w:rFonts w:ascii="Times New Roman" w:hAnsi="Times New Roman" w:cs="Times New Roman"/>
          <w:color w:val="000000"/>
          <w:sz w:val="24"/>
          <w:szCs w:val="24"/>
        </w:rPr>
        <w:t>ar jo įgalioto teisėjo</w:t>
      </w:r>
      <w:r w:rsidR="00305149" w:rsidRPr="00960100">
        <w:rPr>
          <w:rFonts w:ascii="Times New Roman" w:hAnsi="Times New Roman" w:cs="Times New Roman"/>
          <w:sz w:val="24"/>
          <w:szCs w:val="24"/>
        </w:rPr>
        <w:t xml:space="preserve"> nustatyta tvarka teisėjo dirbamas darbas poilsio ar šventės dieną ne pagal teismo pirmininko </w:t>
      </w:r>
      <w:r w:rsidR="00305149" w:rsidRPr="00960100">
        <w:rPr>
          <w:rFonts w:ascii="Times New Roman" w:hAnsi="Times New Roman" w:cs="Times New Roman"/>
          <w:color w:val="000000"/>
          <w:sz w:val="24"/>
          <w:szCs w:val="24"/>
        </w:rPr>
        <w:t>ar jo įgalioto teisėjo</w:t>
      </w:r>
      <w:r w:rsidR="00305149" w:rsidRPr="00960100">
        <w:rPr>
          <w:rFonts w:ascii="Times New Roman" w:hAnsi="Times New Roman" w:cs="Times New Roman"/>
          <w:sz w:val="24"/>
          <w:szCs w:val="24"/>
        </w:rPr>
        <w:t xml:space="preserve"> nustatytą budėjimo grafiką, kai </w:t>
      </w:r>
      <w:r w:rsidR="00305149" w:rsidRPr="00960100">
        <w:rPr>
          <w:rFonts w:ascii="Times New Roman" w:hAnsi="Times New Roman" w:cs="Times New Roman"/>
          <w:color w:val="000000"/>
          <w:sz w:val="24"/>
          <w:szCs w:val="24"/>
        </w:rPr>
        <w:t>šio darbo iš anksto nebuvo galima suplanuoti ir numatyti ir yra būtina atlikti neatidėliotinus veiksmus.</w:t>
      </w:r>
    </w:p>
    <w:p w14:paraId="389EB49C" w14:textId="77777777" w:rsidR="00305149" w:rsidRPr="00960100" w:rsidRDefault="00305149" w:rsidP="00305149">
      <w:pPr>
        <w:tabs>
          <w:tab w:val="left" w:pos="709"/>
        </w:tabs>
        <w:suppressAutoHyphens/>
        <w:ind w:firstLine="0"/>
        <w:jc w:val="center"/>
        <w:textAlignment w:val="baseline"/>
        <w:rPr>
          <w:rFonts w:ascii="Times New Roman" w:hAnsi="Times New Roman" w:cs="Times New Roman"/>
          <w:bCs/>
          <w:sz w:val="24"/>
          <w:szCs w:val="24"/>
        </w:rPr>
      </w:pPr>
    </w:p>
    <w:p w14:paraId="3B83A9E7" w14:textId="77777777" w:rsidR="00305149" w:rsidRPr="00960100" w:rsidRDefault="00305149" w:rsidP="00305149">
      <w:pPr>
        <w:tabs>
          <w:tab w:val="left" w:pos="709"/>
        </w:tabs>
        <w:suppressAutoHyphens/>
        <w:ind w:firstLine="0"/>
        <w:jc w:val="center"/>
        <w:textAlignment w:val="baseline"/>
        <w:rPr>
          <w:rFonts w:ascii="Times New Roman" w:hAnsi="Times New Roman" w:cs="Times New Roman"/>
          <w:b/>
          <w:sz w:val="24"/>
          <w:szCs w:val="24"/>
        </w:rPr>
      </w:pPr>
      <w:r w:rsidRPr="00960100">
        <w:rPr>
          <w:rFonts w:ascii="Times New Roman" w:hAnsi="Times New Roman" w:cs="Times New Roman"/>
          <w:b/>
          <w:caps/>
          <w:sz w:val="24"/>
          <w:szCs w:val="24"/>
        </w:rPr>
        <w:t xml:space="preserve">II. </w:t>
      </w:r>
      <w:r w:rsidRPr="00960100">
        <w:rPr>
          <w:rFonts w:ascii="Times New Roman" w:hAnsi="Times New Roman" w:cs="Times New Roman"/>
          <w:b/>
          <w:sz w:val="24"/>
          <w:szCs w:val="24"/>
        </w:rPr>
        <w:t>MOKĖJIMAS UŽ DARBĄ BEI BUDĖJIMĄ POILSIO IR ŠVENČIŲ DIENOMIS</w:t>
      </w:r>
    </w:p>
    <w:p w14:paraId="4519C59B" w14:textId="77777777" w:rsidR="00305149" w:rsidRPr="00960100" w:rsidRDefault="00305149" w:rsidP="00305149">
      <w:pPr>
        <w:tabs>
          <w:tab w:val="left" w:pos="0"/>
          <w:tab w:val="left" w:pos="709"/>
        </w:tabs>
        <w:suppressAutoHyphens/>
        <w:jc w:val="both"/>
        <w:textAlignment w:val="baseline"/>
        <w:rPr>
          <w:rFonts w:ascii="Times New Roman" w:hAnsi="Times New Roman" w:cs="Times New Roman"/>
          <w:bCs/>
          <w:sz w:val="24"/>
          <w:szCs w:val="24"/>
        </w:rPr>
      </w:pPr>
    </w:p>
    <w:p w14:paraId="08BE981D" w14:textId="77777777" w:rsidR="00305149" w:rsidRPr="005F5B69" w:rsidRDefault="0056483F" w:rsidP="00305149">
      <w:pPr>
        <w:jc w:val="both"/>
        <w:rPr>
          <w:rFonts w:ascii="Times New Roman" w:hAnsi="Times New Roman" w:cs="Times New Roman"/>
          <w:sz w:val="24"/>
          <w:szCs w:val="24"/>
        </w:rPr>
      </w:pPr>
      <w:r w:rsidRPr="005F5B69">
        <w:rPr>
          <w:rFonts w:ascii="Times New Roman" w:hAnsi="Times New Roman" w:cs="Times New Roman"/>
          <w:sz w:val="24"/>
          <w:szCs w:val="24"/>
        </w:rPr>
        <w:t>4.</w:t>
      </w:r>
      <w:r w:rsidR="00305149" w:rsidRPr="005F5B69">
        <w:rPr>
          <w:rFonts w:ascii="Times New Roman" w:hAnsi="Times New Roman" w:cs="Times New Roman"/>
          <w:sz w:val="24"/>
          <w:szCs w:val="24"/>
        </w:rPr>
        <w:t xml:space="preserve"> Bendrosios kompetencijos ar specializuoto teismo teisėjams už darbą ir budėjimą poilsio ir švenčių dienomis teisme, jų pasirinkimu, kompensuojama vienu iš šių būdų:</w:t>
      </w:r>
    </w:p>
    <w:p w14:paraId="12DE4AFB" w14:textId="77777777" w:rsidR="00305149" w:rsidRPr="005F5B69" w:rsidRDefault="0056483F" w:rsidP="00305149">
      <w:pPr>
        <w:jc w:val="both"/>
        <w:rPr>
          <w:rFonts w:ascii="Times New Roman" w:hAnsi="Times New Roman" w:cs="Times New Roman"/>
          <w:color w:val="000000"/>
          <w:sz w:val="24"/>
          <w:szCs w:val="24"/>
        </w:rPr>
      </w:pPr>
      <w:r w:rsidRPr="005F5B69">
        <w:rPr>
          <w:rFonts w:ascii="Times New Roman" w:hAnsi="Times New Roman" w:cs="Times New Roman"/>
          <w:sz w:val="24"/>
          <w:szCs w:val="24"/>
        </w:rPr>
        <w:t>4.</w:t>
      </w:r>
      <w:r w:rsidR="00305149" w:rsidRPr="005F5B69">
        <w:rPr>
          <w:rFonts w:ascii="Times New Roman" w:hAnsi="Times New Roman" w:cs="Times New Roman"/>
          <w:sz w:val="24"/>
          <w:szCs w:val="24"/>
        </w:rPr>
        <w:t>1</w:t>
      </w:r>
      <w:r w:rsidR="005F5B69" w:rsidRPr="005F5B69">
        <w:rPr>
          <w:rFonts w:ascii="Times New Roman" w:hAnsi="Times New Roman" w:cs="Times New Roman"/>
          <w:sz w:val="24"/>
          <w:szCs w:val="24"/>
        </w:rPr>
        <w:t>.</w:t>
      </w:r>
      <w:r w:rsidR="00305149" w:rsidRPr="005F5B69">
        <w:rPr>
          <w:rFonts w:ascii="Times New Roman" w:hAnsi="Times New Roman" w:cs="Times New Roman"/>
          <w:sz w:val="24"/>
          <w:szCs w:val="24"/>
        </w:rPr>
        <w:t xml:space="preserve"> </w:t>
      </w:r>
      <w:r w:rsidR="00305149" w:rsidRPr="005F5B69">
        <w:rPr>
          <w:rFonts w:ascii="Times New Roman" w:hAnsi="Times New Roman" w:cs="Times New Roman"/>
          <w:color w:val="000000"/>
          <w:sz w:val="24"/>
          <w:szCs w:val="24"/>
        </w:rPr>
        <w:t>mokamas dvigubo b</w:t>
      </w:r>
      <w:r w:rsidR="00305149" w:rsidRPr="005F5B69">
        <w:rPr>
          <w:rFonts w:ascii="Times New Roman" w:hAnsi="Times New Roman" w:cs="Times New Roman"/>
          <w:sz w:val="24"/>
          <w:szCs w:val="24"/>
        </w:rPr>
        <w:t xml:space="preserve">endrosios kompetencijos ar specializuoto teismo </w:t>
      </w:r>
      <w:r w:rsidR="00305149" w:rsidRPr="005F5B69">
        <w:rPr>
          <w:rFonts w:ascii="Times New Roman" w:hAnsi="Times New Roman" w:cs="Times New Roman"/>
          <w:color w:val="000000"/>
          <w:sz w:val="24"/>
          <w:szCs w:val="24"/>
        </w:rPr>
        <w:t>teisėjo pareiginės algos dydžio atlygis;</w:t>
      </w:r>
    </w:p>
    <w:p w14:paraId="74EF4CBB" w14:textId="77777777" w:rsidR="00305149" w:rsidRPr="005F5B69" w:rsidRDefault="0056483F" w:rsidP="00305149">
      <w:pPr>
        <w:jc w:val="both"/>
        <w:rPr>
          <w:rFonts w:ascii="Times New Roman" w:hAnsi="Times New Roman" w:cs="Times New Roman"/>
          <w:color w:val="000000"/>
          <w:sz w:val="24"/>
          <w:szCs w:val="24"/>
        </w:rPr>
      </w:pPr>
      <w:r w:rsidRPr="005F5B69">
        <w:rPr>
          <w:rFonts w:ascii="Times New Roman" w:hAnsi="Times New Roman" w:cs="Times New Roman"/>
          <w:color w:val="000000"/>
          <w:sz w:val="24"/>
          <w:szCs w:val="24"/>
        </w:rPr>
        <w:t>4.</w:t>
      </w:r>
      <w:r w:rsidR="00305149" w:rsidRPr="005F5B69">
        <w:rPr>
          <w:rFonts w:ascii="Times New Roman" w:hAnsi="Times New Roman" w:cs="Times New Roman"/>
          <w:color w:val="000000"/>
          <w:sz w:val="24"/>
          <w:szCs w:val="24"/>
        </w:rPr>
        <w:t xml:space="preserve">2. artimiausią mėnesį suteikiamas dvigubos trukmės poilsio laikas arba šis poilsio laikas pridedamas prie kasmetinių atostogų, už suteiktą poilsio laiką mokant teisėjo </w:t>
      </w:r>
      <w:r w:rsidR="00305149" w:rsidRPr="005F5B69">
        <w:rPr>
          <w:rFonts w:ascii="Times New Roman" w:hAnsi="Times New Roman" w:cs="Times New Roman"/>
          <w:sz w:val="24"/>
          <w:szCs w:val="24"/>
        </w:rPr>
        <w:t>pareiginės algos dydžio atlygį</w:t>
      </w:r>
      <w:r w:rsidR="00305149" w:rsidRPr="005F5B69">
        <w:rPr>
          <w:rFonts w:ascii="Times New Roman" w:hAnsi="Times New Roman" w:cs="Times New Roman"/>
          <w:color w:val="000000"/>
          <w:sz w:val="24"/>
          <w:szCs w:val="24"/>
        </w:rPr>
        <w:t>.</w:t>
      </w:r>
    </w:p>
    <w:p w14:paraId="1B5FA210" w14:textId="77777777" w:rsidR="00305149" w:rsidRPr="005F5B69" w:rsidRDefault="0056483F" w:rsidP="00305149">
      <w:pPr>
        <w:jc w:val="both"/>
        <w:rPr>
          <w:rFonts w:ascii="Times New Roman" w:hAnsi="Times New Roman" w:cs="Times New Roman"/>
          <w:sz w:val="24"/>
          <w:szCs w:val="24"/>
        </w:rPr>
      </w:pPr>
      <w:r w:rsidRPr="005F5B69">
        <w:rPr>
          <w:rFonts w:ascii="Times New Roman" w:hAnsi="Times New Roman" w:cs="Times New Roman"/>
          <w:color w:val="000000"/>
          <w:sz w:val="24"/>
          <w:szCs w:val="24"/>
        </w:rPr>
        <w:t>5.</w:t>
      </w:r>
      <w:r w:rsidR="00305149" w:rsidRPr="005F5B69">
        <w:rPr>
          <w:rFonts w:ascii="Times New Roman" w:hAnsi="Times New Roman" w:cs="Times New Roman"/>
          <w:color w:val="000000"/>
          <w:sz w:val="24"/>
          <w:szCs w:val="24"/>
        </w:rPr>
        <w:t xml:space="preserve"> </w:t>
      </w:r>
      <w:r w:rsidR="00305149" w:rsidRPr="005F5B69">
        <w:rPr>
          <w:rFonts w:ascii="Times New Roman" w:hAnsi="Times New Roman" w:cs="Times New Roman"/>
          <w:sz w:val="24"/>
          <w:szCs w:val="24"/>
        </w:rPr>
        <w:t xml:space="preserve">Bendrosios kompetencijos ar specializuoto teismo teisėjams už budėjimą poilsio ir švenčių dienomis namuose mokama 50 procentų teisėjo pareiginės algos </w:t>
      </w:r>
      <w:r w:rsidR="00305149" w:rsidRPr="005F5B69">
        <w:rPr>
          <w:rFonts w:ascii="Times New Roman" w:hAnsi="Times New Roman" w:cs="Times New Roman"/>
          <w:color w:val="000000"/>
          <w:sz w:val="24"/>
          <w:szCs w:val="24"/>
        </w:rPr>
        <w:t xml:space="preserve">dydžio atlygis </w:t>
      </w:r>
      <w:r w:rsidR="00305149" w:rsidRPr="005F5B69">
        <w:rPr>
          <w:rFonts w:ascii="Times New Roman" w:hAnsi="Times New Roman" w:cs="Times New Roman"/>
          <w:sz w:val="24"/>
          <w:szCs w:val="24"/>
        </w:rPr>
        <w:t xml:space="preserve">proporcingai budėtam laikui. Už darbą atvykus į </w:t>
      </w:r>
      <w:r w:rsidR="00305149" w:rsidRPr="005F5B69">
        <w:rPr>
          <w:rFonts w:ascii="Times New Roman" w:hAnsi="Times New Roman" w:cs="Times New Roman"/>
          <w:color w:val="000000"/>
          <w:sz w:val="24"/>
          <w:szCs w:val="24"/>
        </w:rPr>
        <w:t>b</w:t>
      </w:r>
      <w:r w:rsidR="00305149" w:rsidRPr="005F5B69">
        <w:rPr>
          <w:rFonts w:ascii="Times New Roman" w:hAnsi="Times New Roman" w:cs="Times New Roman"/>
          <w:sz w:val="24"/>
          <w:szCs w:val="24"/>
        </w:rPr>
        <w:t xml:space="preserve">endrosios kompetencijos ar specializuotą teismą atlikti neatidėliotinų veiksmų poilsio ir švenčių dienomis kompensuojama šio Aprašo </w:t>
      </w:r>
      <w:r w:rsidRPr="005F5B69">
        <w:rPr>
          <w:rFonts w:ascii="Times New Roman" w:hAnsi="Times New Roman" w:cs="Times New Roman"/>
          <w:sz w:val="24"/>
          <w:szCs w:val="24"/>
        </w:rPr>
        <w:t>4</w:t>
      </w:r>
      <w:r w:rsidR="00305149" w:rsidRPr="005F5B69">
        <w:rPr>
          <w:rFonts w:ascii="Times New Roman" w:hAnsi="Times New Roman" w:cs="Times New Roman"/>
          <w:sz w:val="24"/>
          <w:szCs w:val="24"/>
        </w:rPr>
        <w:t xml:space="preserve"> punkte nustatyta tvarka. </w:t>
      </w:r>
    </w:p>
    <w:p w14:paraId="3ED90AAB" w14:textId="77777777" w:rsidR="00305149" w:rsidRPr="005F5B69" w:rsidRDefault="0056483F" w:rsidP="00305149">
      <w:pPr>
        <w:jc w:val="both"/>
        <w:rPr>
          <w:rFonts w:ascii="Times New Roman" w:hAnsi="Times New Roman" w:cs="Times New Roman"/>
          <w:sz w:val="24"/>
          <w:szCs w:val="24"/>
        </w:rPr>
      </w:pPr>
      <w:r w:rsidRPr="005F5B69">
        <w:rPr>
          <w:rFonts w:ascii="Times New Roman" w:hAnsi="Times New Roman" w:cs="Times New Roman"/>
          <w:sz w:val="24"/>
          <w:szCs w:val="24"/>
        </w:rPr>
        <w:t>6.</w:t>
      </w:r>
      <w:r w:rsidR="00305149" w:rsidRPr="005F5B69">
        <w:rPr>
          <w:rFonts w:ascii="Times New Roman" w:hAnsi="Times New Roman" w:cs="Times New Roman"/>
          <w:sz w:val="24"/>
          <w:szCs w:val="24"/>
        </w:rPr>
        <w:t xml:space="preserve"> Budėjimo namuose laikas į darbo laiką neįskaičiuojamas, išskyrus laiką, per kurį, atvykus į </w:t>
      </w:r>
      <w:r w:rsidR="00305149" w:rsidRPr="005F5B69">
        <w:rPr>
          <w:rFonts w:ascii="Times New Roman" w:hAnsi="Times New Roman" w:cs="Times New Roman"/>
          <w:color w:val="000000"/>
          <w:sz w:val="24"/>
          <w:szCs w:val="24"/>
        </w:rPr>
        <w:t>b</w:t>
      </w:r>
      <w:r w:rsidR="00305149" w:rsidRPr="005F5B69">
        <w:rPr>
          <w:rFonts w:ascii="Times New Roman" w:hAnsi="Times New Roman" w:cs="Times New Roman"/>
          <w:sz w:val="24"/>
          <w:szCs w:val="24"/>
        </w:rPr>
        <w:t>endrosios kompetencijos ar specializuotą teismą, faktiškai atlikti neatidėliotini veiksmai.</w:t>
      </w:r>
    </w:p>
    <w:p w14:paraId="277B0735" w14:textId="77777777" w:rsidR="00305149" w:rsidRDefault="00305149" w:rsidP="00305149">
      <w:pPr>
        <w:tabs>
          <w:tab w:val="left" w:pos="0"/>
          <w:tab w:val="left" w:pos="709"/>
        </w:tabs>
        <w:suppressAutoHyphens/>
        <w:jc w:val="both"/>
        <w:textAlignment w:val="baseline"/>
        <w:rPr>
          <w:rFonts w:ascii="Times New Roman" w:hAnsi="Times New Roman" w:cs="Times New Roman"/>
          <w:bCs/>
          <w:sz w:val="24"/>
          <w:szCs w:val="24"/>
        </w:rPr>
      </w:pPr>
    </w:p>
    <w:p w14:paraId="4E3B5AB5" w14:textId="77777777" w:rsidR="00FE4C13" w:rsidRDefault="00FE4C13" w:rsidP="00305149">
      <w:pPr>
        <w:tabs>
          <w:tab w:val="left" w:pos="0"/>
          <w:tab w:val="left" w:pos="709"/>
        </w:tabs>
        <w:suppressAutoHyphens/>
        <w:jc w:val="both"/>
        <w:textAlignment w:val="baseline"/>
        <w:rPr>
          <w:rFonts w:ascii="Times New Roman" w:hAnsi="Times New Roman" w:cs="Times New Roman"/>
          <w:bCs/>
          <w:sz w:val="24"/>
          <w:szCs w:val="24"/>
        </w:rPr>
      </w:pPr>
    </w:p>
    <w:p w14:paraId="4A910490" w14:textId="77777777" w:rsidR="00FE4C13" w:rsidRDefault="00FE4C13" w:rsidP="00305149">
      <w:pPr>
        <w:tabs>
          <w:tab w:val="left" w:pos="0"/>
          <w:tab w:val="left" w:pos="709"/>
        </w:tabs>
        <w:suppressAutoHyphens/>
        <w:jc w:val="both"/>
        <w:textAlignment w:val="baseline"/>
        <w:rPr>
          <w:rFonts w:ascii="Times New Roman" w:hAnsi="Times New Roman" w:cs="Times New Roman"/>
          <w:bCs/>
          <w:sz w:val="24"/>
          <w:szCs w:val="24"/>
        </w:rPr>
      </w:pPr>
    </w:p>
    <w:p w14:paraId="35D041DD" w14:textId="77777777" w:rsidR="00305149" w:rsidRPr="00960100" w:rsidRDefault="00305149" w:rsidP="00305149">
      <w:pPr>
        <w:tabs>
          <w:tab w:val="left" w:pos="709"/>
        </w:tabs>
        <w:ind w:firstLine="0"/>
        <w:jc w:val="center"/>
        <w:rPr>
          <w:rFonts w:ascii="Times New Roman" w:hAnsi="Times New Roman" w:cs="Times New Roman"/>
          <w:b/>
          <w:sz w:val="24"/>
          <w:szCs w:val="24"/>
        </w:rPr>
      </w:pPr>
      <w:r w:rsidRPr="00960100">
        <w:rPr>
          <w:rFonts w:ascii="Times New Roman" w:hAnsi="Times New Roman" w:cs="Times New Roman"/>
          <w:b/>
          <w:sz w:val="24"/>
          <w:szCs w:val="24"/>
        </w:rPr>
        <w:lastRenderedPageBreak/>
        <w:t>III. DARBO BEI BUDĖJIMO POILSIO IR ŠVENČIŲ DIENOMIS APSKAITA</w:t>
      </w:r>
    </w:p>
    <w:p w14:paraId="117B8B50" w14:textId="77777777" w:rsidR="00305149" w:rsidRPr="00960100" w:rsidRDefault="00305149" w:rsidP="00305149">
      <w:pPr>
        <w:tabs>
          <w:tab w:val="left" w:pos="709"/>
          <w:tab w:val="left" w:pos="1134"/>
        </w:tabs>
        <w:jc w:val="both"/>
        <w:rPr>
          <w:rFonts w:ascii="Times New Roman" w:hAnsi="Times New Roman" w:cs="Times New Roman"/>
          <w:sz w:val="24"/>
          <w:szCs w:val="24"/>
        </w:rPr>
      </w:pPr>
    </w:p>
    <w:p w14:paraId="4B9C2F3D" w14:textId="77777777" w:rsidR="00305149" w:rsidRPr="005F5B69" w:rsidRDefault="00011179" w:rsidP="00305149">
      <w:pPr>
        <w:tabs>
          <w:tab w:val="left" w:pos="709"/>
          <w:tab w:val="left" w:pos="1134"/>
        </w:tabs>
        <w:jc w:val="both"/>
        <w:rPr>
          <w:rFonts w:ascii="Times New Roman" w:hAnsi="Times New Roman" w:cs="Times New Roman"/>
          <w:sz w:val="24"/>
          <w:szCs w:val="24"/>
        </w:rPr>
      </w:pPr>
      <w:r w:rsidRPr="005F5B69">
        <w:rPr>
          <w:rFonts w:ascii="Times New Roman" w:hAnsi="Times New Roman" w:cs="Times New Roman"/>
          <w:sz w:val="24"/>
          <w:szCs w:val="24"/>
        </w:rPr>
        <w:t>7.</w:t>
      </w:r>
      <w:r w:rsidR="00305149" w:rsidRPr="005F5B69">
        <w:rPr>
          <w:rFonts w:ascii="Times New Roman" w:hAnsi="Times New Roman" w:cs="Times New Roman"/>
          <w:sz w:val="24"/>
          <w:szCs w:val="24"/>
        </w:rPr>
        <w:t xml:space="preserve"> Tikslus teisėjo pagal nustatytą tvarką dirbto darbo bei budėjimo poilsio ir švenčių dienomis laikas žymimas šio Aprašo priede nurodytos formos Teisėjų darbo bei budėjimo poilsio ir švenčių dienomis apskaitos žurnale (toliau – Žurnalas).</w:t>
      </w:r>
    </w:p>
    <w:p w14:paraId="41CD1352" w14:textId="77777777" w:rsidR="00305149" w:rsidRPr="005F5B69" w:rsidRDefault="00011179" w:rsidP="00305149">
      <w:pPr>
        <w:tabs>
          <w:tab w:val="left" w:pos="709"/>
          <w:tab w:val="left" w:pos="1134"/>
        </w:tabs>
        <w:jc w:val="both"/>
        <w:rPr>
          <w:rFonts w:ascii="Times New Roman" w:hAnsi="Times New Roman" w:cs="Times New Roman"/>
          <w:color w:val="000000"/>
          <w:sz w:val="24"/>
          <w:szCs w:val="24"/>
        </w:rPr>
      </w:pPr>
      <w:r w:rsidRPr="005F5B69">
        <w:rPr>
          <w:rFonts w:ascii="Times New Roman" w:hAnsi="Times New Roman" w:cs="Times New Roman"/>
          <w:sz w:val="24"/>
          <w:szCs w:val="24"/>
        </w:rPr>
        <w:t>8.</w:t>
      </w:r>
      <w:r w:rsidR="00305149" w:rsidRPr="005F5B69">
        <w:rPr>
          <w:rFonts w:ascii="Times New Roman" w:hAnsi="Times New Roman" w:cs="Times New Roman"/>
          <w:sz w:val="24"/>
          <w:szCs w:val="24"/>
        </w:rPr>
        <w:t xml:space="preserve"> Informaciją apie darbą bei budėjimus poilsio ir švenčių dienomis Žurnale įrašo pats teisėjas. Teisėjo Žurnalo įrašuose nurodytą darbo laiką patvirtina teismo pirmininkas arba jo įgaliotas skyriaus pirmininkas ar pirmininko pavaduotojas rezoliucija, pripažindamas, kad už įraše nurodytą darbą kompensuotina šio Aprašo nustatyta tvarka. </w:t>
      </w:r>
      <w:r w:rsidR="00305149" w:rsidRPr="005F5B69">
        <w:rPr>
          <w:rFonts w:ascii="Times New Roman" w:hAnsi="Times New Roman" w:cs="Times New Roman"/>
          <w:color w:val="000000"/>
          <w:sz w:val="24"/>
          <w:szCs w:val="24"/>
        </w:rPr>
        <w:t>Teismo pirmininkas arba jo įgaliotas skyriaus pirmininkas ar pirmininko pavaduotojas gali pareikalauti iš teisėjo pateikti papildomos informacijos apie Žurnale nurodytų neatidėliotinų veiksmų atlikimą.</w:t>
      </w:r>
    </w:p>
    <w:p w14:paraId="736B1AA9" w14:textId="77777777" w:rsidR="00305149" w:rsidRPr="005F5B69" w:rsidRDefault="00011179" w:rsidP="00305149">
      <w:pPr>
        <w:tabs>
          <w:tab w:val="left" w:pos="709"/>
          <w:tab w:val="left" w:pos="1134"/>
        </w:tabs>
        <w:jc w:val="both"/>
        <w:rPr>
          <w:rFonts w:ascii="Times New Roman" w:hAnsi="Times New Roman" w:cs="Times New Roman"/>
          <w:sz w:val="24"/>
          <w:szCs w:val="24"/>
        </w:rPr>
      </w:pPr>
      <w:r w:rsidRPr="005F5B69">
        <w:rPr>
          <w:rFonts w:ascii="Times New Roman" w:hAnsi="Times New Roman" w:cs="Times New Roman"/>
          <w:color w:val="000000"/>
          <w:sz w:val="24"/>
          <w:szCs w:val="24"/>
        </w:rPr>
        <w:t>9.</w:t>
      </w:r>
      <w:r w:rsidR="00305149" w:rsidRPr="005F5B69">
        <w:rPr>
          <w:rFonts w:ascii="Times New Roman" w:hAnsi="Times New Roman" w:cs="Times New Roman"/>
          <w:sz w:val="24"/>
          <w:szCs w:val="24"/>
        </w:rPr>
        <w:t xml:space="preserve"> Teisėjo darbo bei budėjimo poilsio ir švenčių dienomis apskaita Žurnale esančių duomenų pagrindu vykdoma bei teisėjui šio Aprašo </w:t>
      </w:r>
      <w:r w:rsidRPr="005F5B69">
        <w:rPr>
          <w:rFonts w:ascii="Times New Roman" w:hAnsi="Times New Roman" w:cs="Times New Roman"/>
          <w:sz w:val="24"/>
          <w:szCs w:val="24"/>
        </w:rPr>
        <w:t>4</w:t>
      </w:r>
      <w:r w:rsidR="00305149" w:rsidRPr="005F5B69">
        <w:rPr>
          <w:rFonts w:ascii="Times New Roman" w:hAnsi="Times New Roman" w:cs="Times New Roman"/>
          <w:sz w:val="24"/>
          <w:szCs w:val="24"/>
        </w:rPr>
        <w:t>.2 papunktyje nustatyta tvarka suteiktas papildomas poilsio laikas žymimas teismo pirmininko nustatyta tvarka. Už teisingą duomenų apie darbo bei budėjimo poilsio ir švenčių dienomis tikslaus laiko pateikimą atsako teisėjai, o teisingą jų apskaitą – teismo pirmininkas.</w:t>
      </w:r>
    </w:p>
    <w:p w14:paraId="6EEAB87B" w14:textId="77777777" w:rsidR="00305149" w:rsidRPr="005F5B69" w:rsidRDefault="00011179" w:rsidP="00305149">
      <w:pPr>
        <w:jc w:val="both"/>
        <w:rPr>
          <w:rFonts w:ascii="Times New Roman" w:hAnsi="Times New Roman" w:cs="Times New Roman"/>
          <w:sz w:val="24"/>
          <w:szCs w:val="24"/>
        </w:rPr>
      </w:pPr>
      <w:r w:rsidRPr="005F5B69">
        <w:rPr>
          <w:rFonts w:ascii="Times New Roman" w:hAnsi="Times New Roman" w:cs="Times New Roman"/>
          <w:sz w:val="24"/>
          <w:szCs w:val="24"/>
        </w:rPr>
        <w:t>10.</w:t>
      </w:r>
      <w:r w:rsidR="00305149" w:rsidRPr="005F5B69">
        <w:rPr>
          <w:rFonts w:ascii="Times New Roman" w:hAnsi="Times New Roman" w:cs="Times New Roman"/>
          <w:sz w:val="24"/>
          <w:szCs w:val="24"/>
        </w:rPr>
        <w:t xml:space="preserve"> Per kalendorinius metus nepanaudotas </w:t>
      </w:r>
      <w:r w:rsidR="00305149" w:rsidRPr="005F5B69">
        <w:rPr>
          <w:rFonts w:ascii="Times New Roman" w:hAnsi="Times New Roman" w:cs="Times New Roman"/>
          <w:color w:val="000000"/>
          <w:sz w:val="24"/>
          <w:szCs w:val="24"/>
        </w:rPr>
        <w:t xml:space="preserve">prie kasmetinių atostogų pridedamas poilsio laikas </w:t>
      </w:r>
      <w:r w:rsidR="00305149" w:rsidRPr="005F5B69">
        <w:rPr>
          <w:rFonts w:ascii="Times New Roman" w:hAnsi="Times New Roman" w:cs="Times New Roman"/>
          <w:sz w:val="24"/>
          <w:szCs w:val="24"/>
        </w:rPr>
        <w:t xml:space="preserve">už tais metais dirbtą darbą bei budėjimą poilsio ir švenčių dienomis yra perkeliamas į kitus kalendorinius metus. </w:t>
      </w:r>
    </w:p>
    <w:p w14:paraId="3DB446E3" w14:textId="77777777" w:rsidR="00305149" w:rsidRPr="005F5B69" w:rsidRDefault="00011179" w:rsidP="00305149">
      <w:pPr>
        <w:jc w:val="both"/>
        <w:rPr>
          <w:rFonts w:ascii="Times New Roman" w:hAnsi="Times New Roman" w:cs="Times New Roman"/>
          <w:sz w:val="24"/>
          <w:szCs w:val="24"/>
        </w:rPr>
      </w:pPr>
      <w:r w:rsidRPr="005F5B69">
        <w:rPr>
          <w:rFonts w:ascii="Times New Roman" w:hAnsi="Times New Roman" w:cs="Times New Roman"/>
          <w:sz w:val="24"/>
          <w:szCs w:val="24"/>
        </w:rPr>
        <w:t>11.</w:t>
      </w:r>
      <w:r w:rsidR="00305149" w:rsidRPr="005F5B69">
        <w:rPr>
          <w:rFonts w:ascii="Times New Roman" w:hAnsi="Times New Roman" w:cs="Times New Roman"/>
          <w:sz w:val="24"/>
          <w:szCs w:val="24"/>
        </w:rPr>
        <w:t xml:space="preserve"> Atleidžiant teisėją iš pareigų už nepanaudotą papildomą poilsio laiką išmokama</w:t>
      </w:r>
      <w:r w:rsidR="00305149" w:rsidRPr="005F5B69">
        <w:rPr>
          <w:rFonts w:ascii="Times New Roman" w:hAnsi="Times New Roman" w:cs="Times New Roman"/>
          <w:color w:val="000000"/>
          <w:sz w:val="24"/>
          <w:szCs w:val="24"/>
        </w:rPr>
        <w:t xml:space="preserve"> teisėjo </w:t>
      </w:r>
      <w:r w:rsidR="00305149" w:rsidRPr="005F5B69">
        <w:rPr>
          <w:rFonts w:ascii="Times New Roman" w:hAnsi="Times New Roman" w:cs="Times New Roman"/>
          <w:sz w:val="24"/>
          <w:szCs w:val="24"/>
        </w:rPr>
        <w:t xml:space="preserve">pareiginės algos dydžio piniginė kompensacija proporcingai sukauptam nepanaudotam papildomam poilsio laikui. Jeigu teisėjui papildomas poilsio laikas nebuvo suteiktas daugiau kaip už vienus kalendorinius metus, kompensacija išmokama už visą nepanaudotą papildomą poilsio laiką. </w:t>
      </w:r>
    </w:p>
    <w:p w14:paraId="48104436" w14:textId="77777777" w:rsidR="00305149" w:rsidRPr="00960100" w:rsidRDefault="00305149" w:rsidP="00305149">
      <w:pPr>
        <w:tabs>
          <w:tab w:val="left" w:pos="0"/>
          <w:tab w:val="left" w:pos="1080"/>
        </w:tabs>
        <w:suppressAutoHyphens/>
        <w:ind w:firstLine="0"/>
        <w:jc w:val="center"/>
        <w:textAlignment w:val="baseline"/>
        <w:rPr>
          <w:rFonts w:ascii="Times New Roman" w:hAnsi="Times New Roman" w:cs="Times New Roman"/>
          <w:b/>
          <w:sz w:val="24"/>
          <w:szCs w:val="24"/>
        </w:rPr>
      </w:pPr>
    </w:p>
    <w:p w14:paraId="3315ABFA" w14:textId="77777777" w:rsidR="00305149" w:rsidRPr="00960100" w:rsidRDefault="00305149" w:rsidP="00305149">
      <w:pPr>
        <w:tabs>
          <w:tab w:val="left" w:pos="0"/>
          <w:tab w:val="left" w:pos="1080"/>
        </w:tabs>
        <w:suppressAutoHyphens/>
        <w:ind w:firstLine="0"/>
        <w:jc w:val="center"/>
        <w:textAlignment w:val="baseline"/>
        <w:rPr>
          <w:rFonts w:ascii="Times New Roman" w:hAnsi="Times New Roman" w:cs="Times New Roman"/>
          <w:b/>
          <w:sz w:val="24"/>
          <w:szCs w:val="24"/>
        </w:rPr>
      </w:pPr>
      <w:r w:rsidRPr="00960100">
        <w:rPr>
          <w:rFonts w:ascii="Times New Roman" w:hAnsi="Times New Roman" w:cs="Times New Roman"/>
          <w:b/>
          <w:sz w:val="24"/>
          <w:szCs w:val="24"/>
        </w:rPr>
        <w:t>IV. MOKĖJIMAS UŽ PAVADAVIMĄ</w:t>
      </w:r>
    </w:p>
    <w:p w14:paraId="61735FEC" w14:textId="77777777" w:rsidR="00305149" w:rsidRPr="00960100" w:rsidRDefault="00305149" w:rsidP="00305149">
      <w:pPr>
        <w:jc w:val="both"/>
        <w:rPr>
          <w:rFonts w:ascii="Times New Roman" w:hAnsi="Times New Roman" w:cs="Times New Roman"/>
          <w:b/>
          <w:sz w:val="24"/>
          <w:szCs w:val="24"/>
        </w:rPr>
      </w:pPr>
    </w:p>
    <w:p w14:paraId="2233D33A" w14:textId="77777777" w:rsidR="00305149" w:rsidRPr="00960100" w:rsidRDefault="00011179" w:rsidP="00305149">
      <w:pPr>
        <w:jc w:val="both"/>
        <w:rPr>
          <w:rFonts w:ascii="Times New Roman" w:hAnsi="Times New Roman" w:cs="Times New Roman"/>
          <w:sz w:val="24"/>
          <w:szCs w:val="24"/>
          <w:shd w:val="clear" w:color="auto" w:fill="FFFFFF"/>
        </w:rPr>
      </w:pPr>
      <w:r w:rsidRPr="005F5B69">
        <w:rPr>
          <w:rFonts w:ascii="Times New Roman" w:hAnsi="Times New Roman" w:cs="Times New Roman"/>
          <w:bCs/>
          <w:sz w:val="24"/>
          <w:szCs w:val="24"/>
        </w:rPr>
        <w:t>12.</w:t>
      </w:r>
      <w:r w:rsidR="00305149" w:rsidRPr="00960100">
        <w:rPr>
          <w:rFonts w:ascii="Times New Roman" w:hAnsi="Times New Roman" w:cs="Times New Roman"/>
          <w:bCs/>
          <w:sz w:val="24"/>
          <w:szCs w:val="24"/>
        </w:rPr>
        <w:t xml:space="preserve"> </w:t>
      </w:r>
      <w:r w:rsidR="006641C2" w:rsidRPr="00960100">
        <w:rPr>
          <w:rFonts w:ascii="Times New Roman" w:hAnsi="Times New Roman" w:cs="Times New Roman"/>
          <w:bCs/>
          <w:sz w:val="24"/>
          <w:szCs w:val="24"/>
        </w:rPr>
        <w:t>Tais atvejais, k</w:t>
      </w:r>
      <w:r w:rsidR="006641C2" w:rsidRPr="00960100">
        <w:rPr>
          <w:rFonts w:ascii="Times New Roman" w:hAnsi="Times New Roman" w:cs="Times New Roman"/>
          <w:bCs/>
          <w:sz w:val="24"/>
          <w:szCs w:val="24"/>
          <w:shd w:val="clear" w:color="auto" w:fill="FFFFFF"/>
        </w:rPr>
        <w:t>ai</w:t>
      </w:r>
      <w:r w:rsidR="006641C2" w:rsidRPr="00960100">
        <w:rPr>
          <w:rFonts w:ascii="Times New Roman" w:hAnsi="Times New Roman" w:cs="Times New Roman"/>
          <w:color w:val="000000"/>
          <w:sz w:val="24"/>
          <w:szCs w:val="24"/>
        </w:rPr>
        <w:t xml:space="preserve"> </w:t>
      </w:r>
      <w:r w:rsidR="006641C2" w:rsidRPr="00960100">
        <w:rPr>
          <w:rFonts w:ascii="Times New Roman" w:hAnsi="Times New Roman" w:cs="Times New Roman"/>
          <w:color w:val="000000"/>
          <w:sz w:val="24"/>
          <w:szCs w:val="24"/>
          <w:shd w:val="clear" w:color="auto" w:fill="FFFFFF"/>
        </w:rPr>
        <w:t>b</w:t>
      </w:r>
      <w:r w:rsidR="006641C2" w:rsidRPr="00960100">
        <w:rPr>
          <w:rFonts w:ascii="Times New Roman" w:hAnsi="Times New Roman" w:cs="Times New Roman"/>
          <w:color w:val="000000"/>
          <w:sz w:val="24"/>
          <w:szCs w:val="24"/>
        </w:rPr>
        <w:t xml:space="preserve">endrosios kompetencijos ar specializuoto </w:t>
      </w:r>
      <w:r w:rsidR="006641C2" w:rsidRPr="00960100">
        <w:rPr>
          <w:rFonts w:ascii="Times New Roman" w:hAnsi="Times New Roman" w:cs="Times New Roman"/>
          <w:color w:val="000000"/>
          <w:sz w:val="24"/>
          <w:szCs w:val="24"/>
          <w:shd w:val="clear" w:color="auto" w:fill="FFFFFF"/>
        </w:rPr>
        <w:t xml:space="preserve">teismo pirmininką, pirmininko pavaduotoją ar skyriaus pirmininką </w:t>
      </w:r>
      <w:r w:rsidR="00767C7A">
        <w:rPr>
          <w:rFonts w:ascii="Times New Roman" w:hAnsi="Times New Roman" w:cs="Times New Roman"/>
          <w:color w:val="000000"/>
          <w:sz w:val="24"/>
          <w:szCs w:val="24"/>
          <w:shd w:val="clear" w:color="auto" w:fill="FFFFFF"/>
        </w:rPr>
        <w:t>Lietuvos Respublikos t</w:t>
      </w:r>
      <w:r w:rsidR="006641C2" w:rsidRPr="00960100">
        <w:rPr>
          <w:rFonts w:ascii="Times New Roman" w:hAnsi="Times New Roman" w:cs="Times New Roman"/>
          <w:color w:val="000000"/>
          <w:sz w:val="24"/>
          <w:szCs w:val="24"/>
          <w:shd w:val="clear" w:color="auto" w:fill="FFFFFF"/>
        </w:rPr>
        <w:t>eismų įstatymo 105 straipsnyje nustatyta tvarka pavaduoja</w:t>
      </w:r>
      <w:r w:rsidR="006641C2" w:rsidRPr="00960100">
        <w:rPr>
          <w:rFonts w:ascii="Times New Roman" w:hAnsi="Times New Roman" w:cs="Times New Roman"/>
          <w:color w:val="000000"/>
          <w:sz w:val="24"/>
          <w:szCs w:val="24"/>
        </w:rPr>
        <w:t xml:space="preserve"> atitinkamai skyriaus pirmininkas</w:t>
      </w:r>
      <w:r w:rsidR="006641C2" w:rsidRPr="00960100">
        <w:rPr>
          <w:rFonts w:ascii="Times New Roman" w:hAnsi="Times New Roman" w:cs="Times New Roman"/>
          <w:color w:val="000000"/>
          <w:sz w:val="24"/>
          <w:szCs w:val="24"/>
          <w:shd w:val="clear" w:color="auto" w:fill="FFFFFF"/>
        </w:rPr>
        <w:t xml:space="preserve"> ar</w:t>
      </w:r>
      <w:r w:rsidR="006641C2" w:rsidRPr="00960100">
        <w:rPr>
          <w:rFonts w:ascii="Times New Roman" w:hAnsi="Times New Roman" w:cs="Times New Roman"/>
          <w:sz w:val="24"/>
          <w:szCs w:val="24"/>
        </w:rPr>
        <w:t xml:space="preserve"> teisėjas,</w:t>
      </w:r>
      <w:r w:rsidR="006641C2" w:rsidRPr="00960100">
        <w:rPr>
          <w:rFonts w:ascii="Times New Roman" w:hAnsi="Times New Roman" w:cs="Times New Roman"/>
          <w:sz w:val="24"/>
          <w:szCs w:val="24"/>
          <w:shd w:val="clear" w:color="auto" w:fill="FFFFFF"/>
        </w:rPr>
        <w:t xml:space="preserve"> apskaičiuojant jo atlyginimą taikomas atitinkamo pavaduojamo teismo pareigūno pareiginės algos koeficientas, nustatytas Lietuvos Respublikos teisėjų </w:t>
      </w:r>
      <w:r w:rsidRPr="005F5B69">
        <w:rPr>
          <w:rFonts w:ascii="Times New Roman" w:hAnsi="Times New Roman" w:cs="Times New Roman"/>
          <w:sz w:val="24"/>
          <w:szCs w:val="24"/>
          <w:shd w:val="clear" w:color="auto" w:fill="FFFFFF"/>
        </w:rPr>
        <w:t>atlyginimų</w:t>
      </w:r>
      <w:r>
        <w:rPr>
          <w:rFonts w:ascii="Times New Roman" w:hAnsi="Times New Roman" w:cs="Times New Roman"/>
          <w:sz w:val="24"/>
          <w:szCs w:val="24"/>
          <w:shd w:val="clear" w:color="auto" w:fill="FFFFFF"/>
        </w:rPr>
        <w:t xml:space="preserve"> </w:t>
      </w:r>
      <w:r w:rsidR="006641C2" w:rsidRPr="00960100">
        <w:rPr>
          <w:rFonts w:ascii="Times New Roman" w:hAnsi="Times New Roman" w:cs="Times New Roman"/>
          <w:sz w:val="24"/>
          <w:szCs w:val="24"/>
          <w:shd w:val="clear" w:color="auto" w:fill="FFFFFF"/>
        </w:rPr>
        <w:t>įstatymo priedo II skyriuje</w:t>
      </w:r>
      <w:r w:rsidR="00305149" w:rsidRPr="00960100">
        <w:rPr>
          <w:rFonts w:ascii="Times New Roman" w:hAnsi="Times New Roman" w:cs="Times New Roman"/>
          <w:sz w:val="24"/>
          <w:szCs w:val="24"/>
          <w:shd w:val="clear" w:color="auto" w:fill="FFFFFF"/>
        </w:rPr>
        <w:t>.</w:t>
      </w:r>
    </w:p>
    <w:p w14:paraId="393B2087" w14:textId="77777777" w:rsidR="00305149" w:rsidRPr="00960100" w:rsidRDefault="00305149" w:rsidP="00305149">
      <w:pPr>
        <w:jc w:val="both"/>
        <w:rPr>
          <w:rFonts w:ascii="Times New Roman" w:hAnsi="Times New Roman" w:cs="Times New Roman"/>
          <w:b/>
          <w:caps/>
          <w:sz w:val="24"/>
          <w:szCs w:val="24"/>
        </w:rPr>
      </w:pPr>
    </w:p>
    <w:p w14:paraId="2C5BA752" w14:textId="77777777" w:rsidR="00305149" w:rsidRPr="00960100" w:rsidRDefault="005F5B69" w:rsidP="00305149">
      <w:pPr>
        <w:tabs>
          <w:tab w:val="left" w:pos="0"/>
          <w:tab w:val="left" w:pos="1080"/>
        </w:tabs>
        <w:suppressAutoHyphens/>
        <w:ind w:firstLine="0"/>
        <w:jc w:val="center"/>
        <w:textAlignment w:val="baseline"/>
        <w:rPr>
          <w:rFonts w:ascii="Times New Roman" w:hAnsi="Times New Roman" w:cs="Times New Roman"/>
          <w:b/>
          <w:sz w:val="24"/>
          <w:szCs w:val="24"/>
        </w:rPr>
      </w:pPr>
      <w:r>
        <w:rPr>
          <w:rFonts w:ascii="Times New Roman" w:hAnsi="Times New Roman" w:cs="Times New Roman"/>
          <w:b/>
          <w:sz w:val="24"/>
          <w:szCs w:val="24"/>
        </w:rPr>
        <w:t>V</w:t>
      </w:r>
      <w:r w:rsidR="00305149" w:rsidRPr="00960100">
        <w:rPr>
          <w:rFonts w:ascii="Times New Roman" w:hAnsi="Times New Roman" w:cs="Times New Roman"/>
          <w:b/>
          <w:sz w:val="24"/>
          <w:szCs w:val="24"/>
        </w:rPr>
        <w:t>. BAIGIAMOSIOS NUOSTATOS</w:t>
      </w:r>
    </w:p>
    <w:p w14:paraId="532ECB2E" w14:textId="77777777" w:rsidR="00305149" w:rsidRPr="00960100" w:rsidRDefault="00305149" w:rsidP="00305149">
      <w:pPr>
        <w:tabs>
          <w:tab w:val="left" w:pos="709"/>
          <w:tab w:val="left" w:pos="1276"/>
        </w:tabs>
        <w:suppressAutoHyphens/>
        <w:jc w:val="both"/>
        <w:textAlignment w:val="baseline"/>
        <w:rPr>
          <w:rFonts w:ascii="Times New Roman" w:hAnsi="Times New Roman" w:cs="Times New Roman"/>
          <w:sz w:val="24"/>
          <w:szCs w:val="24"/>
        </w:rPr>
      </w:pPr>
    </w:p>
    <w:p w14:paraId="45358E1C" w14:textId="77777777" w:rsidR="00305149" w:rsidRPr="00960100" w:rsidRDefault="00011179" w:rsidP="00305149">
      <w:pPr>
        <w:suppressAutoHyphens/>
        <w:jc w:val="both"/>
        <w:textAlignment w:val="baseline"/>
        <w:rPr>
          <w:rFonts w:ascii="Times New Roman" w:hAnsi="Times New Roman" w:cs="Times New Roman"/>
          <w:sz w:val="24"/>
          <w:szCs w:val="24"/>
        </w:rPr>
      </w:pPr>
      <w:r w:rsidRPr="005F5B69">
        <w:rPr>
          <w:rFonts w:ascii="Times New Roman" w:hAnsi="Times New Roman" w:cs="Times New Roman"/>
          <w:sz w:val="24"/>
          <w:szCs w:val="24"/>
        </w:rPr>
        <w:t>13.</w:t>
      </w:r>
      <w:r w:rsidR="00305149" w:rsidRPr="00960100">
        <w:rPr>
          <w:rFonts w:ascii="Times New Roman" w:hAnsi="Times New Roman" w:cs="Times New Roman"/>
          <w:sz w:val="24"/>
          <w:szCs w:val="24"/>
        </w:rPr>
        <w:t xml:space="preserve"> Už šio Aprašo nuostatų tinkamą taikymą atsako teismo pirmininkas.</w:t>
      </w:r>
    </w:p>
    <w:p w14:paraId="32999F51" w14:textId="77777777" w:rsidR="00305149" w:rsidRPr="00960100" w:rsidRDefault="00305149" w:rsidP="00305149">
      <w:pPr>
        <w:suppressAutoHyphens/>
        <w:ind w:firstLine="0"/>
        <w:jc w:val="center"/>
        <w:textAlignment w:val="baseline"/>
        <w:rPr>
          <w:rFonts w:ascii="Times New Roman" w:hAnsi="Times New Roman" w:cs="Times New Roman"/>
          <w:sz w:val="24"/>
          <w:szCs w:val="24"/>
        </w:rPr>
      </w:pPr>
      <w:r w:rsidRPr="00960100">
        <w:rPr>
          <w:rFonts w:ascii="Times New Roman" w:hAnsi="Times New Roman" w:cs="Times New Roman"/>
          <w:sz w:val="24"/>
          <w:szCs w:val="24"/>
        </w:rPr>
        <w:t>______________</w:t>
      </w:r>
    </w:p>
    <w:p w14:paraId="4A81A36B" w14:textId="77777777" w:rsidR="00305149" w:rsidRPr="00960100" w:rsidRDefault="00305149" w:rsidP="00305149">
      <w:pPr>
        <w:rPr>
          <w:rFonts w:ascii="Times New Roman" w:hAnsi="Times New Roman" w:cs="Times New Roman"/>
          <w:sz w:val="24"/>
          <w:szCs w:val="24"/>
        </w:rPr>
      </w:pPr>
    </w:p>
    <w:p w14:paraId="6A67142A" w14:textId="77777777" w:rsidR="006144B7" w:rsidRDefault="006144B7" w:rsidP="00305149">
      <w:pPr>
        <w:ind w:left="5102" w:firstLine="0"/>
        <w:rPr>
          <w:rFonts w:ascii="Times New Roman" w:hAnsi="Times New Roman" w:cs="Times New Roman"/>
          <w:color w:val="000000"/>
          <w:sz w:val="24"/>
          <w:szCs w:val="24"/>
        </w:rPr>
      </w:pPr>
    </w:p>
    <w:p w14:paraId="0F7D765D" w14:textId="77777777" w:rsidR="006144B7" w:rsidRDefault="006144B7" w:rsidP="00305149">
      <w:pPr>
        <w:ind w:left="5102" w:firstLine="0"/>
        <w:rPr>
          <w:rFonts w:ascii="Times New Roman" w:hAnsi="Times New Roman" w:cs="Times New Roman"/>
          <w:color w:val="000000"/>
          <w:sz w:val="24"/>
          <w:szCs w:val="24"/>
        </w:rPr>
      </w:pPr>
    </w:p>
    <w:p w14:paraId="5B327EDD" w14:textId="77777777" w:rsidR="006144B7" w:rsidRDefault="006144B7" w:rsidP="00305149">
      <w:pPr>
        <w:ind w:left="5102" w:firstLine="0"/>
        <w:rPr>
          <w:rFonts w:ascii="Times New Roman" w:hAnsi="Times New Roman" w:cs="Times New Roman"/>
          <w:color w:val="000000"/>
          <w:sz w:val="24"/>
          <w:szCs w:val="24"/>
        </w:rPr>
      </w:pPr>
    </w:p>
    <w:p w14:paraId="3B39BD27" w14:textId="77777777" w:rsidR="00B004C9" w:rsidRDefault="00B004C9" w:rsidP="00305149">
      <w:pPr>
        <w:ind w:left="5102" w:firstLine="0"/>
        <w:rPr>
          <w:rFonts w:ascii="Times New Roman" w:hAnsi="Times New Roman" w:cs="Times New Roman"/>
          <w:color w:val="000000"/>
          <w:sz w:val="24"/>
          <w:szCs w:val="24"/>
        </w:rPr>
      </w:pPr>
    </w:p>
    <w:p w14:paraId="311A44FB" w14:textId="77777777" w:rsidR="00B004C9" w:rsidRDefault="00B004C9" w:rsidP="00305149">
      <w:pPr>
        <w:ind w:left="5102" w:firstLine="0"/>
        <w:rPr>
          <w:rFonts w:ascii="Times New Roman" w:hAnsi="Times New Roman" w:cs="Times New Roman"/>
          <w:color w:val="000000"/>
          <w:sz w:val="24"/>
          <w:szCs w:val="24"/>
        </w:rPr>
      </w:pPr>
    </w:p>
    <w:p w14:paraId="57D5136B" w14:textId="77777777" w:rsidR="00B004C9" w:rsidRDefault="00B004C9" w:rsidP="00305149">
      <w:pPr>
        <w:ind w:left="5102" w:firstLine="0"/>
        <w:rPr>
          <w:rFonts w:ascii="Times New Roman" w:hAnsi="Times New Roman" w:cs="Times New Roman"/>
          <w:color w:val="000000"/>
          <w:sz w:val="24"/>
          <w:szCs w:val="24"/>
        </w:rPr>
      </w:pPr>
    </w:p>
    <w:p w14:paraId="2456DF97" w14:textId="77777777" w:rsidR="00305149" w:rsidRPr="00960100" w:rsidRDefault="005F5B69" w:rsidP="00305149">
      <w:pPr>
        <w:ind w:left="5102" w:firstLine="0"/>
        <w:rPr>
          <w:rFonts w:ascii="Times New Roman" w:hAnsi="Times New Roman" w:cs="Times New Roman"/>
          <w:sz w:val="24"/>
          <w:szCs w:val="24"/>
        </w:rPr>
      </w:pPr>
      <w:r>
        <w:rPr>
          <w:rFonts w:ascii="Times New Roman" w:hAnsi="Times New Roman" w:cs="Times New Roman"/>
          <w:color w:val="000000"/>
          <w:sz w:val="24"/>
          <w:szCs w:val="24"/>
        </w:rPr>
        <w:br w:type="page"/>
      </w:r>
      <w:r w:rsidR="00305149" w:rsidRPr="00960100">
        <w:rPr>
          <w:rFonts w:ascii="Times New Roman" w:hAnsi="Times New Roman" w:cs="Times New Roman"/>
          <w:color w:val="000000"/>
          <w:sz w:val="24"/>
          <w:szCs w:val="24"/>
        </w:rPr>
        <w:lastRenderedPageBreak/>
        <w:t xml:space="preserve">Mokėjimo </w:t>
      </w:r>
      <w:r w:rsidR="00305149" w:rsidRPr="00960100">
        <w:rPr>
          <w:rFonts w:ascii="Times New Roman" w:hAnsi="Times New Roman" w:cs="Times New Roman"/>
          <w:sz w:val="24"/>
          <w:szCs w:val="24"/>
        </w:rPr>
        <w:t xml:space="preserve">už darbą ir budėjimą poilsio ir </w:t>
      </w:r>
    </w:p>
    <w:p w14:paraId="33CC7707" w14:textId="77777777" w:rsidR="005F5B69" w:rsidRPr="00960100" w:rsidRDefault="00305149" w:rsidP="005F5B69">
      <w:pPr>
        <w:ind w:left="5102" w:firstLine="0"/>
        <w:rPr>
          <w:rFonts w:ascii="Times New Roman" w:hAnsi="Times New Roman" w:cs="Times New Roman"/>
          <w:sz w:val="24"/>
          <w:szCs w:val="24"/>
        </w:rPr>
      </w:pPr>
      <w:r w:rsidRPr="00960100">
        <w:rPr>
          <w:rFonts w:ascii="Times New Roman" w:hAnsi="Times New Roman" w:cs="Times New Roman"/>
          <w:sz w:val="24"/>
          <w:szCs w:val="24"/>
        </w:rPr>
        <w:t>švenčių dienomis bei pavadavimą</w:t>
      </w:r>
    </w:p>
    <w:p w14:paraId="45FF12D9" w14:textId="77777777" w:rsidR="00305149" w:rsidRPr="00960100" w:rsidRDefault="00305149" w:rsidP="00305149">
      <w:pPr>
        <w:ind w:left="5102" w:firstLine="0"/>
        <w:rPr>
          <w:rFonts w:ascii="Times New Roman" w:hAnsi="Times New Roman" w:cs="Times New Roman"/>
          <w:sz w:val="24"/>
          <w:szCs w:val="24"/>
        </w:rPr>
      </w:pPr>
      <w:r w:rsidRPr="00960100">
        <w:rPr>
          <w:rFonts w:ascii="Times New Roman" w:hAnsi="Times New Roman" w:cs="Times New Roman"/>
          <w:sz w:val="24"/>
          <w:szCs w:val="24"/>
        </w:rPr>
        <w:t xml:space="preserve">bendrosios kompetencijos ir </w:t>
      </w:r>
    </w:p>
    <w:p w14:paraId="6582D75C" w14:textId="77777777" w:rsidR="00305149" w:rsidRPr="00960100" w:rsidRDefault="00305149" w:rsidP="00305149">
      <w:pPr>
        <w:ind w:left="5102" w:firstLine="0"/>
        <w:rPr>
          <w:rFonts w:ascii="Times New Roman" w:hAnsi="Times New Roman" w:cs="Times New Roman"/>
          <w:sz w:val="24"/>
          <w:szCs w:val="24"/>
        </w:rPr>
      </w:pPr>
      <w:r w:rsidRPr="00960100">
        <w:rPr>
          <w:rFonts w:ascii="Times New Roman" w:hAnsi="Times New Roman" w:cs="Times New Roman"/>
          <w:sz w:val="24"/>
          <w:szCs w:val="24"/>
        </w:rPr>
        <w:t xml:space="preserve">specializuotų teismų teisėjams tvarkos aprašo </w:t>
      </w:r>
    </w:p>
    <w:p w14:paraId="678CDE07" w14:textId="77777777" w:rsidR="00305149" w:rsidRPr="00960100" w:rsidRDefault="00305149" w:rsidP="00305149">
      <w:pPr>
        <w:ind w:left="5102" w:firstLine="0"/>
        <w:rPr>
          <w:rFonts w:ascii="Times New Roman" w:hAnsi="Times New Roman" w:cs="Times New Roman"/>
          <w:sz w:val="24"/>
          <w:szCs w:val="24"/>
        </w:rPr>
      </w:pPr>
      <w:r w:rsidRPr="00960100">
        <w:rPr>
          <w:rFonts w:ascii="Times New Roman" w:hAnsi="Times New Roman" w:cs="Times New Roman"/>
          <w:sz w:val="24"/>
          <w:szCs w:val="24"/>
        </w:rPr>
        <w:t>priedas</w:t>
      </w:r>
    </w:p>
    <w:p w14:paraId="222EAB2E" w14:textId="77777777" w:rsidR="00305149" w:rsidRPr="00960100" w:rsidRDefault="00305149" w:rsidP="00305149">
      <w:pPr>
        <w:ind w:left="720" w:firstLine="0"/>
        <w:rPr>
          <w:rFonts w:ascii="Times New Roman" w:hAnsi="Times New Roman" w:cs="Times New Roman"/>
          <w:sz w:val="24"/>
          <w:szCs w:val="24"/>
        </w:rPr>
      </w:pPr>
    </w:p>
    <w:p w14:paraId="7369C81E" w14:textId="77777777" w:rsidR="00305149" w:rsidRPr="00960100" w:rsidRDefault="00305149" w:rsidP="00305149">
      <w:pPr>
        <w:ind w:firstLine="0"/>
        <w:jc w:val="center"/>
        <w:rPr>
          <w:rFonts w:ascii="Times New Roman" w:hAnsi="Times New Roman" w:cs="Times New Roman"/>
          <w:sz w:val="24"/>
          <w:szCs w:val="24"/>
        </w:rPr>
      </w:pPr>
      <w:r w:rsidRPr="00960100">
        <w:rPr>
          <w:rFonts w:ascii="Times New Roman" w:hAnsi="Times New Roman" w:cs="Times New Roman"/>
          <w:sz w:val="24"/>
          <w:szCs w:val="24"/>
        </w:rPr>
        <w:t>(Žurnalo formos pavyzdys)</w:t>
      </w:r>
    </w:p>
    <w:p w14:paraId="3C2F20E2" w14:textId="77777777" w:rsidR="00305149" w:rsidRPr="00960100" w:rsidRDefault="00305149" w:rsidP="00305149">
      <w:pPr>
        <w:ind w:firstLine="0"/>
        <w:jc w:val="center"/>
        <w:rPr>
          <w:rFonts w:ascii="Times New Roman" w:hAnsi="Times New Roman" w:cs="Times New Roman"/>
          <w:sz w:val="24"/>
          <w:szCs w:val="24"/>
        </w:rPr>
      </w:pPr>
    </w:p>
    <w:p w14:paraId="770D4CD9" w14:textId="77777777" w:rsidR="00305149" w:rsidRPr="00960100" w:rsidRDefault="00305149" w:rsidP="00305149">
      <w:pPr>
        <w:ind w:firstLine="0"/>
        <w:jc w:val="center"/>
        <w:rPr>
          <w:rFonts w:ascii="Times New Roman" w:hAnsi="Times New Roman" w:cs="Times New Roman"/>
          <w:b/>
          <w:bCs/>
          <w:sz w:val="24"/>
          <w:szCs w:val="24"/>
        </w:rPr>
      </w:pPr>
      <w:r w:rsidRPr="00960100">
        <w:rPr>
          <w:rFonts w:ascii="Times New Roman" w:hAnsi="Times New Roman" w:cs="Times New Roman"/>
          <w:b/>
          <w:bCs/>
          <w:sz w:val="24"/>
          <w:szCs w:val="24"/>
        </w:rPr>
        <w:t>TEISĖJŲ DARBO IR BUDĖJIMO POILSIO IR ŠVENČIŲ DIENOMIS APSKAITOS ŽURNALAS</w:t>
      </w:r>
    </w:p>
    <w:p w14:paraId="544A1D5D" w14:textId="77777777" w:rsidR="00305149" w:rsidRPr="00960100" w:rsidRDefault="00305149" w:rsidP="00305149">
      <w:pPr>
        <w:ind w:firstLine="0"/>
        <w:jc w:val="center"/>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430"/>
        <w:gridCol w:w="710"/>
        <w:gridCol w:w="1323"/>
        <w:gridCol w:w="1257"/>
        <w:gridCol w:w="1056"/>
        <w:gridCol w:w="1016"/>
        <w:gridCol w:w="1377"/>
      </w:tblGrid>
      <w:tr w:rsidR="00305149" w:rsidRPr="00960100" w14:paraId="75AE9D09" w14:textId="77777777" w:rsidTr="00305149">
        <w:trPr>
          <w:gridAfter w:val="2"/>
          <w:wAfter w:w="643" w:type="pct"/>
        </w:trPr>
        <w:tc>
          <w:tcPr>
            <w:tcW w:w="4357" w:type="pct"/>
            <w:gridSpan w:val="6"/>
            <w:tcBorders>
              <w:left w:val="single" w:sz="12" w:space="0" w:color="auto"/>
            </w:tcBorders>
            <w:shd w:val="clear" w:color="auto" w:fill="CCCCCC"/>
            <w:vAlign w:val="center"/>
          </w:tcPr>
          <w:p w14:paraId="3A554E6E" w14:textId="77777777" w:rsidR="00305149" w:rsidRPr="00C552FA"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 xml:space="preserve">Pildoma dirbant ir budint poilsio ir švenčių dienomis </w:t>
            </w:r>
          </w:p>
        </w:tc>
      </w:tr>
      <w:tr w:rsidR="00305149" w:rsidRPr="00960100" w14:paraId="1AB6B256" w14:textId="77777777" w:rsidTr="00305149">
        <w:trPr>
          <w:trHeight w:val="965"/>
        </w:trPr>
        <w:tc>
          <w:tcPr>
            <w:tcW w:w="163" w:type="pct"/>
            <w:vMerge w:val="restart"/>
            <w:tcBorders>
              <w:left w:val="single" w:sz="12" w:space="0" w:color="auto"/>
            </w:tcBorders>
            <w:shd w:val="clear" w:color="auto" w:fill="auto"/>
            <w:vAlign w:val="center"/>
          </w:tcPr>
          <w:p w14:paraId="46CB629F"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Eil. Nr.</w:t>
            </w:r>
          </w:p>
        </w:tc>
        <w:tc>
          <w:tcPr>
            <w:tcW w:w="689" w:type="pct"/>
            <w:vMerge w:val="restart"/>
            <w:shd w:val="clear" w:color="auto" w:fill="auto"/>
            <w:vAlign w:val="center"/>
          </w:tcPr>
          <w:p w14:paraId="03934D73"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Veiksmų, atliktų dirbant poilsio ir švenčių dienomis, aprašymas/budėjimai</w:t>
            </w:r>
          </w:p>
        </w:tc>
        <w:tc>
          <w:tcPr>
            <w:tcW w:w="202" w:type="pct"/>
            <w:vMerge w:val="restart"/>
            <w:shd w:val="clear" w:color="auto" w:fill="auto"/>
            <w:vAlign w:val="center"/>
          </w:tcPr>
          <w:p w14:paraId="450EE688"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Data</w:t>
            </w:r>
          </w:p>
        </w:tc>
        <w:tc>
          <w:tcPr>
            <w:tcW w:w="814" w:type="pct"/>
            <w:gridSpan w:val="2"/>
            <w:vMerge w:val="restart"/>
            <w:shd w:val="clear" w:color="auto" w:fill="auto"/>
            <w:vAlign w:val="center"/>
          </w:tcPr>
          <w:p w14:paraId="67AEBA42"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Laikas</w:t>
            </w:r>
          </w:p>
        </w:tc>
        <w:tc>
          <w:tcPr>
            <w:tcW w:w="2488" w:type="pct"/>
            <w:vMerge w:val="restart"/>
            <w:shd w:val="clear" w:color="auto" w:fill="auto"/>
            <w:vAlign w:val="center"/>
          </w:tcPr>
          <w:p w14:paraId="352C616D"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Teisėjo vardas, pavardė</w:t>
            </w:r>
          </w:p>
        </w:tc>
        <w:tc>
          <w:tcPr>
            <w:tcW w:w="276" w:type="pct"/>
            <w:vMerge w:val="restart"/>
            <w:shd w:val="clear" w:color="auto" w:fill="auto"/>
            <w:vAlign w:val="center"/>
          </w:tcPr>
          <w:p w14:paraId="02A25836"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Parašas</w:t>
            </w:r>
          </w:p>
        </w:tc>
        <w:tc>
          <w:tcPr>
            <w:tcW w:w="368" w:type="pct"/>
            <w:vMerge w:val="restart"/>
            <w:shd w:val="clear" w:color="auto" w:fill="auto"/>
            <w:vAlign w:val="center"/>
          </w:tcPr>
          <w:p w14:paraId="291EB947"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Teismo pirmininko ar jo įgalioto asmens rezoliucija</w:t>
            </w:r>
          </w:p>
        </w:tc>
      </w:tr>
      <w:tr w:rsidR="00305149" w:rsidRPr="00960100" w14:paraId="42F56BE1" w14:textId="77777777" w:rsidTr="00305149">
        <w:trPr>
          <w:trHeight w:val="485"/>
        </w:trPr>
        <w:tc>
          <w:tcPr>
            <w:tcW w:w="163" w:type="pct"/>
            <w:vMerge/>
            <w:tcBorders>
              <w:left w:val="single" w:sz="12" w:space="0" w:color="auto"/>
            </w:tcBorders>
            <w:shd w:val="clear" w:color="auto" w:fill="auto"/>
            <w:vAlign w:val="center"/>
          </w:tcPr>
          <w:p w14:paraId="6DE45A0B" w14:textId="77777777" w:rsidR="00305149" w:rsidRPr="00960100" w:rsidRDefault="00305149" w:rsidP="00305149">
            <w:pPr>
              <w:ind w:firstLine="0"/>
              <w:jc w:val="center"/>
              <w:rPr>
                <w:rFonts w:ascii="Times New Roman" w:hAnsi="Times New Roman" w:cs="Times New Roman"/>
                <w:sz w:val="24"/>
                <w:szCs w:val="24"/>
              </w:rPr>
            </w:pPr>
          </w:p>
        </w:tc>
        <w:tc>
          <w:tcPr>
            <w:tcW w:w="689" w:type="pct"/>
            <w:vMerge/>
            <w:shd w:val="clear" w:color="auto" w:fill="auto"/>
            <w:vAlign w:val="center"/>
          </w:tcPr>
          <w:p w14:paraId="6C5F38CD" w14:textId="77777777" w:rsidR="00305149" w:rsidRPr="00960100" w:rsidRDefault="00305149" w:rsidP="00305149">
            <w:pPr>
              <w:ind w:firstLine="0"/>
              <w:jc w:val="center"/>
              <w:rPr>
                <w:rFonts w:ascii="Times New Roman" w:hAnsi="Times New Roman" w:cs="Times New Roman"/>
                <w:sz w:val="24"/>
                <w:szCs w:val="24"/>
              </w:rPr>
            </w:pPr>
          </w:p>
        </w:tc>
        <w:tc>
          <w:tcPr>
            <w:tcW w:w="202" w:type="pct"/>
            <w:vMerge/>
            <w:shd w:val="clear" w:color="auto" w:fill="auto"/>
            <w:vAlign w:val="center"/>
          </w:tcPr>
          <w:p w14:paraId="1C130464" w14:textId="77777777" w:rsidR="00305149" w:rsidRPr="00960100" w:rsidRDefault="00305149" w:rsidP="00305149">
            <w:pPr>
              <w:ind w:firstLine="0"/>
              <w:jc w:val="center"/>
              <w:rPr>
                <w:rFonts w:ascii="Times New Roman" w:hAnsi="Times New Roman" w:cs="Times New Roman"/>
                <w:sz w:val="24"/>
                <w:szCs w:val="24"/>
              </w:rPr>
            </w:pPr>
          </w:p>
        </w:tc>
        <w:tc>
          <w:tcPr>
            <w:tcW w:w="814" w:type="pct"/>
            <w:gridSpan w:val="2"/>
            <w:vMerge/>
            <w:shd w:val="clear" w:color="auto" w:fill="auto"/>
            <w:vAlign w:val="center"/>
          </w:tcPr>
          <w:p w14:paraId="209C23CE" w14:textId="77777777" w:rsidR="00305149" w:rsidRPr="00960100" w:rsidRDefault="00305149" w:rsidP="00305149">
            <w:pPr>
              <w:ind w:firstLine="0"/>
              <w:jc w:val="center"/>
              <w:rPr>
                <w:rFonts w:ascii="Times New Roman" w:hAnsi="Times New Roman" w:cs="Times New Roman"/>
                <w:sz w:val="24"/>
                <w:szCs w:val="24"/>
              </w:rPr>
            </w:pPr>
          </w:p>
        </w:tc>
        <w:tc>
          <w:tcPr>
            <w:tcW w:w="2488" w:type="pct"/>
            <w:vMerge/>
            <w:shd w:val="clear" w:color="auto" w:fill="auto"/>
            <w:vAlign w:val="center"/>
          </w:tcPr>
          <w:p w14:paraId="21166783" w14:textId="77777777" w:rsidR="00305149" w:rsidRPr="00960100" w:rsidRDefault="00305149" w:rsidP="00305149">
            <w:pPr>
              <w:ind w:firstLine="0"/>
              <w:jc w:val="center"/>
              <w:rPr>
                <w:rFonts w:ascii="Times New Roman" w:hAnsi="Times New Roman" w:cs="Times New Roman"/>
                <w:sz w:val="24"/>
                <w:szCs w:val="24"/>
              </w:rPr>
            </w:pPr>
          </w:p>
        </w:tc>
        <w:tc>
          <w:tcPr>
            <w:tcW w:w="276" w:type="pct"/>
            <w:vMerge/>
            <w:shd w:val="clear" w:color="auto" w:fill="auto"/>
            <w:vAlign w:val="center"/>
          </w:tcPr>
          <w:p w14:paraId="738DBF9D" w14:textId="77777777" w:rsidR="00305149" w:rsidRPr="00960100" w:rsidRDefault="00305149" w:rsidP="00305149">
            <w:pPr>
              <w:ind w:firstLine="0"/>
              <w:jc w:val="center"/>
              <w:rPr>
                <w:rFonts w:ascii="Times New Roman" w:hAnsi="Times New Roman" w:cs="Times New Roman"/>
                <w:sz w:val="24"/>
                <w:szCs w:val="24"/>
              </w:rPr>
            </w:pPr>
          </w:p>
        </w:tc>
        <w:tc>
          <w:tcPr>
            <w:tcW w:w="368" w:type="pct"/>
            <w:vMerge/>
            <w:shd w:val="clear" w:color="auto" w:fill="auto"/>
          </w:tcPr>
          <w:p w14:paraId="1FFCDEA0" w14:textId="77777777" w:rsidR="00305149" w:rsidRPr="00960100" w:rsidRDefault="00305149" w:rsidP="00305149">
            <w:pPr>
              <w:ind w:firstLine="0"/>
              <w:jc w:val="center"/>
              <w:rPr>
                <w:rFonts w:ascii="Times New Roman" w:hAnsi="Times New Roman" w:cs="Times New Roman"/>
                <w:sz w:val="24"/>
                <w:szCs w:val="24"/>
              </w:rPr>
            </w:pPr>
          </w:p>
        </w:tc>
      </w:tr>
      <w:tr w:rsidR="00305149" w:rsidRPr="00960100" w14:paraId="00D860E9" w14:textId="77777777" w:rsidTr="00305149">
        <w:trPr>
          <w:trHeight w:val="485"/>
        </w:trPr>
        <w:tc>
          <w:tcPr>
            <w:tcW w:w="163" w:type="pct"/>
            <w:vMerge/>
            <w:tcBorders>
              <w:left w:val="single" w:sz="12" w:space="0" w:color="auto"/>
            </w:tcBorders>
            <w:shd w:val="clear" w:color="auto" w:fill="auto"/>
            <w:vAlign w:val="center"/>
          </w:tcPr>
          <w:p w14:paraId="5C3862B7" w14:textId="77777777" w:rsidR="00305149" w:rsidRPr="00960100" w:rsidRDefault="00305149" w:rsidP="00305149">
            <w:pPr>
              <w:ind w:firstLine="0"/>
              <w:jc w:val="center"/>
              <w:rPr>
                <w:rFonts w:ascii="Times New Roman" w:hAnsi="Times New Roman" w:cs="Times New Roman"/>
                <w:sz w:val="24"/>
                <w:szCs w:val="24"/>
              </w:rPr>
            </w:pPr>
          </w:p>
        </w:tc>
        <w:tc>
          <w:tcPr>
            <w:tcW w:w="689" w:type="pct"/>
            <w:vMerge/>
            <w:shd w:val="clear" w:color="auto" w:fill="auto"/>
            <w:vAlign w:val="center"/>
          </w:tcPr>
          <w:p w14:paraId="7A2FE75C" w14:textId="77777777" w:rsidR="00305149" w:rsidRPr="00960100" w:rsidRDefault="00305149" w:rsidP="00305149">
            <w:pPr>
              <w:ind w:firstLine="0"/>
              <w:jc w:val="center"/>
              <w:rPr>
                <w:rFonts w:ascii="Times New Roman" w:hAnsi="Times New Roman" w:cs="Times New Roman"/>
                <w:sz w:val="24"/>
                <w:szCs w:val="24"/>
              </w:rPr>
            </w:pPr>
          </w:p>
        </w:tc>
        <w:tc>
          <w:tcPr>
            <w:tcW w:w="202" w:type="pct"/>
            <w:vMerge/>
            <w:shd w:val="clear" w:color="auto" w:fill="auto"/>
            <w:vAlign w:val="center"/>
          </w:tcPr>
          <w:p w14:paraId="1ACBAF4F" w14:textId="77777777" w:rsidR="00305149" w:rsidRPr="00960100" w:rsidRDefault="00305149" w:rsidP="00305149">
            <w:pPr>
              <w:ind w:firstLine="0"/>
              <w:jc w:val="center"/>
              <w:rPr>
                <w:rFonts w:ascii="Times New Roman" w:hAnsi="Times New Roman" w:cs="Times New Roman"/>
                <w:b/>
                <w:sz w:val="24"/>
                <w:szCs w:val="24"/>
              </w:rPr>
            </w:pPr>
          </w:p>
        </w:tc>
        <w:tc>
          <w:tcPr>
            <w:tcW w:w="355" w:type="pct"/>
            <w:shd w:val="clear" w:color="auto" w:fill="auto"/>
            <w:vAlign w:val="center"/>
          </w:tcPr>
          <w:p w14:paraId="131118FB"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Atvykimas</w:t>
            </w:r>
          </w:p>
        </w:tc>
        <w:tc>
          <w:tcPr>
            <w:tcW w:w="459" w:type="pct"/>
            <w:shd w:val="clear" w:color="auto" w:fill="auto"/>
            <w:vAlign w:val="center"/>
          </w:tcPr>
          <w:p w14:paraId="11F82044" w14:textId="77777777" w:rsidR="00305149" w:rsidRPr="00960100" w:rsidRDefault="00305149" w:rsidP="00305149">
            <w:pPr>
              <w:ind w:firstLine="0"/>
              <w:jc w:val="center"/>
              <w:rPr>
                <w:rFonts w:ascii="Times New Roman" w:hAnsi="Times New Roman" w:cs="Times New Roman"/>
                <w:b/>
                <w:sz w:val="24"/>
                <w:szCs w:val="24"/>
              </w:rPr>
            </w:pPr>
            <w:r w:rsidRPr="00960100">
              <w:rPr>
                <w:rFonts w:ascii="Times New Roman" w:hAnsi="Times New Roman" w:cs="Times New Roman"/>
                <w:b/>
                <w:sz w:val="24"/>
                <w:szCs w:val="24"/>
              </w:rPr>
              <w:t>Išvykimas</w:t>
            </w:r>
          </w:p>
        </w:tc>
        <w:tc>
          <w:tcPr>
            <w:tcW w:w="2488" w:type="pct"/>
            <w:vMerge/>
            <w:shd w:val="clear" w:color="auto" w:fill="auto"/>
            <w:vAlign w:val="center"/>
          </w:tcPr>
          <w:p w14:paraId="76FA8453" w14:textId="77777777" w:rsidR="00305149" w:rsidRPr="00960100" w:rsidRDefault="00305149" w:rsidP="00305149">
            <w:pPr>
              <w:ind w:firstLine="0"/>
              <w:jc w:val="center"/>
              <w:rPr>
                <w:rFonts w:ascii="Times New Roman" w:hAnsi="Times New Roman" w:cs="Times New Roman"/>
                <w:sz w:val="24"/>
                <w:szCs w:val="24"/>
              </w:rPr>
            </w:pPr>
          </w:p>
        </w:tc>
        <w:tc>
          <w:tcPr>
            <w:tcW w:w="276" w:type="pct"/>
            <w:vMerge/>
            <w:shd w:val="clear" w:color="auto" w:fill="auto"/>
            <w:vAlign w:val="center"/>
          </w:tcPr>
          <w:p w14:paraId="03B36A21" w14:textId="77777777" w:rsidR="00305149" w:rsidRPr="00960100" w:rsidRDefault="00305149" w:rsidP="00305149">
            <w:pPr>
              <w:ind w:firstLine="0"/>
              <w:jc w:val="center"/>
              <w:rPr>
                <w:rFonts w:ascii="Times New Roman" w:hAnsi="Times New Roman" w:cs="Times New Roman"/>
                <w:sz w:val="24"/>
                <w:szCs w:val="24"/>
              </w:rPr>
            </w:pPr>
          </w:p>
        </w:tc>
        <w:tc>
          <w:tcPr>
            <w:tcW w:w="368" w:type="pct"/>
            <w:vMerge/>
            <w:shd w:val="clear" w:color="auto" w:fill="auto"/>
          </w:tcPr>
          <w:p w14:paraId="14FB1EC6" w14:textId="77777777" w:rsidR="00305149" w:rsidRPr="00960100" w:rsidRDefault="00305149" w:rsidP="00305149">
            <w:pPr>
              <w:ind w:firstLine="0"/>
              <w:jc w:val="center"/>
              <w:rPr>
                <w:rFonts w:ascii="Times New Roman" w:hAnsi="Times New Roman" w:cs="Times New Roman"/>
                <w:sz w:val="24"/>
                <w:szCs w:val="24"/>
              </w:rPr>
            </w:pPr>
          </w:p>
        </w:tc>
      </w:tr>
      <w:tr w:rsidR="00305149" w:rsidRPr="00960100" w14:paraId="1AAA34D7" w14:textId="77777777" w:rsidTr="00305149">
        <w:tc>
          <w:tcPr>
            <w:tcW w:w="163" w:type="pct"/>
            <w:tcBorders>
              <w:left w:val="single" w:sz="12" w:space="0" w:color="auto"/>
            </w:tcBorders>
            <w:shd w:val="clear" w:color="auto" w:fill="auto"/>
            <w:vAlign w:val="center"/>
          </w:tcPr>
          <w:p w14:paraId="080A68FF" w14:textId="77777777" w:rsidR="00305149" w:rsidRPr="00960100" w:rsidRDefault="00305149" w:rsidP="00305149">
            <w:pPr>
              <w:ind w:firstLine="0"/>
              <w:jc w:val="center"/>
              <w:rPr>
                <w:rFonts w:ascii="Times New Roman" w:hAnsi="Times New Roman" w:cs="Times New Roman"/>
                <w:sz w:val="24"/>
                <w:szCs w:val="24"/>
              </w:rPr>
            </w:pPr>
            <w:r w:rsidRPr="00960100">
              <w:rPr>
                <w:rFonts w:ascii="Times New Roman" w:hAnsi="Times New Roman" w:cs="Times New Roman"/>
                <w:sz w:val="24"/>
                <w:szCs w:val="24"/>
              </w:rPr>
              <w:t>1.</w:t>
            </w:r>
          </w:p>
        </w:tc>
        <w:tc>
          <w:tcPr>
            <w:tcW w:w="689" w:type="pct"/>
            <w:shd w:val="clear" w:color="auto" w:fill="auto"/>
            <w:vAlign w:val="center"/>
          </w:tcPr>
          <w:p w14:paraId="126AA168" w14:textId="77777777" w:rsidR="00305149" w:rsidRPr="00960100" w:rsidRDefault="00305149" w:rsidP="00305149">
            <w:pPr>
              <w:ind w:firstLine="0"/>
              <w:jc w:val="center"/>
              <w:rPr>
                <w:rFonts w:ascii="Times New Roman" w:hAnsi="Times New Roman" w:cs="Times New Roman"/>
                <w:sz w:val="24"/>
                <w:szCs w:val="24"/>
              </w:rPr>
            </w:pPr>
          </w:p>
        </w:tc>
        <w:tc>
          <w:tcPr>
            <w:tcW w:w="202" w:type="pct"/>
            <w:shd w:val="clear" w:color="auto" w:fill="auto"/>
            <w:vAlign w:val="center"/>
          </w:tcPr>
          <w:p w14:paraId="1FBEDC8D" w14:textId="77777777" w:rsidR="00305149" w:rsidRPr="00960100" w:rsidRDefault="00305149" w:rsidP="00305149">
            <w:pPr>
              <w:ind w:firstLine="0"/>
              <w:jc w:val="center"/>
              <w:rPr>
                <w:rFonts w:ascii="Times New Roman" w:hAnsi="Times New Roman" w:cs="Times New Roman"/>
                <w:sz w:val="24"/>
                <w:szCs w:val="24"/>
              </w:rPr>
            </w:pPr>
          </w:p>
        </w:tc>
        <w:tc>
          <w:tcPr>
            <w:tcW w:w="355" w:type="pct"/>
            <w:shd w:val="clear" w:color="auto" w:fill="auto"/>
            <w:vAlign w:val="center"/>
          </w:tcPr>
          <w:p w14:paraId="781FCD2C" w14:textId="77777777" w:rsidR="00305149" w:rsidRPr="00960100" w:rsidRDefault="00305149" w:rsidP="00305149">
            <w:pPr>
              <w:ind w:firstLine="0"/>
              <w:jc w:val="center"/>
              <w:rPr>
                <w:rFonts w:ascii="Times New Roman" w:hAnsi="Times New Roman" w:cs="Times New Roman"/>
                <w:sz w:val="24"/>
                <w:szCs w:val="24"/>
              </w:rPr>
            </w:pPr>
          </w:p>
        </w:tc>
        <w:tc>
          <w:tcPr>
            <w:tcW w:w="459" w:type="pct"/>
            <w:shd w:val="clear" w:color="auto" w:fill="auto"/>
            <w:vAlign w:val="center"/>
          </w:tcPr>
          <w:p w14:paraId="770EFF2A" w14:textId="77777777" w:rsidR="00305149" w:rsidRPr="00960100" w:rsidRDefault="00305149" w:rsidP="00305149">
            <w:pPr>
              <w:ind w:firstLine="0"/>
              <w:jc w:val="center"/>
              <w:rPr>
                <w:rFonts w:ascii="Times New Roman" w:hAnsi="Times New Roman" w:cs="Times New Roman"/>
                <w:sz w:val="24"/>
                <w:szCs w:val="24"/>
              </w:rPr>
            </w:pPr>
          </w:p>
        </w:tc>
        <w:tc>
          <w:tcPr>
            <w:tcW w:w="2488" w:type="pct"/>
            <w:shd w:val="clear" w:color="auto" w:fill="auto"/>
            <w:vAlign w:val="center"/>
          </w:tcPr>
          <w:p w14:paraId="155FDF54" w14:textId="77777777" w:rsidR="00305149" w:rsidRPr="00960100" w:rsidRDefault="00305149" w:rsidP="00305149">
            <w:pPr>
              <w:ind w:firstLine="0"/>
              <w:jc w:val="center"/>
              <w:rPr>
                <w:rFonts w:ascii="Times New Roman" w:hAnsi="Times New Roman" w:cs="Times New Roman"/>
                <w:sz w:val="24"/>
                <w:szCs w:val="24"/>
              </w:rPr>
            </w:pPr>
          </w:p>
        </w:tc>
        <w:tc>
          <w:tcPr>
            <w:tcW w:w="276" w:type="pct"/>
            <w:shd w:val="clear" w:color="auto" w:fill="auto"/>
            <w:vAlign w:val="center"/>
          </w:tcPr>
          <w:p w14:paraId="1A0750BE" w14:textId="77777777" w:rsidR="00305149" w:rsidRPr="00960100" w:rsidRDefault="00305149" w:rsidP="00305149">
            <w:pPr>
              <w:ind w:firstLine="0"/>
              <w:jc w:val="center"/>
              <w:rPr>
                <w:rFonts w:ascii="Times New Roman" w:hAnsi="Times New Roman" w:cs="Times New Roman"/>
                <w:sz w:val="24"/>
                <w:szCs w:val="24"/>
              </w:rPr>
            </w:pPr>
          </w:p>
        </w:tc>
        <w:tc>
          <w:tcPr>
            <w:tcW w:w="368" w:type="pct"/>
            <w:shd w:val="clear" w:color="auto" w:fill="auto"/>
          </w:tcPr>
          <w:p w14:paraId="25B1377B" w14:textId="77777777" w:rsidR="00305149" w:rsidRPr="00960100" w:rsidRDefault="00305149" w:rsidP="00305149">
            <w:pPr>
              <w:ind w:firstLine="0"/>
              <w:jc w:val="center"/>
              <w:rPr>
                <w:rFonts w:ascii="Times New Roman" w:hAnsi="Times New Roman" w:cs="Times New Roman"/>
                <w:sz w:val="24"/>
                <w:szCs w:val="24"/>
              </w:rPr>
            </w:pPr>
          </w:p>
        </w:tc>
      </w:tr>
    </w:tbl>
    <w:p w14:paraId="0EB9D6B4" w14:textId="77777777" w:rsidR="00305149" w:rsidRPr="00960100" w:rsidRDefault="00305149" w:rsidP="00305149">
      <w:pPr>
        <w:ind w:firstLine="0"/>
        <w:jc w:val="center"/>
        <w:rPr>
          <w:rFonts w:ascii="Times New Roman" w:hAnsi="Times New Roman" w:cs="Times New Roman"/>
          <w:sz w:val="24"/>
          <w:szCs w:val="24"/>
        </w:rPr>
      </w:pPr>
    </w:p>
    <w:p w14:paraId="0A6E6C85" w14:textId="77777777" w:rsidR="00011179" w:rsidRDefault="00011179" w:rsidP="00011179">
      <w:pPr>
        <w:ind w:firstLine="0"/>
        <w:rPr>
          <w:rFonts w:ascii="Times New Roman" w:hAnsi="Times New Roman" w:cs="Times New Roman"/>
          <w:sz w:val="24"/>
          <w:szCs w:val="24"/>
        </w:rPr>
      </w:pPr>
    </w:p>
    <w:sectPr w:rsidR="00011179" w:rsidSect="00305149">
      <w:headerReference w:type="even" r:id="rId7"/>
      <w:headerReference w:type="default" r:id="rId8"/>
      <w:headerReference w:type="first" r:id="rId9"/>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8629" w14:textId="77777777" w:rsidR="009E72B7" w:rsidRDefault="009E72B7">
      <w:pPr>
        <w:rPr>
          <w:szCs w:val="24"/>
        </w:rPr>
      </w:pPr>
      <w:r>
        <w:rPr>
          <w:szCs w:val="24"/>
        </w:rPr>
        <w:separator/>
      </w:r>
    </w:p>
  </w:endnote>
  <w:endnote w:type="continuationSeparator" w:id="0">
    <w:p w14:paraId="14138451" w14:textId="77777777" w:rsidR="009E72B7" w:rsidRDefault="009E72B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21BD" w14:textId="77777777" w:rsidR="009E72B7" w:rsidRDefault="009E72B7">
      <w:pPr>
        <w:rPr>
          <w:szCs w:val="24"/>
        </w:rPr>
      </w:pPr>
      <w:r>
        <w:rPr>
          <w:szCs w:val="24"/>
        </w:rPr>
        <w:separator/>
      </w:r>
    </w:p>
  </w:footnote>
  <w:footnote w:type="continuationSeparator" w:id="0">
    <w:p w14:paraId="1BDB9125" w14:textId="77777777" w:rsidR="009E72B7" w:rsidRDefault="009E72B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E589" w14:textId="77777777" w:rsidR="00305149" w:rsidRDefault="00305149" w:rsidP="002A4C2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7978006" w14:textId="77777777" w:rsidR="002A4C2A" w:rsidRPr="00305149" w:rsidRDefault="002A4C2A" w:rsidP="00305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40A0" w14:textId="77777777" w:rsidR="00305149" w:rsidRDefault="00305149" w:rsidP="00305149">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B59061B" w14:textId="77777777" w:rsidR="00305149" w:rsidRPr="00305149" w:rsidRDefault="00305149" w:rsidP="003051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0F0A" w14:textId="5B17B077" w:rsidR="002A4C2A" w:rsidRPr="00960100" w:rsidRDefault="00960100" w:rsidP="00233E13">
    <w:pPr>
      <w:pStyle w:val="Antrats"/>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2F"/>
    <w:rsid w:val="00011179"/>
    <w:rsid w:val="000200DD"/>
    <w:rsid w:val="00064043"/>
    <w:rsid w:val="000737E8"/>
    <w:rsid w:val="0009664F"/>
    <w:rsid w:val="000D4508"/>
    <w:rsid w:val="00114CC3"/>
    <w:rsid w:val="00124AA9"/>
    <w:rsid w:val="001C2439"/>
    <w:rsid w:val="00205DF7"/>
    <w:rsid w:val="00233E13"/>
    <w:rsid w:val="00273873"/>
    <w:rsid w:val="002A4C2A"/>
    <w:rsid w:val="00305149"/>
    <w:rsid w:val="00385D9F"/>
    <w:rsid w:val="00393017"/>
    <w:rsid w:val="003C4B99"/>
    <w:rsid w:val="0041359A"/>
    <w:rsid w:val="004B6637"/>
    <w:rsid w:val="00564528"/>
    <w:rsid w:val="0056483F"/>
    <w:rsid w:val="00576AE8"/>
    <w:rsid w:val="005F5B69"/>
    <w:rsid w:val="006144B7"/>
    <w:rsid w:val="006641C2"/>
    <w:rsid w:val="006B5C0A"/>
    <w:rsid w:val="006C4D2F"/>
    <w:rsid w:val="00717AEA"/>
    <w:rsid w:val="00743944"/>
    <w:rsid w:val="007607D8"/>
    <w:rsid w:val="00767C7A"/>
    <w:rsid w:val="007F37FC"/>
    <w:rsid w:val="00813283"/>
    <w:rsid w:val="00855B40"/>
    <w:rsid w:val="008E382A"/>
    <w:rsid w:val="0092411C"/>
    <w:rsid w:val="00960100"/>
    <w:rsid w:val="009E72B7"/>
    <w:rsid w:val="00A24145"/>
    <w:rsid w:val="00AF1CCF"/>
    <w:rsid w:val="00B004C9"/>
    <w:rsid w:val="00B318C1"/>
    <w:rsid w:val="00B614F3"/>
    <w:rsid w:val="00C24058"/>
    <w:rsid w:val="00C46AE8"/>
    <w:rsid w:val="00C552FA"/>
    <w:rsid w:val="00C82AAB"/>
    <w:rsid w:val="00D45648"/>
    <w:rsid w:val="00D832D9"/>
    <w:rsid w:val="00F15DD5"/>
    <w:rsid w:val="00F46FC3"/>
    <w:rsid w:val="00FE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CECA"/>
  <w15:docId w15:val="{5096812F-1293-4B07-B74C-AB52DE81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D832D9"/>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987B23"/>
    <w:rPr>
      <w:color w:val="808080"/>
    </w:rPr>
  </w:style>
  <w:style w:type="paragraph" w:styleId="Antrats">
    <w:name w:val="header"/>
    <w:basedOn w:val="prastasis"/>
    <w:link w:val="AntratsDiagrama"/>
    <w:rsid w:val="00305149"/>
    <w:pPr>
      <w:tabs>
        <w:tab w:val="center" w:pos="4819"/>
        <w:tab w:val="right" w:pos="9638"/>
      </w:tabs>
    </w:pPr>
  </w:style>
  <w:style w:type="character" w:customStyle="1" w:styleId="AntratsDiagrama">
    <w:name w:val="Antraštės Diagrama"/>
    <w:link w:val="Antrats"/>
    <w:rsid w:val="00305149"/>
    <w:rPr>
      <w:sz w:val="24"/>
    </w:rPr>
  </w:style>
  <w:style w:type="paragraph" w:styleId="Porat">
    <w:name w:val="footer"/>
    <w:basedOn w:val="prastasis"/>
    <w:link w:val="PoratDiagrama"/>
    <w:rsid w:val="00305149"/>
    <w:pPr>
      <w:tabs>
        <w:tab w:val="center" w:pos="4819"/>
        <w:tab w:val="right" w:pos="9638"/>
      </w:tabs>
    </w:pPr>
  </w:style>
  <w:style w:type="character" w:customStyle="1" w:styleId="PoratDiagrama">
    <w:name w:val="Poraštė Diagrama"/>
    <w:link w:val="Porat"/>
    <w:rsid w:val="00305149"/>
    <w:rPr>
      <w:sz w:val="24"/>
    </w:rPr>
  </w:style>
  <w:style w:type="character" w:styleId="Puslapionumeris">
    <w:name w:val="page number"/>
    <w:basedOn w:val="Numatytasispastraiposriftas"/>
    <w:rsid w:val="00305149"/>
  </w:style>
  <w:style w:type="character" w:styleId="Komentaronuoroda">
    <w:name w:val="annotation reference"/>
    <w:rsid w:val="0056483F"/>
    <w:rPr>
      <w:sz w:val="16"/>
      <w:szCs w:val="16"/>
    </w:rPr>
  </w:style>
  <w:style w:type="paragraph" w:styleId="Komentarotekstas">
    <w:name w:val="annotation text"/>
    <w:basedOn w:val="prastasis"/>
    <w:link w:val="KomentarotekstasDiagrama"/>
    <w:rsid w:val="0056483F"/>
  </w:style>
  <w:style w:type="character" w:customStyle="1" w:styleId="KomentarotekstasDiagrama">
    <w:name w:val="Komentaro tekstas Diagrama"/>
    <w:link w:val="Komentarotekstas"/>
    <w:rsid w:val="0056483F"/>
    <w:rPr>
      <w:rFonts w:ascii="Arial" w:hAnsi="Arial" w:cs="Arial"/>
      <w:lang w:val="lt-LT" w:eastAsia="lt-LT"/>
    </w:rPr>
  </w:style>
  <w:style w:type="paragraph" w:styleId="Komentarotema">
    <w:name w:val="annotation subject"/>
    <w:basedOn w:val="Komentarotekstas"/>
    <w:next w:val="Komentarotekstas"/>
    <w:link w:val="KomentarotemaDiagrama"/>
    <w:rsid w:val="00C552FA"/>
    <w:rPr>
      <w:b/>
      <w:bCs/>
    </w:rPr>
  </w:style>
  <w:style w:type="character" w:customStyle="1" w:styleId="KomentarotemaDiagrama">
    <w:name w:val="Komentaro tema Diagrama"/>
    <w:link w:val="Komentarotema"/>
    <w:rsid w:val="00C552FA"/>
    <w:rPr>
      <w:rFonts w:ascii="Arial" w:hAnsi="Arial" w:cs="Arial"/>
      <w:b/>
      <w:bCs/>
      <w:lang w:val="lt-LT" w:eastAsia="lt-LT"/>
    </w:rPr>
  </w:style>
  <w:style w:type="paragraph" w:styleId="Pataisymai">
    <w:name w:val="Revision"/>
    <w:hidden/>
    <w:rsid w:val="00C552FA"/>
    <w:rPr>
      <w:rFonts w:ascii="Arial" w:hAnsi="Arial" w:cs="Arial"/>
      <w:lang w:val="lt-LT" w:eastAsia="lt-LT"/>
    </w:rPr>
  </w:style>
  <w:style w:type="table" w:styleId="Lentelstinklelis">
    <w:name w:val="Table Grid"/>
    <w:basedOn w:val="prastojilentel"/>
    <w:rsid w:val="001C2439"/>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57229">
      <w:bodyDiv w:val="1"/>
      <w:marLeft w:val="0"/>
      <w:marRight w:val="0"/>
      <w:marTop w:val="0"/>
      <w:marBottom w:val="0"/>
      <w:divBdr>
        <w:top w:val="none" w:sz="0" w:space="0" w:color="auto"/>
        <w:left w:val="none" w:sz="0" w:space="0" w:color="auto"/>
        <w:bottom w:val="none" w:sz="0" w:space="0" w:color="auto"/>
        <w:right w:val="none" w:sz="0" w:space="0" w:color="auto"/>
      </w:divBdr>
    </w:div>
    <w:div w:id="785854940">
      <w:bodyDiv w:val="1"/>
      <w:marLeft w:val="0"/>
      <w:marRight w:val="0"/>
      <w:marTop w:val="0"/>
      <w:marBottom w:val="0"/>
      <w:divBdr>
        <w:top w:val="none" w:sz="0" w:space="0" w:color="auto"/>
        <w:left w:val="none" w:sz="0" w:space="0" w:color="auto"/>
        <w:bottom w:val="none" w:sz="0" w:space="0" w:color="auto"/>
        <w:right w:val="none" w:sz="0" w:space="0" w:color="auto"/>
      </w:divBdr>
    </w:div>
    <w:div w:id="1357775898">
      <w:bodyDiv w:val="1"/>
      <w:marLeft w:val="0"/>
      <w:marRight w:val="0"/>
      <w:marTop w:val="0"/>
      <w:marBottom w:val="0"/>
      <w:divBdr>
        <w:top w:val="none" w:sz="0" w:space="0" w:color="auto"/>
        <w:left w:val="none" w:sz="0" w:space="0" w:color="auto"/>
        <w:bottom w:val="none" w:sz="0" w:space="0" w:color="auto"/>
        <w:right w:val="none" w:sz="0" w:space="0" w:color="auto"/>
      </w:divBdr>
    </w:div>
    <w:div w:id="1651519838">
      <w:bodyDiv w:val="1"/>
      <w:marLeft w:val="0"/>
      <w:marRight w:val="0"/>
      <w:marTop w:val="0"/>
      <w:marBottom w:val="0"/>
      <w:divBdr>
        <w:top w:val="none" w:sz="0" w:space="0" w:color="auto"/>
        <w:left w:val="none" w:sz="0" w:space="0" w:color="auto"/>
        <w:bottom w:val="none" w:sz="0" w:space="0" w:color="auto"/>
        <w:right w:val="none" w:sz="0" w:space="0" w:color="auto"/>
      </w:divBdr>
    </w:div>
    <w:div w:id="18640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1caa75117984ae9b499628f294068d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21caa75117984ae9b499628f294068d6</Template>
  <TotalTime>2</TotalTime>
  <Pages>4</Pages>
  <Words>1065</Words>
  <Characters>6075</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Mokėjimo už darbą ir budėjimą poilsio ir švenčių dienomis bei pavadavimą, priemokų už padidėjusį darbo krūvį skyrimo ir mokėjimo bendrosios kompetencijos ir specializuotų teismų teisėjams tvarkos aprašo patvirtinimo</vt:lpstr>
      <vt:lpstr>Dėl Mokėjimo už darbą ir budėjimą poilsio ir švenčių dienomis bei pavadavimą, priemokų už padidėjusį darbo krūvį skyrimo ir mokėjimo bendrosios kompetencijos ir specializuotų teismų teisėjams tvarkos aprašo patvirtinimo</vt:lpstr>
    </vt:vector>
  </TitlesOfParts>
  <Company>Infolex</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darbą ir budėjimą poilsio ir švenčių dienomis bei pavadavimą, priemokų už padidėjusį darbo krūvį skyrimo ir mokėjimo bendrosios kompetencijos ir specializuotų teismų teisėjams tvarkos aprašo patvirtinimo</dc:title>
  <dc:subject/>
  <dc:creator>Infolex</dc:creator>
  <cp:keywords/>
  <dc:description/>
  <cp:lastModifiedBy>Alina Dokutovičienė</cp:lastModifiedBy>
  <cp:revision>2</cp:revision>
  <cp:lastPrinted>2021-12-20T07:32:00Z</cp:lastPrinted>
  <dcterms:created xsi:type="dcterms:W3CDTF">2023-11-14T08:43:00Z</dcterms:created>
  <dcterms:modified xsi:type="dcterms:W3CDTF">2023-11-14T08:43:00Z</dcterms:modified>
</cp:coreProperties>
</file>