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8A34" w14:textId="716D47A8" w:rsidR="007812B6" w:rsidRPr="0065339D" w:rsidRDefault="00232A16" w:rsidP="00232A16">
      <w:pPr>
        <w:jc w:val="center"/>
        <w:rPr>
          <w:b/>
          <w:color w:val="000000"/>
          <w:lang w:eastAsia="en-US"/>
        </w:rPr>
      </w:pPr>
      <w:r w:rsidRPr="00232A16">
        <w:rPr>
          <w:b/>
          <w:color w:val="000000"/>
          <w:lang w:eastAsia="en-US"/>
        </w:rPr>
        <w:t>TEISĖJŲ, KURIE YRA MEDIATORIAI, MOKYMO PROGRAMA „MEDIATORIAUS PRAKTINIŲ ĮGŪDŽIŲ TOBULINIMO DIRBTUVĖS“</w:t>
      </w:r>
      <w:r w:rsidRPr="00232A16">
        <w:rPr>
          <w:b/>
          <w:color w:val="000000"/>
          <w:sz w:val="20"/>
          <w:szCs w:val="20"/>
          <w:lang w:eastAsia="en-US"/>
        </w:rPr>
        <w:t xml:space="preserve">  </w:t>
      </w:r>
    </w:p>
    <w:p w14:paraId="792074CA" w14:textId="3A18B5A4" w:rsidR="00101F13" w:rsidRDefault="00070FD5" w:rsidP="00FF05A9">
      <w:pPr>
        <w:pStyle w:val="western"/>
        <w:spacing w:before="0" w:beforeAutospacing="0" w:after="0" w:afterAutospacing="0"/>
        <w:rPr>
          <w:bCs/>
        </w:rPr>
      </w:pPr>
      <w:r w:rsidRPr="0033192F">
        <w:rPr>
          <w:bCs/>
        </w:rPr>
        <w:t xml:space="preserve"> </w:t>
      </w:r>
      <w:r w:rsidR="00101F13" w:rsidRPr="0033192F">
        <w:rPr>
          <w:bCs/>
        </w:rPr>
        <w:t>(seminaro kodas –</w:t>
      </w:r>
      <w:r w:rsidR="00232A16">
        <w:rPr>
          <w:bCs/>
        </w:rPr>
        <w:t xml:space="preserve"> </w:t>
      </w:r>
      <w:r w:rsidR="00492D7E">
        <w:rPr>
          <w:bCs/>
        </w:rPr>
        <w:t>MED</w:t>
      </w:r>
      <w:r w:rsidR="00232A16">
        <w:rPr>
          <w:bCs/>
        </w:rPr>
        <w:t>/PĮTB-</w:t>
      </w:r>
      <w:r w:rsidR="00232A16">
        <w:rPr>
          <w:bCs/>
          <w:lang w:val="en-US"/>
        </w:rPr>
        <w:t>1</w:t>
      </w:r>
      <w:r w:rsidR="00FB171B">
        <w:rPr>
          <w:bCs/>
        </w:rPr>
        <w:t>)</w:t>
      </w:r>
    </w:p>
    <w:p w14:paraId="49511EF7" w14:textId="77777777" w:rsidR="00FF05A9" w:rsidRPr="00C05C3E" w:rsidRDefault="00FF05A9" w:rsidP="00FF05A9">
      <w:pPr>
        <w:pStyle w:val="western"/>
        <w:spacing w:before="0" w:beforeAutospacing="0" w:after="0" w:afterAutospacing="0"/>
        <w:rPr>
          <w:sz w:val="4"/>
          <w:szCs w:val="4"/>
        </w:rPr>
      </w:pPr>
    </w:p>
    <w:p w14:paraId="43DFA266" w14:textId="77777777" w:rsidR="00313E9B" w:rsidRPr="004947DD" w:rsidRDefault="00313E9B" w:rsidP="00BC4226">
      <w:pPr>
        <w:jc w:val="center"/>
        <w:rPr>
          <w:b/>
          <w:color w:val="000000"/>
          <w14:shadow w14:blurRad="50800" w14:dist="38100" w14:dir="2700000" w14:sx="100000" w14:sy="100000" w14:kx="0" w14:ky="0" w14:algn="tl">
            <w14:srgbClr w14:val="000000">
              <w14:alpha w14:val="60000"/>
            </w14:srgbClr>
          </w14:shadow>
        </w:rPr>
      </w:pPr>
    </w:p>
    <w:p w14:paraId="7EBA9075" w14:textId="0C5C16B4" w:rsidR="00101F13" w:rsidRPr="004947DD" w:rsidRDefault="00101F13" w:rsidP="00BC4226">
      <w:pPr>
        <w:jc w:val="center"/>
        <w:rPr>
          <w:b/>
          <w:color w:val="000000"/>
          <w14:shadow w14:blurRad="50800" w14:dist="38100" w14:dir="2700000" w14:sx="100000" w14:sy="100000" w14:kx="0" w14:ky="0" w14:algn="tl">
            <w14:srgbClr w14:val="000000">
              <w14:alpha w14:val="60000"/>
            </w14:srgbClr>
          </w14:shadow>
        </w:rPr>
      </w:pPr>
      <w:r w:rsidRPr="004947DD">
        <w:rPr>
          <w:b/>
          <w:color w:val="000000"/>
          <w14:shadow w14:blurRad="50800" w14:dist="38100" w14:dir="2700000" w14:sx="100000" w14:sy="100000" w14:kx="0" w14:ky="0" w14:algn="tl">
            <w14:srgbClr w14:val="000000">
              <w14:alpha w14:val="60000"/>
            </w14:srgbClr>
          </w14:shadow>
        </w:rPr>
        <w:t>P R O G R A M A</w:t>
      </w:r>
    </w:p>
    <w:p w14:paraId="00992A14" w14:textId="77777777" w:rsidR="00BC4226" w:rsidRPr="004947DD" w:rsidRDefault="00BC4226" w:rsidP="00BC4226">
      <w:pPr>
        <w:jc w:val="center"/>
        <w:rPr>
          <w:b/>
          <w:color w:val="000000"/>
          <w:sz w:val="10"/>
          <w:szCs w:val="10"/>
          <w14:shadow w14:blurRad="50800" w14:dist="38100" w14:dir="2700000" w14:sx="100000" w14:sy="100000" w14:kx="0" w14:ky="0" w14:algn="tl">
            <w14:srgbClr w14:val="000000">
              <w14:alpha w14:val="60000"/>
            </w14:srgbClr>
          </w14:shadow>
        </w:rPr>
      </w:pPr>
    </w:p>
    <w:p w14:paraId="2C3452BE" w14:textId="6ACC152C" w:rsidR="00101F13" w:rsidRDefault="00101F13" w:rsidP="00A81F46">
      <w:pPr>
        <w:jc w:val="center"/>
      </w:pPr>
      <w:r w:rsidRPr="0033192F">
        <w:t>20</w:t>
      </w:r>
      <w:r w:rsidR="00FB171B">
        <w:t>2</w:t>
      </w:r>
      <w:r w:rsidR="00232A16">
        <w:t>4</w:t>
      </w:r>
      <w:r w:rsidR="00FB171B">
        <w:t xml:space="preserve"> </w:t>
      </w:r>
      <w:r w:rsidRPr="0033192F">
        <w:t xml:space="preserve">m. </w:t>
      </w:r>
      <w:r w:rsidR="00232A16">
        <w:t>vasario</w:t>
      </w:r>
      <w:r w:rsidR="00FF64DA">
        <w:t xml:space="preserve"> </w:t>
      </w:r>
      <w:r w:rsidR="00FF64DA">
        <w:rPr>
          <w:lang w:val="en-GB"/>
        </w:rPr>
        <w:t>7-8</w:t>
      </w:r>
      <w:r w:rsidR="00AA4B9A">
        <w:rPr>
          <w:lang w:val="en-US"/>
        </w:rPr>
        <w:t xml:space="preserve"> </w:t>
      </w:r>
      <w:r w:rsidRPr="0033192F">
        <w:t>d.</w:t>
      </w:r>
    </w:p>
    <w:p w14:paraId="60AC4678" w14:textId="77777777" w:rsidR="00313E9B" w:rsidRDefault="00313E9B" w:rsidP="00A81F46">
      <w:pPr>
        <w:jc w:val="center"/>
      </w:pPr>
    </w:p>
    <w:p w14:paraId="02A56599" w14:textId="00A8A41B" w:rsidR="0065339D" w:rsidRDefault="0065339D" w:rsidP="00A81F46">
      <w:pPr>
        <w:jc w:val="center"/>
      </w:pPr>
      <w:r>
        <w:t xml:space="preserve">Molėtai </w:t>
      </w:r>
    </w:p>
    <w:p w14:paraId="6E57009D" w14:textId="77777777" w:rsidR="00101F13" w:rsidRPr="003E5139" w:rsidRDefault="00101F13" w:rsidP="00404B41">
      <w:pPr>
        <w:ind w:right="-262"/>
        <w:rPr>
          <w:color w:val="000000"/>
          <w:sz w:val="10"/>
          <w:szCs w:val="10"/>
        </w:rPr>
      </w:pPr>
    </w:p>
    <w:p w14:paraId="1ABF6CB7" w14:textId="77777777" w:rsidR="00101F13" w:rsidRPr="003E5139" w:rsidRDefault="00101F13" w:rsidP="00F00F8D">
      <w:pPr>
        <w:ind w:right="-262"/>
        <w:jc w:val="center"/>
        <w:rPr>
          <w:color w:val="000000"/>
          <w:sz w:val="10"/>
          <w:szCs w:val="10"/>
        </w:rPr>
      </w:pPr>
    </w:p>
    <w:tbl>
      <w:tblPr>
        <w:tblW w:w="9981" w:type="dxa"/>
        <w:tblInd w:w="-92" w:type="dxa"/>
        <w:tblLook w:val="01E0" w:firstRow="1" w:lastRow="1" w:firstColumn="1" w:lastColumn="1" w:noHBand="0" w:noVBand="0"/>
      </w:tblPr>
      <w:tblGrid>
        <w:gridCol w:w="9981"/>
      </w:tblGrid>
      <w:tr w:rsidR="00101F13" w:rsidRPr="002E588D" w14:paraId="5ACE596E" w14:textId="77777777" w:rsidTr="00C05C3E">
        <w:tc>
          <w:tcPr>
            <w:tcW w:w="9981" w:type="dxa"/>
          </w:tcPr>
          <w:p w14:paraId="3CBA6EB0" w14:textId="0D68F711" w:rsidR="004C6176" w:rsidRPr="002E588D" w:rsidRDefault="00101F13" w:rsidP="00E2514D">
            <w:pPr>
              <w:rPr>
                <w:i/>
                <w:iCs/>
              </w:rPr>
            </w:pPr>
            <w:r w:rsidRPr="002E588D">
              <w:rPr>
                <w:i/>
                <w:iCs/>
              </w:rPr>
              <w:t>Lektor</w:t>
            </w:r>
            <w:r w:rsidR="0065339D">
              <w:rPr>
                <w:i/>
                <w:iCs/>
              </w:rPr>
              <w:t>ė</w:t>
            </w:r>
            <w:r w:rsidR="00232A16">
              <w:rPr>
                <w:i/>
                <w:iCs/>
              </w:rPr>
              <w:t>s</w:t>
            </w:r>
          </w:p>
          <w:p w14:paraId="5F5255D1" w14:textId="09A2F91F" w:rsidR="00FB171B" w:rsidRPr="002E588D" w:rsidRDefault="00FB171B" w:rsidP="00FB171B">
            <w:pPr>
              <w:ind w:right="-1080"/>
              <w:jc w:val="both"/>
              <w:rPr>
                <w:b/>
                <w:i/>
              </w:rPr>
            </w:pPr>
            <w:r w:rsidRPr="00C55D7E">
              <w:rPr>
                <w:b/>
                <w:i/>
              </w:rPr>
              <w:t xml:space="preserve">Prof. dr. </w:t>
            </w:r>
            <w:r w:rsidR="00492D7E" w:rsidRPr="00C55D7E">
              <w:rPr>
                <w:b/>
                <w:i/>
              </w:rPr>
              <w:t>Agnė Tvaronavičienė</w:t>
            </w:r>
          </w:p>
          <w:p w14:paraId="5573FF24" w14:textId="1A86EB55" w:rsidR="000827A6" w:rsidRDefault="00492D7E" w:rsidP="00FF64DA">
            <w:pPr>
              <w:tabs>
                <w:tab w:val="left" w:pos="-92"/>
                <w:tab w:val="left" w:pos="283"/>
              </w:tabs>
              <w:rPr>
                <w:i/>
              </w:rPr>
            </w:pPr>
            <w:r>
              <w:rPr>
                <w:i/>
              </w:rPr>
              <w:t xml:space="preserve">Mykolo Romerio universiteto Viešosios teisės instituto </w:t>
            </w:r>
            <w:r w:rsidR="00B67A0D">
              <w:rPr>
                <w:i/>
              </w:rPr>
              <w:t>profesorė</w:t>
            </w:r>
            <w:r>
              <w:rPr>
                <w:i/>
              </w:rPr>
              <w:t xml:space="preserve">, CEDR akredituota </w:t>
            </w:r>
            <w:proofErr w:type="spellStart"/>
            <w:r>
              <w:rPr>
                <w:i/>
              </w:rPr>
              <w:t>mediatorė</w:t>
            </w:r>
            <w:proofErr w:type="spellEnd"/>
            <w:r>
              <w:rPr>
                <w:i/>
              </w:rPr>
              <w:t>, Lietuvos mediatorių kvalifikacijos egzamino komisijos pirminink</w:t>
            </w:r>
            <w:r w:rsidR="000A3C77">
              <w:rPr>
                <w:i/>
              </w:rPr>
              <w:t>o pavaduotoja</w:t>
            </w:r>
          </w:p>
          <w:p w14:paraId="2AAF5DDF" w14:textId="77777777" w:rsidR="00232A16" w:rsidRDefault="00232A16" w:rsidP="00232A16">
            <w:pPr>
              <w:tabs>
                <w:tab w:val="left" w:pos="-92"/>
                <w:tab w:val="left" w:pos="283"/>
              </w:tabs>
              <w:rPr>
                <w:b/>
                <w:i/>
              </w:rPr>
            </w:pPr>
            <w:r>
              <w:rPr>
                <w:b/>
                <w:i/>
              </w:rPr>
              <w:t>Odeta Intė</w:t>
            </w:r>
          </w:p>
          <w:p w14:paraId="24B10FA7" w14:textId="10BDB8E7" w:rsidR="00232A16" w:rsidRDefault="00232A16" w:rsidP="00232A16">
            <w:pPr>
              <w:ind w:right="-108"/>
              <w:jc w:val="both"/>
              <w:rPr>
                <w:i/>
                <w:iCs/>
              </w:rPr>
            </w:pPr>
            <w:r>
              <w:rPr>
                <w:i/>
                <w:iCs/>
              </w:rPr>
              <w:t xml:space="preserve">Mykolo Romerio universiteto Privatinės teisės instituto lektorė, </w:t>
            </w:r>
            <w:proofErr w:type="spellStart"/>
            <w:r>
              <w:rPr>
                <w:i/>
                <w:iCs/>
              </w:rPr>
              <w:t>mediatorė</w:t>
            </w:r>
            <w:proofErr w:type="spellEnd"/>
          </w:p>
          <w:p w14:paraId="19AB46F8" w14:textId="36784B39" w:rsidR="00232A16" w:rsidRPr="00FF64DA" w:rsidRDefault="00232A16" w:rsidP="00FF64DA">
            <w:pPr>
              <w:tabs>
                <w:tab w:val="left" w:pos="-92"/>
                <w:tab w:val="left" w:pos="283"/>
              </w:tabs>
              <w:rPr>
                <w:i/>
              </w:rPr>
            </w:pPr>
          </w:p>
        </w:tc>
      </w:tr>
    </w:tbl>
    <w:p w14:paraId="356F0F3F" w14:textId="77777777" w:rsidR="00313E9B" w:rsidRDefault="00313E9B" w:rsidP="00FF64DA">
      <w:pPr>
        <w:rPr>
          <w:color w:val="000000"/>
          <w:u w:val="single"/>
        </w:rPr>
      </w:pPr>
    </w:p>
    <w:p w14:paraId="5C693247" w14:textId="60D95A45" w:rsidR="00101F13" w:rsidRDefault="00232A16" w:rsidP="00B30D6B">
      <w:pPr>
        <w:ind w:left="-540" w:firstLine="540"/>
        <w:jc w:val="center"/>
        <w:rPr>
          <w:color w:val="000000"/>
          <w:u w:val="single"/>
        </w:rPr>
      </w:pPr>
      <w:r>
        <w:rPr>
          <w:color w:val="000000"/>
          <w:u w:val="single"/>
        </w:rPr>
        <w:t>Trečiadienis</w:t>
      </w:r>
      <w:r w:rsidR="00101F13" w:rsidRPr="002E588D">
        <w:rPr>
          <w:color w:val="000000"/>
          <w:u w:val="single"/>
        </w:rPr>
        <w:t>, 20</w:t>
      </w:r>
      <w:r w:rsidR="00FB171B" w:rsidRPr="002E588D">
        <w:rPr>
          <w:color w:val="000000"/>
          <w:u w:val="single"/>
        </w:rPr>
        <w:t>2</w:t>
      </w:r>
      <w:r>
        <w:rPr>
          <w:color w:val="000000"/>
          <w:u w:val="single"/>
          <w:lang w:val="en-GB"/>
        </w:rPr>
        <w:t>4</w:t>
      </w:r>
      <w:r w:rsidR="00101F13" w:rsidRPr="002E588D">
        <w:rPr>
          <w:color w:val="000000"/>
          <w:u w:val="single"/>
        </w:rPr>
        <w:t xml:space="preserve"> m. </w:t>
      </w:r>
      <w:r w:rsidR="00313E9B">
        <w:rPr>
          <w:u w:val="single"/>
        </w:rPr>
        <w:t xml:space="preserve"> </w:t>
      </w:r>
      <w:r>
        <w:rPr>
          <w:u w:val="single"/>
        </w:rPr>
        <w:t>vasario</w:t>
      </w:r>
      <w:r w:rsidR="00FF64DA">
        <w:rPr>
          <w:u w:val="single"/>
        </w:rPr>
        <w:t xml:space="preserve"> </w:t>
      </w:r>
      <w:r w:rsidR="00FF64DA">
        <w:rPr>
          <w:u w:val="single"/>
          <w:lang w:val="en-GB"/>
        </w:rPr>
        <w:t>7</w:t>
      </w:r>
      <w:r w:rsidR="00C05C3E">
        <w:rPr>
          <w:u w:val="single"/>
          <w:lang w:val="en-GB"/>
        </w:rPr>
        <w:t xml:space="preserve"> </w:t>
      </w:r>
      <w:r w:rsidR="00101F13" w:rsidRPr="002E588D">
        <w:rPr>
          <w:color w:val="000000"/>
          <w:u w:val="single"/>
        </w:rPr>
        <w:t>d.</w:t>
      </w:r>
    </w:p>
    <w:p w14:paraId="3F49AC5D" w14:textId="77777777" w:rsidR="005C2E92" w:rsidRDefault="005C2E92" w:rsidP="00B30D6B">
      <w:pPr>
        <w:ind w:left="-540" w:firstLine="540"/>
        <w:jc w:val="center"/>
        <w:rPr>
          <w:color w:val="000000"/>
          <w:u w:val="single"/>
        </w:rPr>
      </w:pPr>
    </w:p>
    <w:p w14:paraId="5286B9ED" w14:textId="77777777" w:rsidR="00960CE8" w:rsidRPr="00C05C3E" w:rsidRDefault="00960CE8" w:rsidP="00B30D6B">
      <w:pPr>
        <w:ind w:left="-540" w:firstLine="540"/>
        <w:jc w:val="center"/>
        <w:rPr>
          <w:color w:val="000000"/>
          <w:sz w:val="6"/>
          <w:szCs w:val="6"/>
          <w:u w:val="single"/>
        </w:rPr>
      </w:pPr>
    </w:p>
    <w:tbl>
      <w:tblPr>
        <w:tblW w:w="9900" w:type="dxa"/>
        <w:tblInd w:w="-72" w:type="dxa"/>
        <w:tblLayout w:type="fixed"/>
        <w:tblLook w:val="01E0" w:firstRow="1" w:lastRow="1" w:firstColumn="1" w:lastColumn="1" w:noHBand="0" w:noVBand="0"/>
      </w:tblPr>
      <w:tblGrid>
        <w:gridCol w:w="827"/>
        <w:gridCol w:w="9073"/>
      </w:tblGrid>
      <w:tr w:rsidR="00960CE8" w:rsidRPr="002E588D" w14:paraId="195831F2" w14:textId="77777777" w:rsidTr="007673B9">
        <w:trPr>
          <w:cantSplit/>
        </w:trPr>
        <w:tc>
          <w:tcPr>
            <w:tcW w:w="827" w:type="dxa"/>
          </w:tcPr>
          <w:p w14:paraId="2FF33B5A" w14:textId="043FA463" w:rsidR="00960CE8" w:rsidRPr="002E588D" w:rsidRDefault="00232A16" w:rsidP="00313E9B">
            <w:pPr>
              <w:jc w:val="center"/>
              <w:rPr>
                <w:lang w:val="en-US"/>
              </w:rPr>
            </w:pPr>
            <w:r>
              <w:rPr>
                <w:lang w:val="en-US"/>
              </w:rPr>
              <w:t>9</w:t>
            </w:r>
            <w:r w:rsidR="00C05C3E">
              <w:rPr>
                <w:lang w:val="en-US"/>
              </w:rPr>
              <w:t>.30</w:t>
            </w:r>
          </w:p>
        </w:tc>
        <w:tc>
          <w:tcPr>
            <w:tcW w:w="9073" w:type="dxa"/>
          </w:tcPr>
          <w:p w14:paraId="2138C131" w14:textId="77777777" w:rsidR="00960CE8" w:rsidRPr="002E588D" w:rsidRDefault="00960CE8" w:rsidP="007673B9">
            <w:pPr>
              <w:tabs>
                <w:tab w:val="left" w:pos="8552"/>
                <w:tab w:val="left" w:pos="8732"/>
              </w:tabs>
              <w:ind w:left="-35" w:right="252"/>
              <w:jc w:val="both"/>
              <w:rPr>
                <w:bCs/>
              </w:rPr>
            </w:pPr>
            <w:r w:rsidRPr="002E588D">
              <w:rPr>
                <w:bCs/>
              </w:rPr>
              <w:t>Dalyvių registracija.</w:t>
            </w:r>
          </w:p>
        </w:tc>
      </w:tr>
      <w:tr w:rsidR="00960CE8" w:rsidRPr="002E588D" w14:paraId="6456E724" w14:textId="77777777" w:rsidTr="007673B9">
        <w:trPr>
          <w:cantSplit/>
        </w:trPr>
        <w:tc>
          <w:tcPr>
            <w:tcW w:w="827" w:type="dxa"/>
          </w:tcPr>
          <w:p w14:paraId="6780CCC8" w14:textId="77777777" w:rsidR="00960CE8" w:rsidRPr="002E588D" w:rsidRDefault="00960CE8" w:rsidP="00313E9B">
            <w:pPr>
              <w:jc w:val="center"/>
              <w:rPr>
                <w:sz w:val="10"/>
                <w:szCs w:val="10"/>
                <w:lang w:val="en-US"/>
              </w:rPr>
            </w:pPr>
          </w:p>
        </w:tc>
        <w:tc>
          <w:tcPr>
            <w:tcW w:w="9073" w:type="dxa"/>
          </w:tcPr>
          <w:p w14:paraId="533CF384" w14:textId="77777777" w:rsidR="00960CE8" w:rsidRPr="002E588D" w:rsidRDefault="00960CE8" w:rsidP="007673B9">
            <w:pPr>
              <w:ind w:left="-35"/>
              <w:jc w:val="both"/>
              <w:rPr>
                <w:rFonts w:eastAsia="Calibri"/>
                <w:sz w:val="10"/>
                <w:szCs w:val="10"/>
                <w:lang w:eastAsia="en-US"/>
              </w:rPr>
            </w:pPr>
          </w:p>
        </w:tc>
      </w:tr>
      <w:tr w:rsidR="00960CE8" w:rsidRPr="002E588D" w14:paraId="78026741" w14:textId="77777777" w:rsidTr="007673B9">
        <w:trPr>
          <w:cantSplit/>
        </w:trPr>
        <w:tc>
          <w:tcPr>
            <w:tcW w:w="827" w:type="dxa"/>
          </w:tcPr>
          <w:p w14:paraId="74EE4843" w14:textId="73FBE475" w:rsidR="00960CE8" w:rsidRPr="002E588D" w:rsidRDefault="00232A16" w:rsidP="00313E9B">
            <w:pPr>
              <w:jc w:val="center"/>
              <w:rPr>
                <w:b/>
              </w:rPr>
            </w:pPr>
            <w:r>
              <w:rPr>
                <w:b/>
              </w:rPr>
              <w:t>10</w:t>
            </w:r>
            <w:r w:rsidR="00960CE8" w:rsidRPr="002E588D">
              <w:rPr>
                <w:b/>
              </w:rPr>
              <w:t>.00</w:t>
            </w:r>
          </w:p>
        </w:tc>
        <w:tc>
          <w:tcPr>
            <w:tcW w:w="9073" w:type="dxa"/>
          </w:tcPr>
          <w:p w14:paraId="4C807B2E" w14:textId="0A3C0E63" w:rsidR="00960CE8" w:rsidRPr="002E588D" w:rsidRDefault="00232A16" w:rsidP="00FF64DA">
            <w:pPr>
              <w:ind w:left="-35"/>
              <w:jc w:val="both"/>
              <w:rPr>
                <w:rFonts w:eastAsia="Calibri"/>
                <w:b/>
                <w:color w:val="000000"/>
                <w:lang w:eastAsia="en-US"/>
              </w:rPr>
            </w:pPr>
            <w:r w:rsidRPr="00232A16">
              <w:rPr>
                <w:rFonts w:eastAsia="Calibri"/>
                <w:b/>
                <w:color w:val="000000"/>
                <w:lang w:eastAsia="en-US"/>
              </w:rPr>
              <w:t xml:space="preserve">Mediatoriaus vaidmuo ir funkcijos procese. Pagrindiniai mediatoriaus įrankiai ir jų taikymo praktikoje iššūkiai. Ginčo mediacijai atranka: </w:t>
            </w:r>
            <w:proofErr w:type="spellStart"/>
            <w:r w:rsidRPr="00232A16">
              <w:rPr>
                <w:rFonts w:eastAsia="Calibri"/>
                <w:b/>
                <w:color w:val="000000"/>
                <w:lang w:eastAsia="en-US"/>
              </w:rPr>
              <w:t>medijuotini</w:t>
            </w:r>
            <w:proofErr w:type="spellEnd"/>
            <w:r w:rsidRPr="00232A16">
              <w:rPr>
                <w:rFonts w:eastAsia="Calibri"/>
                <w:b/>
                <w:color w:val="000000"/>
                <w:lang w:eastAsia="en-US"/>
              </w:rPr>
              <w:t xml:space="preserve"> ir </w:t>
            </w:r>
            <w:proofErr w:type="spellStart"/>
            <w:r w:rsidRPr="00232A16">
              <w:rPr>
                <w:rFonts w:eastAsia="Calibri"/>
                <w:b/>
                <w:color w:val="000000"/>
                <w:lang w:eastAsia="en-US"/>
              </w:rPr>
              <w:t>nemedijuotini</w:t>
            </w:r>
            <w:proofErr w:type="spellEnd"/>
            <w:r w:rsidRPr="00232A16">
              <w:rPr>
                <w:rFonts w:eastAsia="Calibri"/>
                <w:b/>
                <w:color w:val="000000"/>
                <w:lang w:eastAsia="en-US"/>
              </w:rPr>
              <w:t xml:space="preserve"> ginčai</w:t>
            </w:r>
            <w:r>
              <w:rPr>
                <w:rFonts w:eastAsia="Calibri"/>
                <w:b/>
                <w:color w:val="000000"/>
                <w:lang w:eastAsia="en-US"/>
              </w:rPr>
              <w:t>.</w:t>
            </w:r>
          </w:p>
        </w:tc>
      </w:tr>
      <w:tr w:rsidR="00960CE8" w:rsidRPr="002E588D" w14:paraId="6601F610" w14:textId="77777777" w:rsidTr="007673B9">
        <w:tc>
          <w:tcPr>
            <w:tcW w:w="827" w:type="dxa"/>
          </w:tcPr>
          <w:p w14:paraId="0F4016C3" w14:textId="77777777" w:rsidR="00960CE8" w:rsidRPr="002E588D" w:rsidRDefault="00960CE8" w:rsidP="00313E9B">
            <w:pPr>
              <w:jc w:val="center"/>
              <w:rPr>
                <w:i/>
                <w:sz w:val="10"/>
                <w:szCs w:val="10"/>
              </w:rPr>
            </w:pPr>
          </w:p>
        </w:tc>
        <w:tc>
          <w:tcPr>
            <w:tcW w:w="9073" w:type="dxa"/>
          </w:tcPr>
          <w:p w14:paraId="28B5EAEB" w14:textId="77777777" w:rsidR="00960CE8" w:rsidRPr="002E588D" w:rsidRDefault="00960CE8" w:rsidP="007673B9">
            <w:pPr>
              <w:tabs>
                <w:tab w:val="left" w:pos="145"/>
              </w:tabs>
              <w:ind w:left="-35"/>
              <w:jc w:val="both"/>
              <w:rPr>
                <w:i/>
                <w:sz w:val="10"/>
                <w:szCs w:val="10"/>
              </w:rPr>
            </w:pPr>
          </w:p>
        </w:tc>
      </w:tr>
      <w:tr w:rsidR="00960CE8" w:rsidRPr="002E588D" w14:paraId="4DC5ECC7" w14:textId="77777777" w:rsidTr="007673B9">
        <w:tc>
          <w:tcPr>
            <w:tcW w:w="827" w:type="dxa"/>
          </w:tcPr>
          <w:p w14:paraId="7449A298" w14:textId="2238B58A" w:rsidR="00960CE8" w:rsidRPr="002E588D" w:rsidRDefault="00960CE8" w:rsidP="00313E9B">
            <w:pPr>
              <w:jc w:val="center"/>
              <w:rPr>
                <w:i/>
              </w:rPr>
            </w:pPr>
            <w:r w:rsidRPr="002E588D">
              <w:rPr>
                <w:i/>
              </w:rPr>
              <w:t>1</w:t>
            </w:r>
            <w:r w:rsidR="00232A16">
              <w:rPr>
                <w:i/>
                <w:lang w:val="en-US"/>
              </w:rPr>
              <w:t>1</w:t>
            </w:r>
            <w:r w:rsidRPr="002E588D">
              <w:rPr>
                <w:i/>
              </w:rPr>
              <w:t>.30</w:t>
            </w:r>
          </w:p>
        </w:tc>
        <w:tc>
          <w:tcPr>
            <w:tcW w:w="9073" w:type="dxa"/>
          </w:tcPr>
          <w:p w14:paraId="47EF98CE" w14:textId="77777777" w:rsidR="00960CE8" w:rsidRPr="002E588D" w:rsidRDefault="00960CE8" w:rsidP="007673B9">
            <w:pPr>
              <w:tabs>
                <w:tab w:val="left" w:pos="145"/>
              </w:tabs>
              <w:ind w:left="-35"/>
              <w:jc w:val="both"/>
              <w:rPr>
                <w:i/>
              </w:rPr>
            </w:pPr>
            <w:r w:rsidRPr="002E588D">
              <w:rPr>
                <w:i/>
              </w:rPr>
              <w:t>Pertrauka</w:t>
            </w:r>
          </w:p>
        </w:tc>
      </w:tr>
      <w:tr w:rsidR="00960CE8" w:rsidRPr="002E588D" w14:paraId="4E28CC6F" w14:textId="77777777" w:rsidTr="007673B9">
        <w:trPr>
          <w:cantSplit/>
        </w:trPr>
        <w:tc>
          <w:tcPr>
            <w:tcW w:w="827" w:type="dxa"/>
          </w:tcPr>
          <w:p w14:paraId="3D19753F" w14:textId="77777777" w:rsidR="00960CE8" w:rsidRPr="002E588D" w:rsidRDefault="00960CE8" w:rsidP="00313E9B">
            <w:pPr>
              <w:jc w:val="center"/>
              <w:rPr>
                <w:b/>
                <w:sz w:val="10"/>
                <w:szCs w:val="10"/>
              </w:rPr>
            </w:pPr>
          </w:p>
        </w:tc>
        <w:tc>
          <w:tcPr>
            <w:tcW w:w="9073" w:type="dxa"/>
          </w:tcPr>
          <w:p w14:paraId="14B3BB65" w14:textId="77777777" w:rsidR="00960CE8" w:rsidRPr="002E588D" w:rsidRDefault="00960CE8" w:rsidP="007673B9">
            <w:pPr>
              <w:tabs>
                <w:tab w:val="left" w:pos="145"/>
                <w:tab w:val="left" w:pos="283"/>
              </w:tabs>
              <w:ind w:left="-35"/>
              <w:jc w:val="both"/>
              <w:rPr>
                <w:b/>
                <w:iCs/>
                <w:sz w:val="10"/>
                <w:szCs w:val="10"/>
              </w:rPr>
            </w:pPr>
          </w:p>
        </w:tc>
      </w:tr>
      <w:tr w:rsidR="00960CE8" w:rsidRPr="002E588D" w14:paraId="7D5E111B" w14:textId="77777777" w:rsidTr="007673B9">
        <w:trPr>
          <w:cantSplit/>
        </w:trPr>
        <w:tc>
          <w:tcPr>
            <w:tcW w:w="827" w:type="dxa"/>
          </w:tcPr>
          <w:p w14:paraId="0E37A7C0" w14:textId="34528F81" w:rsidR="00960CE8" w:rsidRPr="002E588D" w:rsidRDefault="00960CE8" w:rsidP="00313E9B">
            <w:pPr>
              <w:jc w:val="center"/>
              <w:rPr>
                <w:b/>
                <w:sz w:val="10"/>
                <w:szCs w:val="10"/>
              </w:rPr>
            </w:pPr>
            <w:r w:rsidRPr="002E588D">
              <w:rPr>
                <w:b/>
                <w:color w:val="000000"/>
              </w:rPr>
              <w:t>1</w:t>
            </w:r>
            <w:r w:rsidR="00232A16">
              <w:rPr>
                <w:b/>
                <w:color w:val="000000"/>
              </w:rPr>
              <w:t>1</w:t>
            </w:r>
            <w:r w:rsidRPr="002E588D">
              <w:rPr>
                <w:b/>
                <w:color w:val="000000"/>
              </w:rPr>
              <w:t>.45</w:t>
            </w:r>
          </w:p>
        </w:tc>
        <w:tc>
          <w:tcPr>
            <w:tcW w:w="9073" w:type="dxa"/>
          </w:tcPr>
          <w:p w14:paraId="082B3A09" w14:textId="391AB91A" w:rsidR="0065339D" w:rsidRPr="002E588D" w:rsidRDefault="00232A16" w:rsidP="00FF64DA">
            <w:pPr>
              <w:tabs>
                <w:tab w:val="left" w:pos="145"/>
                <w:tab w:val="left" w:pos="283"/>
              </w:tabs>
              <w:ind w:left="-35"/>
              <w:jc w:val="both"/>
              <w:rPr>
                <w:b/>
                <w:bCs/>
              </w:rPr>
            </w:pPr>
            <w:r w:rsidRPr="00232A16">
              <w:rPr>
                <w:b/>
                <w:bCs/>
              </w:rPr>
              <w:t>Pasirengimas mediacijai. Ryšio tarp mediatoriaus ir ginčo šalių bei jų advokatų užmezgimas ir jo svarba mediacijoje. Įvadinis atskiras susitikimas su kiekviena iš ginčo šalių. Mediatoriaus įvadas. Pirminiai šalių pasisakymai. Spręstinų klausimų nustatymas. Vizualizavimas mediacijoje</w:t>
            </w:r>
            <w:r>
              <w:rPr>
                <w:b/>
                <w:bCs/>
              </w:rPr>
              <w:t>.</w:t>
            </w:r>
          </w:p>
        </w:tc>
      </w:tr>
      <w:tr w:rsidR="00960CE8" w:rsidRPr="002E588D" w14:paraId="4435086D" w14:textId="77777777" w:rsidTr="007673B9">
        <w:trPr>
          <w:cantSplit/>
        </w:trPr>
        <w:tc>
          <w:tcPr>
            <w:tcW w:w="827" w:type="dxa"/>
          </w:tcPr>
          <w:p w14:paraId="1CC32E99" w14:textId="77777777" w:rsidR="00960CE8" w:rsidRPr="002E588D" w:rsidRDefault="00960CE8" w:rsidP="00313E9B">
            <w:pPr>
              <w:jc w:val="center"/>
              <w:rPr>
                <w:b/>
                <w:color w:val="000000"/>
                <w:sz w:val="10"/>
                <w:szCs w:val="10"/>
              </w:rPr>
            </w:pPr>
          </w:p>
        </w:tc>
        <w:tc>
          <w:tcPr>
            <w:tcW w:w="9073" w:type="dxa"/>
          </w:tcPr>
          <w:p w14:paraId="06DF6BBE" w14:textId="77777777" w:rsidR="00960CE8" w:rsidRPr="002E588D" w:rsidRDefault="00960CE8" w:rsidP="007673B9">
            <w:pPr>
              <w:tabs>
                <w:tab w:val="left" w:pos="145"/>
                <w:tab w:val="left" w:pos="283"/>
              </w:tabs>
              <w:ind w:left="-35"/>
              <w:jc w:val="both"/>
              <w:rPr>
                <w:b/>
                <w:bCs/>
                <w:sz w:val="10"/>
                <w:szCs w:val="10"/>
              </w:rPr>
            </w:pPr>
          </w:p>
        </w:tc>
      </w:tr>
      <w:tr w:rsidR="00960CE8" w:rsidRPr="002E588D" w14:paraId="0F799CCA" w14:textId="77777777" w:rsidTr="007673B9">
        <w:trPr>
          <w:cantSplit/>
        </w:trPr>
        <w:tc>
          <w:tcPr>
            <w:tcW w:w="827" w:type="dxa"/>
          </w:tcPr>
          <w:p w14:paraId="41912479" w14:textId="764585BB" w:rsidR="00960CE8" w:rsidRPr="002E588D" w:rsidRDefault="00960CE8" w:rsidP="00313E9B">
            <w:pPr>
              <w:jc w:val="center"/>
              <w:rPr>
                <w:i/>
                <w:color w:val="000000"/>
                <w:sz w:val="10"/>
                <w:szCs w:val="10"/>
              </w:rPr>
            </w:pPr>
            <w:r w:rsidRPr="002E588D">
              <w:rPr>
                <w:i/>
              </w:rPr>
              <w:t>1</w:t>
            </w:r>
            <w:r w:rsidR="00232A16">
              <w:rPr>
                <w:i/>
              </w:rPr>
              <w:t>3</w:t>
            </w:r>
            <w:r w:rsidRPr="002E588D">
              <w:rPr>
                <w:i/>
              </w:rPr>
              <w:t>.15</w:t>
            </w:r>
          </w:p>
        </w:tc>
        <w:tc>
          <w:tcPr>
            <w:tcW w:w="9073" w:type="dxa"/>
          </w:tcPr>
          <w:p w14:paraId="78311EDB" w14:textId="77777777" w:rsidR="00960CE8" w:rsidRPr="002E588D" w:rsidRDefault="00960CE8" w:rsidP="007673B9">
            <w:pPr>
              <w:tabs>
                <w:tab w:val="left" w:pos="145"/>
                <w:tab w:val="left" w:pos="283"/>
              </w:tabs>
              <w:ind w:left="-35"/>
              <w:jc w:val="both"/>
              <w:rPr>
                <w:bCs/>
                <w:i/>
                <w:sz w:val="10"/>
                <w:szCs w:val="10"/>
              </w:rPr>
            </w:pPr>
            <w:r w:rsidRPr="002E588D">
              <w:rPr>
                <w:i/>
              </w:rPr>
              <w:t>Pertrauka</w:t>
            </w:r>
          </w:p>
        </w:tc>
      </w:tr>
      <w:tr w:rsidR="00960CE8" w:rsidRPr="002E588D" w14:paraId="1FCCCB4E" w14:textId="77777777" w:rsidTr="007673B9">
        <w:trPr>
          <w:cantSplit/>
        </w:trPr>
        <w:tc>
          <w:tcPr>
            <w:tcW w:w="827" w:type="dxa"/>
          </w:tcPr>
          <w:p w14:paraId="4780B425" w14:textId="77777777" w:rsidR="00960CE8" w:rsidRPr="002E588D" w:rsidRDefault="00960CE8" w:rsidP="00313E9B">
            <w:pPr>
              <w:jc w:val="center"/>
              <w:rPr>
                <w:i/>
                <w:sz w:val="10"/>
                <w:szCs w:val="10"/>
              </w:rPr>
            </w:pPr>
          </w:p>
        </w:tc>
        <w:tc>
          <w:tcPr>
            <w:tcW w:w="9073" w:type="dxa"/>
          </w:tcPr>
          <w:p w14:paraId="2F8BC336" w14:textId="77777777" w:rsidR="00960CE8" w:rsidRPr="002E588D" w:rsidRDefault="00960CE8" w:rsidP="007673B9">
            <w:pPr>
              <w:tabs>
                <w:tab w:val="left" w:pos="145"/>
                <w:tab w:val="left" w:pos="283"/>
              </w:tabs>
              <w:ind w:left="-35"/>
              <w:jc w:val="both"/>
              <w:rPr>
                <w:i/>
                <w:sz w:val="10"/>
                <w:szCs w:val="10"/>
              </w:rPr>
            </w:pPr>
          </w:p>
        </w:tc>
      </w:tr>
      <w:tr w:rsidR="00960CE8" w:rsidRPr="002E588D" w14:paraId="382B013D" w14:textId="77777777" w:rsidTr="007673B9">
        <w:trPr>
          <w:cantSplit/>
        </w:trPr>
        <w:tc>
          <w:tcPr>
            <w:tcW w:w="827" w:type="dxa"/>
          </w:tcPr>
          <w:p w14:paraId="0EA03D44" w14:textId="7AF427D6" w:rsidR="00960CE8" w:rsidRPr="002E588D" w:rsidRDefault="00960CE8" w:rsidP="00313E9B">
            <w:pPr>
              <w:jc w:val="center"/>
              <w:rPr>
                <w:b/>
              </w:rPr>
            </w:pPr>
            <w:r w:rsidRPr="002E588D">
              <w:rPr>
                <w:b/>
              </w:rPr>
              <w:t>1</w:t>
            </w:r>
            <w:r w:rsidR="00232A16">
              <w:rPr>
                <w:b/>
              </w:rPr>
              <w:t>4</w:t>
            </w:r>
            <w:r w:rsidR="00C05C3E">
              <w:rPr>
                <w:b/>
              </w:rPr>
              <w:t>.</w:t>
            </w:r>
            <w:r w:rsidRPr="002E588D">
              <w:rPr>
                <w:b/>
              </w:rPr>
              <w:t>00</w:t>
            </w:r>
          </w:p>
        </w:tc>
        <w:tc>
          <w:tcPr>
            <w:tcW w:w="9073" w:type="dxa"/>
          </w:tcPr>
          <w:p w14:paraId="238B7598" w14:textId="686F0219" w:rsidR="0065339D" w:rsidRPr="002E588D" w:rsidRDefault="00232A16" w:rsidP="00FF64DA">
            <w:pPr>
              <w:tabs>
                <w:tab w:val="left" w:pos="145"/>
                <w:tab w:val="left" w:pos="283"/>
              </w:tabs>
              <w:ind w:left="-35"/>
              <w:jc w:val="both"/>
              <w:rPr>
                <w:b/>
                <w:bCs/>
              </w:rPr>
            </w:pPr>
            <w:r w:rsidRPr="00232A16">
              <w:rPr>
                <w:b/>
                <w:bCs/>
              </w:rPr>
              <w:t>Interesų aiškinimosi stadija: tikslai ir taktikos. Interesų žemėlapio technika ir jos praktinis panaudojimas. Atskiri susitikimai mediacijoje</w:t>
            </w:r>
            <w:r>
              <w:rPr>
                <w:b/>
                <w:bCs/>
              </w:rPr>
              <w:t>.</w:t>
            </w:r>
          </w:p>
        </w:tc>
      </w:tr>
      <w:tr w:rsidR="00960CE8" w:rsidRPr="002E588D" w14:paraId="436C6515" w14:textId="77777777" w:rsidTr="007673B9">
        <w:trPr>
          <w:cantSplit/>
        </w:trPr>
        <w:tc>
          <w:tcPr>
            <w:tcW w:w="827" w:type="dxa"/>
          </w:tcPr>
          <w:p w14:paraId="64DB63C4" w14:textId="77777777" w:rsidR="00960CE8" w:rsidRPr="002E588D" w:rsidRDefault="00960CE8" w:rsidP="00313E9B">
            <w:pPr>
              <w:jc w:val="center"/>
              <w:rPr>
                <w:b/>
                <w:sz w:val="10"/>
                <w:szCs w:val="10"/>
              </w:rPr>
            </w:pPr>
          </w:p>
        </w:tc>
        <w:tc>
          <w:tcPr>
            <w:tcW w:w="9073" w:type="dxa"/>
          </w:tcPr>
          <w:p w14:paraId="4F8F318A" w14:textId="77777777" w:rsidR="00960CE8" w:rsidRPr="002E588D" w:rsidRDefault="00960CE8" w:rsidP="007673B9">
            <w:pPr>
              <w:tabs>
                <w:tab w:val="left" w:pos="145"/>
                <w:tab w:val="left" w:pos="283"/>
              </w:tabs>
              <w:ind w:left="-35"/>
              <w:jc w:val="both"/>
              <w:rPr>
                <w:rFonts w:eastAsia="Calibri"/>
                <w:b/>
                <w:bCs/>
                <w:sz w:val="10"/>
                <w:szCs w:val="10"/>
                <w:lang w:eastAsia="en-US"/>
              </w:rPr>
            </w:pPr>
          </w:p>
        </w:tc>
      </w:tr>
      <w:tr w:rsidR="00960CE8" w:rsidRPr="002E588D" w14:paraId="43FFC80F" w14:textId="77777777" w:rsidTr="007673B9">
        <w:trPr>
          <w:cantSplit/>
        </w:trPr>
        <w:tc>
          <w:tcPr>
            <w:tcW w:w="827" w:type="dxa"/>
          </w:tcPr>
          <w:p w14:paraId="306EAA53" w14:textId="0F827701" w:rsidR="00960CE8" w:rsidRPr="002E588D" w:rsidRDefault="00960CE8" w:rsidP="00313E9B">
            <w:pPr>
              <w:jc w:val="center"/>
              <w:rPr>
                <w:i/>
              </w:rPr>
            </w:pPr>
            <w:r w:rsidRPr="002E588D">
              <w:rPr>
                <w:i/>
              </w:rPr>
              <w:t>1</w:t>
            </w:r>
            <w:r w:rsidR="00232A16">
              <w:rPr>
                <w:i/>
              </w:rPr>
              <w:t>5</w:t>
            </w:r>
            <w:r w:rsidRPr="002E588D">
              <w:rPr>
                <w:i/>
              </w:rPr>
              <w:t>.30</w:t>
            </w:r>
          </w:p>
        </w:tc>
        <w:tc>
          <w:tcPr>
            <w:tcW w:w="9073" w:type="dxa"/>
          </w:tcPr>
          <w:p w14:paraId="208907DF" w14:textId="77777777" w:rsidR="00960CE8" w:rsidRPr="002E588D" w:rsidRDefault="00960CE8" w:rsidP="007673B9">
            <w:pPr>
              <w:tabs>
                <w:tab w:val="left" w:pos="145"/>
                <w:tab w:val="left" w:pos="283"/>
              </w:tabs>
              <w:ind w:left="-35"/>
              <w:jc w:val="both"/>
              <w:rPr>
                <w:i/>
                <w:iCs/>
              </w:rPr>
            </w:pPr>
            <w:r w:rsidRPr="002E588D">
              <w:rPr>
                <w:i/>
              </w:rPr>
              <w:t>Pertrauka</w:t>
            </w:r>
          </w:p>
        </w:tc>
      </w:tr>
      <w:tr w:rsidR="00960CE8" w:rsidRPr="002E588D" w14:paraId="363C05C5" w14:textId="77777777" w:rsidTr="007673B9">
        <w:trPr>
          <w:cantSplit/>
        </w:trPr>
        <w:tc>
          <w:tcPr>
            <w:tcW w:w="827" w:type="dxa"/>
          </w:tcPr>
          <w:p w14:paraId="46AABD51" w14:textId="77777777" w:rsidR="00960CE8" w:rsidRPr="002E588D" w:rsidRDefault="00960CE8" w:rsidP="00313E9B">
            <w:pPr>
              <w:jc w:val="center"/>
              <w:rPr>
                <w:i/>
                <w:sz w:val="10"/>
                <w:szCs w:val="10"/>
              </w:rPr>
            </w:pPr>
          </w:p>
        </w:tc>
        <w:tc>
          <w:tcPr>
            <w:tcW w:w="9073" w:type="dxa"/>
          </w:tcPr>
          <w:p w14:paraId="1F2DAC69" w14:textId="77777777" w:rsidR="00960CE8" w:rsidRPr="002E588D" w:rsidRDefault="00960CE8" w:rsidP="007673B9">
            <w:pPr>
              <w:tabs>
                <w:tab w:val="left" w:pos="145"/>
                <w:tab w:val="left" w:pos="283"/>
              </w:tabs>
              <w:ind w:left="-35"/>
              <w:jc w:val="both"/>
              <w:rPr>
                <w:i/>
                <w:sz w:val="10"/>
                <w:szCs w:val="10"/>
              </w:rPr>
            </w:pPr>
          </w:p>
        </w:tc>
      </w:tr>
      <w:tr w:rsidR="00960CE8" w:rsidRPr="002E588D" w14:paraId="5C836478" w14:textId="77777777" w:rsidTr="007673B9">
        <w:trPr>
          <w:cantSplit/>
        </w:trPr>
        <w:tc>
          <w:tcPr>
            <w:tcW w:w="827" w:type="dxa"/>
          </w:tcPr>
          <w:p w14:paraId="37B6374D" w14:textId="21D950F1" w:rsidR="00960CE8" w:rsidRPr="002E588D" w:rsidRDefault="00960CE8" w:rsidP="00313E9B">
            <w:pPr>
              <w:jc w:val="center"/>
              <w:rPr>
                <w:b/>
                <w:bCs/>
                <w:iCs/>
              </w:rPr>
            </w:pPr>
            <w:r w:rsidRPr="002E588D">
              <w:rPr>
                <w:b/>
                <w:bCs/>
                <w:iCs/>
              </w:rPr>
              <w:t>1</w:t>
            </w:r>
            <w:r w:rsidR="00232A16">
              <w:rPr>
                <w:b/>
                <w:bCs/>
                <w:iCs/>
              </w:rPr>
              <w:t>5</w:t>
            </w:r>
            <w:r w:rsidRPr="002E588D">
              <w:rPr>
                <w:b/>
                <w:bCs/>
                <w:iCs/>
              </w:rPr>
              <w:t>.45</w:t>
            </w:r>
          </w:p>
        </w:tc>
        <w:tc>
          <w:tcPr>
            <w:tcW w:w="9073" w:type="dxa"/>
          </w:tcPr>
          <w:p w14:paraId="64744B8E" w14:textId="054E9109" w:rsidR="0065339D" w:rsidRPr="00FF64DA" w:rsidRDefault="00232A16" w:rsidP="00FF64DA">
            <w:pPr>
              <w:tabs>
                <w:tab w:val="left" w:pos="145"/>
                <w:tab w:val="left" w:pos="283"/>
              </w:tabs>
              <w:ind w:left="-35"/>
              <w:jc w:val="both"/>
              <w:rPr>
                <w:b/>
                <w:bCs/>
              </w:rPr>
            </w:pPr>
            <w:r w:rsidRPr="00232A16">
              <w:rPr>
                <w:b/>
                <w:bCs/>
              </w:rPr>
              <w:t>Ginčo sprendimo alternatyvų paieška: skatinimo metodai ir technikos. Ginčo sprendimo alternatyvų atranka ir išsamus rizikų vertinimas</w:t>
            </w:r>
            <w:r>
              <w:rPr>
                <w:b/>
                <w:bCs/>
              </w:rPr>
              <w:t>.</w:t>
            </w:r>
          </w:p>
        </w:tc>
      </w:tr>
      <w:tr w:rsidR="00960CE8" w:rsidRPr="002E588D" w14:paraId="100330AF" w14:textId="77777777" w:rsidTr="007673B9">
        <w:trPr>
          <w:cantSplit/>
        </w:trPr>
        <w:tc>
          <w:tcPr>
            <w:tcW w:w="827" w:type="dxa"/>
          </w:tcPr>
          <w:p w14:paraId="37B24049" w14:textId="77777777" w:rsidR="00960CE8" w:rsidRPr="002E588D" w:rsidRDefault="00960CE8" w:rsidP="00313E9B">
            <w:pPr>
              <w:jc w:val="center"/>
              <w:rPr>
                <w:b/>
                <w:bCs/>
                <w:iCs/>
                <w:sz w:val="10"/>
                <w:szCs w:val="10"/>
              </w:rPr>
            </w:pPr>
          </w:p>
        </w:tc>
        <w:tc>
          <w:tcPr>
            <w:tcW w:w="9073" w:type="dxa"/>
          </w:tcPr>
          <w:p w14:paraId="4C59118D" w14:textId="77777777" w:rsidR="00960CE8" w:rsidRPr="002E588D" w:rsidRDefault="00960CE8" w:rsidP="007673B9">
            <w:pPr>
              <w:tabs>
                <w:tab w:val="left" w:pos="145"/>
                <w:tab w:val="left" w:pos="283"/>
              </w:tabs>
              <w:ind w:left="-35"/>
              <w:jc w:val="both"/>
              <w:rPr>
                <w:b/>
                <w:bCs/>
                <w:sz w:val="10"/>
                <w:szCs w:val="10"/>
              </w:rPr>
            </w:pPr>
          </w:p>
        </w:tc>
      </w:tr>
      <w:tr w:rsidR="00960CE8" w:rsidRPr="002E588D" w14:paraId="5E018B3B" w14:textId="77777777" w:rsidTr="007673B9">
        <w:trPr>
          <w:cantSplit/>
        </w:trPr>
        <w:tc>
          <w:tcPr>
            <w:tcW w:w="827" w:type="dxa"/>
          </w:tcPr>
          <w:p w14:paraId="656F509C" w14:textId="031F6E84" w:rsidR="00960CE8" w:rsidRPr="002E588D" w:rsidRDefault="00960CE8" w:rsidP="00313E9B">
            <w:pPr>
              <w:jc w:val="center"/>
              <w:rPr>
                <w:i/>
              </w:rPr>
            </w:pPr>
            <w:r w:rsidRPr="002E588D">
              <w:rPr>
                <w:i/>
              </w:rPr>
              <w:t>1</w:t>
            </w:r>
            <w:r w:rsidR="00FF64DA">
              <w:rPr>
                <w:i/>
                <w:lang w:val="en-GB"/>
              </w:rPr>
              <w:t>7</w:t>
            </w:r>
            <w:r w:rsidRPr="002E588D">
              <w:rPr>
                <w:i/>
              </w:rPr>
              <w:t>.</w:t>
            </w:r>
            <w:r w:rsidR="00232A16">
              <w:rPr>
                <w:i/>
              </w:rPr>
              <w:t>15</w:t>
            </w:r>
          </w:p>
        </w:tc>
        <w:tc>
          <w:tcPr>
            <w:tcW w:w="9073" w:type="dxa"/>
          </w:tcPr>
          <w:p w14:paraId="7A7462DC" w14:textId="77777777" w:rsidR="00960CE8" w:rsidRPr="002E588D" w:rsidRDefault="00960CE8" w:rsidP="007673B9">
            <w:pPr>
              <w:tabs>
                <w:tab w:val="left" w:pos="145"/>
                <w:tab w:val="left" w:pos="283"/>
              </w:tabs>
              <w:ind w:left="-35"/>
              <w:jc w:val="both"/>
              <w:rPr>
                <w:i/>
              </w:rPr>
            </w:pPr>
            <w:r>
              <w:rPr>
                <w:i/>
              </w:rPr>
              <w:t>Pirmos</w:t>
            </w:r>
            <w:r w:rsidRPr="002E588D">
              <w:rPr>
                <w:i/>
              </w:rPr>
              <w:t xml:space="preserve"> seminaro dienos pabaiga.</w:t>
            </w:r>
          </w:p>
        </w:tc>
      </w:tr>
    </w:tbl>
    <w:p w14:paraId="34DF5615" w14:textId="77777777" w:rsidR="00313E9B" w:rsidRDefault="00313E9B" w:rsidP="00FF64DA">
      <w:pPr>
        <w:rPr>
          <w:color w:val="000000"/>
          <w:u w:val="single"/>
        </w:rPr>
      </w:pPr>
    </w:p>
    <w:p w14:paraId="5E4A5742" w14:textId="77777777" w:rsidR="00232A16" w:rsidRDefault="00232A16" w:rsidP="00FF64DA">
      <w:pPr>
        <w:rPr>
          <w:color w:val="000000"/>
          <w:u w:val="single"/>
        </w:rPr>
      </w:pPr>
    </w:p>
    <w:p w14:paraId="27AB695D" w14:textId="77777777" w:rsidR="00232A16" w:rsidRDefault="00232A16" w:rsidP="00FF64DA">
      <w:pPr>
        <w:rPr>
          <w:color w:val="000000"/>
          <w:u w:val="single"/>
        </w:rPr>
      </w:pPr>
    </w:p>
    <w:p w14:paraId="75E76C45" w14:textId="77777777" w:rsidR="00232A16" w:rsidRDefault="00232A16" w:rsidP="00FF64DA">
      <w:pPr>
        <w:rPr>
          <w:color w:val="000000"/>
          <w:u w:val="single"/>
        </w:rPr>
      </w:pPr>
    </w:p>
    <w:p w14:paraId="6925643F" w14:textId="77777777" w:rsidR="00232A16" w:rsidRDefault="00232A16" w:rsidP="00FF64DA">
      <w:pPr>
        <w:rPr>
          <w:color w:val="000000"/>
          <w:u w:val="single"/>
        </w:rPr>
      </w:pPr>
    </w:p>
    <w:p w14:paraId="073EEDCE" w14:textId="77777777" w:rsidR="00232A16" w:rsidRDefault="00232A16" w:rsidP="00FF64DA">
      <w:pPr>
        <w:rPr>
          <w:color w:val="000000"/>
          <w:u w:val="single"/>
        </w:rPr>
      </w:pPr>
    </w:p>
    <w:p w14:paraId="6AD18408" w14:textId="77777777" w:rsidR="00232A16" w:rsidRDefault="00232A16" w:rsidP="00FF64DA">
      <w:pPr>
        <w:rPr>
          <w:color w:val="000000"/>
          <w:u w:val="single"/>
        </w:rPr>
      </w:pPr>
    </w:p>
    <w:p w14:paraId="135B9360" w14:textId="77777777" w:rsidR="00232A16" w:rsidRDefault="00232A16" w:rsidP="00FF64DA">
      <w:pPr>
        <w:rPr>
          <w:color w:val="000000"/>
          <w:u w:val="single"/>
        </w:rPr>
      </w:pPr>
    </w:p>
    <w:p w14:paraId="732FFF0D" w14:textId="77777777" w:rsidR="00232A16" w:rsidRDefault="00232A16" w:rsidP="00FF64DA">
      <w:pPr>
        <w:rPr>
          <w:color w:val="000000"/>
          <w:u w:val="single"/>
        </w:rPr>
      </w:pPr>
    </w:p>
    <w:p w14:paraId="463D90B6" w14:textId="77777777" w:rsidR="00232A16" w:rsidRDefault="00232A16" w:rsidP="00FF64DA">
      <w:pPr>
        <w:rPr>
          <w:color w:val="000000"/>
          <w:u w:val="single"/>
        </w:rPr>
      </w:pPr>
    </w:p>
    <w:p w14:paraId="75081290" w14:textId="77777777" w:rsidR="00232A16" w:rsidRDefault="00232A16" w:rsidP="00FF64DA">
      <w:pPr>
        <w:rPr>
          <w:color w:val="000000"/>
          <w:u w:val="single"/>
        </w:rPr>
      </w:pPr>
    </w:p>
    <w:p w14:paraId="5F4B5F7E" w14:textId="77777777" w:rsidR="00232A16" w:rsidRDefault="00232A16" w:rsidP="00FF64DA">
      <w:pPr>
        <w:rPr>
          <w:color w:val="000000"/>
          <w:u w:val="single"/>
        </w:rPr>
      </w:pPr>
    </w:p>
    <w:p w14:paraId="08CE4462" w14:textId="77777777" w:rsidR="00232A16" w:rsidRDefault="00232A16" w:rsidP="00FF64DA">
      <w:pPr>
        <w:rPr>
          <w:color w:val="000000"/>
          <w:u w:val="single"/>
        </w:rPr>
      </w:pPr>
    </w:p>
    <w:p w14:paraId="0C4C2637" w14:textId="77777777" w:rsidR="00232A16" w:rsidRDefault="00232A16" w:rsidP="00FF64DA">
      <w:pPr>
        <w:rPr>
          <w:color w:val="000000"/>
          <w:u w:val="single"/>
        </w:rPr>
      </w:pPr>
    </w:p>
    <w:p w14:paraId="00872934" w14:textId="77777777" w:rsidR="00232A16" w:rsidRDefault="00232A16" w:rsidP="00FF64DA">
      <w:pPr>
        <w:rPr>
          <w:color w:val="000000"/>
          <w:u w:val="single"/>
        </w:rPr>
      </w:pPr>
    </w:p>
    <w:p w14:paraId="45FECCB2" w14:textId="77777777" w:rsidR="00232A16" w:rsidRDefault="00232A16" w:rsidP="00FF64DA">
      <w:pPr>
        <w:rPr>
          <w:color w:val="000000"/>
          <w:u w:val="single"/>
        </w:rPr>
      </w:pPr>
    </w:p>
    <w:p w14:paraId="76EC24D1" w14:textId="24AC6F22" w:rsidR="00960CE8" w:rsidRDefault="00232A16" w:rsidP="00960CE8">
      <w:pPr>
        <w:jc w:val="center"/>
        <w:rPr>
          <w:color w:val="000000"/>
          <w:u w:val="single"/>
        </w:rPr>
      </w:pPr>
      <w:r>
        <w:rPr>
          <w:color w:val="000000"/>
          <w:u w:val="single"/>
        </w:rPr>
        <w:t>Ketvirtadienis</w:t>
      </w:r>
      <w:r w:rsidR="00960CE8" w:rsidRPr="002E588D">
        <w:rPr>
          <w:color w:val="000000"/>
          <w:u w:val="single"/>
        </w:rPr>
        <w:t>, 202</w:t>
      </w:r>
      <w:r>
        <w:rPr>
          <w:color w:val="000000"/>
          <w:u w:val="single"/>
          <w:lang w:val="en-GB"/>
        </w:rPr>
        <w:t>4</w:t>
      </w:r>
      <w:r w:rsidR="00960CE8" w:rsidRPr="002E588D">
        <w:rPr>
          <w:color w:val="000000"/>
          <w:u w:val="single"/>
        </w:rPr>
        <w:t xml:space="preserve"> m. </w:t>
      </w:r>
      <w:r>
        <w:rPr>
          <w:u w:val="single"/>
        </w:rPr>
        <w:t>vasario</w:t>
      </w:r>
      <w:r w:rsidR="00FF64DA">
        <w:rPr>
          <w:u w:val="single"/>
        </w:rPr>
        <w:t xml:space="preserve"> </w:t>
      </w:r>
      <w:r w:rsidR="00FF64DA">
        <w:rPr>
          <w:u w:val="single"/>
          <w:lang w:val="en-GB"/>
        </w:rPr>
        <w:t>8</w:t>
      </w:r>
      <w:r w:rsidR="005E7D71">
        <w:rPr>
          <w:u w:val="single"/>
        </w:rPr>
        <w:t xml:space="preserve"> </w:t>
      </w:r>
      <w:r w:rsidR="00960CE8" w:rsidRPr="002E588D">
        <w:rPr>
          <w:color w:val="000000"/>
          <w:u w:val="single"/>
        </w:rPr>
        <w:t>d.</w:t>
      </w:r>
    </w:p>
    <w:p w14:paraId="53F79A69" w14:textId="77777777" w:rsidR="005C2E92" w:rsidRPr="002E588D" w:rsidRDefault="005C2E92" w:rsidP="00960CE8">
      <w:pPr>
        <w:jc w:val="center"/>
        <w:rPr>
          <w:color w:val="000000"/>
          <w:u w:val="single"/>
        </w:rPr>
      </w:pPr>
    </w:p>
    <w:p w14:paraId="4ABABAF7" w14:textId="77777777" w:rsidR="00101F13" w:rsidRPr="00C05C3E" w:rsidRDefault="00101F13" w:rsidP="00404B41">
      <w:pPr>
        <w:rPr>
          <w:color w:val="000000"/>
          <w:sz w:val="6"/>
          <w:szCs w:val="6"/>
          <w:u w:val="single"/>
        </w:rPr>
      </w:pPr>
    </w:p>
    <w:tbl>
      <w:tblPr>
        <w:tblW w:w="9961" w:type="dxa"/>
        <w:tblInd w:w="-72" w:type="dxa"/>
        <w:tblLayout w:type="fixed"/>
        <w:tblLook w:val="01E0" w:firstRow="1" w:lastRow="1" w:firstColumn="1" w:lastColumn="1" w:noHBand="0" w:noVBand="0"/>
      </w:tblPr>
      <w:tblGrid>
        <w:gridCol w:w="827"/>
        <w:gridCol w:w="9134"/>
      </w:tblGrid>
      <w:tr w:rsidR="00101F13" w:rsidRPr="002E588D" w14:paraId="0468093A" w14:textId="77777777" w:rsidTr="00C05C3E">
        <w:tc>
          <w:tcPr>
            <w:tcW w:w="827" w:type="dxa"/>
          </w:tcPr>
          <w:p w14:paraId="3437E627" w14:textId="092619D1" w:rsidR="00101F13" w:rsidRPr="002E588D" w:rsidRDefault="00313E9B" w:rsidP="00313E9B">
            <w:pPr>
              <w:jc w:val="center"/>
              <w:rPr>
                <w:b/>
                <w:color w:val="000000"/>
                <w:sz w:val="20"/>
                <w:szCs w:val="20"/>
              </w:rPr>
            </w:pPr>
            <w:r>
              <w:rPr>
                <w:b/>
                <w:color w:val="000000"/>
              </w:rPr>
              <w:t>8</w:t>
            </w:r>
            <w:r w:rsidR="00101F13" w:rsidRPr="002E588D">
              <w:rPr>
                <w:b/>
                <w:color w:val="000000"/>
              </w:rPr>
              <w:t>.</w:t>
            </w:r>
            <w:r>
              <w:rPr>
                <w:b/>
                <w:color w:val="000000"/>
              </w:rPr>
              <w:t>3</w:t>
            </w:r>
            <w:r w:rsidR="00101F13" w:rsidRPr="002E588D">
              <w:rPr>
                <w:b/>
                <w:color w:val="000000"/>
              </w:rPr>
              <w:t>0</w:t>
            </w:r>
          </w:p>
        </w:tc>
        <w:tc>
          <w:tcPr>
            <w:tcW w:w="9134" w:type="dxa"/>
          </w:tcPr>
          <w:p w14:paraId="5DA0FF1E" w14:textId="00D56BAC" w:rsidR="00C86623" w:rsidRPr="00FF64DA" w:rsidRDefault="004947DD" w:rsidP="00FF64DA">
            <w:pPr>
              <w:pStyle w:val="western"/>
              <w:spacing w:before="0" w:beforeAutospacing="0" w:after="0" w:afterAutospacing="0"/>
              <w:ind w:left="-34"/>
              <w:jc w:val="both"/>
              <w:rPr>
                <w:rFonts w:eastAsia="Calibri"/>
                <w:b/>
                <w:color w:val="000000"/>
                <w:lang w:eastAsia="en-US"/>
              </w:rPr>
            </w:pPr>
            <w:r>
              <w:rPr>
                <w:rFonts w:eastAsia="Calibri"/>
                <w:b/>
                <w:color w:val="000000"/>
                <w:lang w:eastAsia="en-US"/>
              </w:rPr>
              <w:t xml:space="preserve">1 pogrupis - </w:t>
            </w:r>
            <w:proofErr w:type="spellStart"/>
            <w:r>
              <w:rPr>
                <w:rFonts w:eastAsia="Calibri"/>
                <w:b/>
                <w:color w:val="000000"/>
                <w:lang w:eastAsia="en-US"/>
              </w:rPr>
              <w:t>s</w:t>
            </w:r>
            <w:r w:rsidR="00232A16" w:rsidRPr="00232A16">
              <w:rPr>
                <w:rFonts w:eastAsia="Calibri"/>
                <w:b/>
                <w:color w:val="000000"/>
                <w:lang w:eastAsia="en-US"/>
              </w:rPr>
              <w:t>upervizija</w:t>
            </w:r>
            <w:proofErr w:type="spellEnd"/>
            <w:r w:rsidR="00232A16" w:rsidRPr="00232A16">
              <w:rPr>
                <w:rFonts w:eastAsia="Calibri"/>
                <w:b/>
                <w:color w:val="000000"/>
                <w:lang w:eastAsia="en-US"/>
              </w:rPr>
              <w:t xml:space="preserve">. </w:t>
            </w:r>
            <w:r>
              <w:rPr>
                <w:rFonts w:eastAsia="Calibri"/>
                <w:b/>
                <w:color w:val="000000"/>
                <w:lang w:eastAsia="en-US"/>
              </w:rPr>
              <w:t>2 pogrupis - m</w:t>
            </w:r>
            <w:r w:rsidR="00232A16" w:rsidRPr="00232A16">
              <w:rPr>
                <w:rFonts w:eastAsia="Calibri"/>
                <w:b/>
                <w:color w:val="000000"/>
                <w:lang w:eastAsia="en-US"/>
              </w:rPr>
              <w:t>ediacijos simuliacija</w:t>
            </w:r>
            <w:r w:rsidR="00232A16">
              <w:rPr>
                <w:rFonts w:eastAsia="Calibri"/>
                <w:b/>
                <w:color w:val="000000"/>
                <w:lang w:eastAsia="en-US"/>
              </w:rPr>
              <w:t>.</w:t>
            </w:r>
          </w:p>
        </w:tc>
      </w:tr>
      <w:tr w:rsidR="00101F13" w:rsidRPr="002E588D" w14:paraId="535032CA" w14:textId="77777777" w:rsidTr="00C05C3E">
        <w:tc>
          <w:tcPr>
            <w:tcW w:w="827" w:type="dxa"/>
          </w:tcPr>
          <w:p w14:paraId="2636BC0E" w14:textId="43AAC5CD" w:rsidR="00101F13" w:rsidRPr="002E588D" w:rsidRDefault="00101F13" w:rsidP="00313E9B">
            <w:pPr>
              <w:jc w:val="center"/>
              <w:rPr>
                <w:b/>
                <w:color w:val="000000"/>
                <w:sz w:val="10"/>
                <w:szCs w:val="10"/>
              </w:rPr>
            </w:pPr>
          </w:p>
        </w:tc>
        <w:tc>
          <w:tcPr>
            <w:tcW w:w="9134" w:type="dxa"/>
          </w:tcPr>
          <w:p w14:paraId="1CD93197" w14:textId="77777777" w:rsidR="00101F13" w:rsidRPr="002E588D" w:rsidRDefault="00101F13" w:rsidP="00535F3C">
            <w:pPr>
              <w:jc w:val="both"/>
              <w:rPr>
                <w:i/>
                <w:color w:val="000000"/>
                <w:sz w:val="10"/>
                <w:szCs w:val="10"/>
              </w:rPr>
            </w:pPr>
          </w:p>
        </w:tc>
      </w:tr>
      <w:tr w:rsidR="00101F13" w:rsidRPr="002E588D" w14:paraId="37ACBD12" w14:textId="77777777" w:rsidTr="00C05C3E">
        <w:tc>
          <w:tcPr>
            <w:tcW w:w="827" w:type="dxa"/>
          </w:tcPr>
          <w:p w14:paraId="46B94D6B" w14:textId="128C5CD6" w:rsidR="00101F13" w:rsidRPr="002E588D" w:rsidRDefault="00101F13" w:rsidP="00313E9B">
            <w:pPr>
              <w:jc w:val="center"/>
              <w:rPr>
                <w:i/>
                <w:color w:val="000000"/>
              </w:rPr>
            </w:pPr>
            <w:r w:rsidRPr="002E588D">
              <w:rPr>
                <w:i/>
                <w:color w:val="000000"/>
              </w:rPr>
              <w:t>1</w:t>
            </w:r>
            <w:r w:rsidR="00435D41" w:rsidRPr="002E588D">
              <w:rPr>
                <w:i/>
                <w:color w:val="000000"/>
                <w:lang w:val="en-US"/>
              </w:rPr>
              <w:t>0</w:t>
            </w:r>
            <w:r w:rsidRPr="002E588D">
              <w:rPr>
                <w:i/>
                <w:color w:val="000000"/>
              </w:rPr>
              <w:t>.</w:t>
            </w:r>
            <w:r w:rsidR="00313E9B">
              <w:rPr>
                <w:i/>
                <w:color w:val="000000"/>
              </w:rPr>
              <w:t>0</w:t>
            </w:r>
            <w:r w:rsidRPr="002E588D">
              <w:rPr>
                <w:i/>
                <w:color w:val="000000"/>
              </w:rPr>
              <w:t>0</w:t>
            </w:r>
          </w:p>
        </w:tc>
        <w:tc>
          <w:tcPr>
            <w:tcW w:w="9134" w:type="dxa"/>
          </w:tcPr>
          <w:p w14:paraId="064C4982" w14:textId="7BB993B7" w:rsidR="00101F13" w:rsidRPr="002E588D" w:rsidRDefault="00101F13" w:rsidP="000827A6">
            <w:pPr>
              <w:tabs>
                <w:tab w:val="left" w:pos="-100"/>
              </w:tabs>
              <w:ind w:left="-35"/>
              <w:rPr>
                <w:i/>
              </w:rPr>
            </w:pPr>
            <w:r w:rsidRPr="002E588D">
              <w:rPr>
                <w:i/>
              </w:rPr>
              <w:t>Pertrauka</w:t>
            </w:r>
          </w:p>
        </w:tc>
      </w:tr>
      <w:tr w:rsidR="000827A6" w:rsidRPr="002E588D" w14:paraId="1B3F2B17" w14:textId="77777777" w:rsidTr="00C05C3E">
        <w:tc>
          <w:tcPr>
            <w:tcW w:w="827" w:type="dxa"/>
          </w:tcPr>
          <w:p w14:paraId="4D391725" w14:textId="0FD500C7" w:rsidR="000827A6" w:rsidRPr="002E588D" w:rsidRDefault="000827A6" w:rsidP="00313E9B">
            <w:pPr>
              <w:jc w:val="center"/>
              <w:rPr>
                <w:i/>
                <w:color w:val="000000"/>
                <w:sz w:val="10"/>
                <w:szCs w:val="10"/>
              </w:rPr>
            </w:pPr>
          </w:p>
        </w:tc>
        <w:tc>
          <w:tcPr>
            <w:tcW w:w="9134" w:type="dxa"/>
          </w:tcPr>
          <w:p w14:paraId="2239B771" w14:textId="77777777" w:rsidR="000827A6" w:rsidRPr="002E588D" w:rsidRDefault="000827A6" w:rsidP="00E60648">
            <w:pPr>
              <w:tabs>
                <w:tab w:val="left" w:pos="-100"/>
              </w:tabs>
              <w:ind w:left="-35"/>
              <w:rPr>
                <w:i/>
                <w:sz w:val="10"/>
                <w:szCs w:val="10"/>
              </w:rPr>
            </w:pPr>
          </w:p>
        </w:tc>
      </w:tr>
      <w:tr w:rsidR="00791E9C" w:rsidRPr="002E588D" w14:paraId="0290879E" w14:textId="77777777" w:rsidTr="00C05C3E">
        <w:tc>
          <w:tcPr>
            <w:tcW w:w="827" w:type="dxa"/>
          </w:tcPr>
          <w:p w14:paraId="78DE21E5" w14:textId="73440830" w:rsidR="00791E9C" w:rsidRPr="002E588D" w:rsidRDefault="00791E9C" w:rsidP="00313E9B">
            <w:pPr>
              <w:jc w:val="center"/>
              <w:rPr>
                <w:b/>
                <w:color w:val="000000"/>
              </w:rPr>
            </w:pPr>
            <w:r w:rsidRPr="002E588D">
              <w:rPr>
                <w:b/>
                <w:color w:val="000000"/>
              </w:rPr>
              <w:t>10.</w:t>
            </w:r>
            <w:r w:rsidR="00313E9B">
              <w:rPr>
                <w:b/>
                <w:color w:val="000000"/>
              </w:rPr>
              <w:t>1</w:t>
            </w:r>
            <w:r w:rsidRPr="002E588D">
              <w:rPr>
                <w:b/>
                <w:color w:val="000000"/>
              </w:rPr>
              <w:t>5</w:t>
            </w:r>
          </w:p>
        </w:tc>
        <w:tc>
          <w:tcPr>
            <w:tcW w:w="9134" w:type="dxa"/>
          </w:tcPr>
          <w:p w14:paraId="7CC73D88" w14:textId="23DEA9EB" w:rsidR="00791E9C" w:rsidRPr="00960CE8" w:rsidRDefault="00232A16" w:rsidP="00791E9C">
            <w:pPr>
              <w:tabs>
                <w:tab w:val="left" w:pos="145"/>
                <w:tab w:val="left" w:pos="283"/>
              </w:tabs>
              <w:ind w:left="-35"/>
              <w:jc w:val="both"/>
              <w:rPr>
                <w:b/>
                <w:iCs/>
              </w:rPr>
            </w:pPr>
            <w:r>
              <w:rPr>
                <w:b/>
                <w:bCs/>
              </w:rPr>
              <w:t>Mokymų tęsinys.</w:t>
            </w:r>
          </w:p>
        </w:tc>
      </w:tr>
      <w:tr w:rsidR="00791E9C" w:rsidRPr="002E588D" w14:paraId="4837C981" w14:textId="77777777" w:rsidTr="00C05C3E">
        <w:tc>
          <w:tcPr>
            <w:tcW w:w="827" w:type="dxa"/>
          </w:tcPr>
          <w:p w14:paraId="7DAF5997" w14:textId="6B8A51BC" w:rsidR="00791E9C" w:rsidRPr="002E588D" w:rsidRDefault="00791E9C" w:rsidP="00313E9B">
            <w:pPr>
              <w:jc w:val="center"/>
              <w:rPr>
                <w:b/>
                <w:color w:val="000000"/>
                <w:sz w:val="10"/>
                <w:szCs w:val="10"/>
              </w:rPr>
            </w:pPr>
          </w:p>
        </w:tc>
        <w:tc>
          <w:tcPr>
            <w:tcW w:w="9134" w:type="dxa"/>
          </w:tcPr>
          <w:p w14:paraId="4B0CE19B" w14:textId="77777777" w:rsidR="00791E9C" w:rsidRPr="002E588D" w:rsidRDefault="00791E9C" w:rsidP="00791E9C">
            <w:pPr>
              <w:ind w:left="-35"/>
              <w:jc w:val="both"/>
              <w:rPr>
                <w:b/>
                <w:sz w:val="10"/>
                <w:szCs w:val="10"/>
              </w:rPr>
            </w:pPr>
          </w:p>
        </w:tc>
      </w:tr>
      <w:tr w:rsidR="00791E9C" w:rsidRPr="002E588D" w14:paraId="6E1EAC0A" w14:textId="77777777" w:rsidTr="00C05C3E">
        <w:tc>
          <w:tcPr>
            <w:tcW w:w="827" w:type="dxa"/>
          </w:tcPr>
          <w:p w14:paraId="4A5AA029" w14:textId="69A6D5B7" w:rsidR="00791E9C" w:rsidRPr="002E588D" w:rsidRDefault="00791E9C" w:rsidP="00313E9B">
            <w:pPr>
              <w:jc w:val="center"/>
              <w:rPr>
                <w:i/>
                <w:color w:val="000000"/>
              </w:rPr>
            </w:pPr>
            <w:r w:rsidRPr="002E588D">
              <w:rPr>
                <w:i/>
                <w:color w:val="000000"/>
              </w:rPr>
              <w:t>1</w:t>
            </w:r>
            <w:r>
              <w:rPr>
                <w:i/>
                <w:color w:val="000000"/>
                <w:lang w:val="en-GB"/>
              </w:rPr>
              <w:t>1</w:t>
            </w:r>
            <w:r w:rsidRPr="002E588D">
              <w:rPr>
                <w:i/>
                <w:color w:val="000000"/>
              </w:rPr>
              <w:t>.</w:t>
            </w:r>
            <w:r w:rsidR="00FF64DA">
              <w:rPr>
                <w:i/>
                <w:color w:val="000000"/>
              </w:rPr>
              <w:t>45</w:t>
            </w:r>
          </w:p>
        </w:tc>
        <w:tc>
          <w:tcPr>
            <w:tcW w:w="9134" w:type="dxa"/>
          </w:tcPr>
          <w:p w14:paraId="11BF2C99" w14:textId="10E6A7A1" w:rsidR="00791E9C" w:rsidRPr="002E588D" w:rsidRDefault="00791E9C" w:rsidP="00791E9C">
            <w:pPr>
              <w:tabs>
                <w:tab w:val="left" w:pos="-100"/>
              </w:tabs>
              <w:ind w:left="-35"/>
              <w:rPr>
                <w:i/>
              </w:rPr>
            </w:pPr>
            <w:r w:rsidRPr="002E588D">
              <w:rPr>
                <w:i/>
              </w:rPr>
              <w:t>Pertrauka</w:t>
            </w:r>
          </w:p>
        </w:tc>
      </w:tr>
      <w:tr w:rsidR="00791E9C" w:rsidRPr="002E588D" w14:paraId="2B3EEB82" w14:textId="77777777" w:rsidTr="00C05C3E">
        <w:tc>
          <w:tcPr>
            <w:tcW w:w="827" w:type="dxa"/>
          </w:tcPr>
          <w:p w14:paraId="55F77C04" w14:textId="77777777" w:rsidR="00791E9C" w:rsidRPr="00DD3DA2" w:rsidRDefault="00791E9C" w:rsidP="00313E9B">
            <w:pPr>
              <w:jc w:val="center"/>
              <w:rPr>
                <w:i/>
                <w:color w:val="000000"/>
                <w:sz w:val="10"/>
                <w:szCs w:val="10"/>
              </w:rPr>
            </w:pPr>
          </w:p>
        </w:tc>
        <w:tc>
          <w:tcPr>
            <w:tcW w:w="9134" w:type="dxa"/>
          </w:tcPr>
          <w:p w14:paraId="125D958D" w14:textId="77777777" w:rsidR="00791E9C" w:rsidRPr="00DD3DA2" w:rsidRDefault="00791E9C" w:rsidP="00791E9C">
            <w:pPr>
              <w:tabs>
                <w:tab w:val="left" w:pos="-100"/>
              </w:tabs>
              <w:ind w:left="-35"/>
              <w:rPr>
                <w:i/>
                <w:sz w:val="10"/>
                <w:szCs w:val="10"/>
              </w:rPr>
            </w:pPr>
          </w:p>
        </w:tc>
      </w:tr>
      <w:tr w:rsidR="00791E9C" w:rsidRPr="002E588D" w14:paraId="1CF17C58" w14:textId="77777777" w:rsidTr="00C05C3E">
        <w:tc>
          <w:tcPr>
            <w:tcW w:w="827" w:type="dxa"/>
          </w:tcPr>
          <w:p w14:paraId="7C2DF7E0" w14:textId="71EEBF8D" w:rsidR="00791E9C" w:rsidRPr="00DD3DA2" w:rsidRDefault="00791E9C" w:rsidP="00313E9B">
            <w:pPr>
              <w:jc w:val="center"/>
              <w:rPr>
                <w:b/>
                <w:bCs/>
                <w:iCs/>
                <w:color w:val="000000"/>
              </w:rPr>
            </w:pPr>
            <w:r w:rsidRPr="00DD3DA2">
              <w:rPr>
                <w:b/>
                <w:bCs/>
                <w:iCs/>
                <w:color w:val="000000"/>
              </w:rPr>
              <w:t>1</w:t>
            </w:r>
            <w:r w:rsidR="00FF64DA">
              <w:rPr>
                <w:b/>
                <w:bCs/>
                <w:iCs/>
                <w:color w:val="000000"/>
              </w:rPr>
              <w:t>2</w:t>
            </w:r>
            <w:r w:rsidRPr="00DD3DA2">
              <w:rPr>
                <w:b/>
                <w:bCs/>
                <w:iCs/>
                <w:color w:val="000000"/>
              </w:rPr>
              <w:t>.</w:t>
            </w:r>
            <w:r w:rsidR="00FF64DA">
              <w:rPr>
                <w:b/>
                <w:bCs/>
                <w:iCs/>
                <w:color w:val="000000"/>
              </w:rPr>
              <w:t>30</w:t>
            </w:r>
          </w:p>
        </w:tc>
        <w:tc>
          <w:tcPr>
            <w:tcW w:w="9134" w:type="dxa"/>
          </w:tcPr>
          <w:p w14:paraId="0A8B4C0E" w14:textId="16904C9A" w:rsidR="00791E9C" w:rsidRPr="00232A16" w:rsidRDefault="004947DD" w:rsidP="00232A16">
            <w:pPr>
              <w:tabs>
                <w:tab w:val="left" w:pos="-100"/>
              </w:tabs>
              <w:ind w:left="-35"/>
              <w:rPr>
                <w:b/>
                <w:bCs/>
              </w:rPr>
            </w:pPr>
            <w:r>
              <w:rPr>
                <w:b/>
                <w:bCs/>
              </w:rPr>
              <w:t>1 pogrupis - m</w:t>
            </w:r>
            <w:r w:rsidR="000A3C77" w:rsidRPr="000A3C77">
              <w:rPr>
                <w:b/>
                <w:bCs/>
              </w:rPr>
              <w:t>ediacijos simuliacija.</w:t>
            </w:r>
            <w:r w:rsidR="000A3C77">
              <w:rPr>
                <w:b/>
                <w:bCs/>
              </w:rPr>
              <w:t xml:space="preserve"> </w:t>
            </w:r>
            <w:r>
              <w:rPr>
                <w:b/>
                <w:bCs/>
              </w:rPr>
              <w:t xml:space="preserve">2 pogrupis - </w:t>
            </w:r>
            <w:proofErr w:type="spellStart"/>
            <w:r>
              <w:rPr>
                <w:b/>
                <w:bCs/>
              </w:rPr>
              <w:t>s</w:t>
            </w:r>
            <w:r w:rsidR="000A3C77">
              <w:rPr>
                <w:b/>
                <w:bCs/>
              </w:rPr>
              <w:t>upervizija</w:t>
            </w:r>
            <w:proofErr w:type="spellEnd"/>
            <w:r w:rsidR="00FF64DA">
              <w:rPr>
                <w:b/>
                <w:bCs/>
              </w:rPr>
              <w:t xml:space="preserve">. </w:t>
            </w:r>
          </w:p>
        </w:tc>
      </w:tr>
      <w:tr w:rsidR="00791E9C" w:rsidRPr="002E588D" w14:paraId="2533301F" w14:textId="77777777" w:rsidTr="00C05C3E">
        <w:tc>
          <w:tcPr>
            <w:tcW w:w="827" w:type="dxa"/>
          </w:tcPr>
          <w:p w14:paraId="024B78EB" w14:textId="77777777" w:rsidR="00791E9C" w:rsidRPr="00DD3DA2" w:rsidRDefault="00791E9C" w:rsidP="00313E9B">
            <w:pPr>
              <w:jc w:val="center"/>
              <w:rPr>
                <w:b/>
                <w:bCs/>
                <w:iCs/>
                <w:color w:val="000000"/>
                <w:sz w:val="10"/>
                <w:szCs w:val="10"/>
              </w:rPr>
            </w:pPr>
          </w:p>
        </w:tc>
        <w:tc>
          <w:tcPr>
            <w:tcW w:w="9134" w:type="dxa"/>
          </w:tcPr>
          <w:p w14:paraId="246A8313" w14:textId="77777777" w:rsidR="00791E9C" w:rsidRPr="00DD3DA2" w:rsidRDefault="00791E9C" w:rsidP="00791E9C">
            <w:pPr>
              <w:tabs>
                <w:tab w:val="left" w:pos="145"/>
                <w:tab w:val="left" w:pos="283"/>
              </w:tabs>
              <w:ind w:left="-35"/>
              <w:jc w:val="both"/>
              <w:rPr>
                <w:b/>
                <w:bCs/>
                <w:sz w:val="10"/>
                <w:szCs w:val="10"/>
              </w:rPr>
            </w:pPr>
          </w:p>
        </w:tc>
      </w:tr>
      <w:tr w:rsidR="00791E9C" w:rsidRPr="002E588D" w14:paraId="4122E1FA" w14:textId="77777777" w:rsidTr="00C05C3E">
        <w:tc>
          <w:tcPr>
            <w:tcW w:w="827" w:type="dxa"/>
          </w:tcPr>
          <w:p w14:paraId="5180E3C4" w14:textId="4B37D6BE" w:rsidR="00791E9C" w:rsidRPr="00DD3DA2" w:rsidRDefault="00791E9C" w:rsidP="00313E9B">
            <w:pPr>
              <w:jc w:val="center"/>
              <w:rPr>
                <w:i/>
                <w:color w:val="000000"/>
              </w:rPr>
            </w:pPr>
            <w:r>
              <w:rPr>
                <w:i/>
                <w:color w:val="000000"/>
              </w:rPr>
              <w:t>1</w:t>
            </w:r>
            <w:r w:rsidR="00FF64DA">
              <w:rPr>
                <w:i/>
                <w:color w:val="000000"/>
                <w:lang w:val="en-GB"/>
              </w:rPr>
              <w:t>4</w:t>
            </w:r>
            <w:r>
              <w:rPr>
                <w:i/>
                <w:color w:val="000000"/>
              </w:rPr>
              <w:t>.</w:t>
            </w:r>
            <w:r w:rsidR="00FF64DA">
              <w:rPr>
                <w:i/>
                <w:color w:val="000000"/>
              </w:rPr>
              <w:t>00</w:t>
            </w:r>
          </w:p>
        </w:tc>
        <w:tc>
          <w:tcPr>
            <w:tcW w:w="9134" w:type="dxa"/>
          </w:tcPr>
          <w:p w14:paraId="58AEB356" w14:textId="062172DB" w:rsidR="00791E9C" w:rsidRPr="00DD3DA2" w:rsidRDefault="00791E9C" w:rsidP="00791E9C">
            <w:pPr>
              <w:tabs>
                <w:tab w:val="left" w:pos="145"/>
                <w:tab w:val="left" w:pos="283"/>
              </w:tabs>
              <w:ind w:left="-35"/>
              <w:jc w:val="both"/>
              <w:rPr>
                <w:i/>
                <w:iCs/>
              </w:rPr>
            </w:pPr>
            <w:r w:rsidRPr="00DD3DA2">
              <w:rPr>
                <w:i/>
                <w:iCs/>
              </w:rPr>
              <w:t xml:space="preserve">Pertrauka </w:t>
            </w:r>
          </w:p>
        </w:tc>
      </w:tr>
      <w:tr w:rsidR="00791E9C" w:rsidRPr="002E588D" w14:paraId="319BEC62" w14:textId="77777777" w:rsidTr="00C05C3E">
        <w:tc>
          <w:tcPr>
            <w:tcW w:w="827" w:type="dxa"/>
          </w:tcPr>
          <w:p w14:paraId="2D343671" w14:textId="77777777" w:rsidR="00791E9C" w:rsidRPr="002E588D" w:rsidRDefault="00791E9C" w:rsidP="00313E9B">
            <w:pPr>
              <w:jc w:val="center"/>
              <w:rPr>
                <w:b/>
                <w:color w:val="000000"/>
                <w:sz w:val="10"/>
                <w:szCs w:val="10"/>
              </w:rPr>
            </w:pPr>
          </w:p>
        </w:tc>
        <w:tc>
          <w:tcPr>
            <w:tcW w:w="9134" w:type="dxa"/>
          </w:tcPr>
          <w:p w14:paraId="47195342" w14:textId="77777777" w:rsidR="00791E9C" w:rsidRPr="002E588D" w:rsidRDefault="00791E9C" w:rsidP="00791E9C">
            <w:pPr>
              <w:ind w:left="-35"/>
              <w:jc w:val="both"/>
              <w:rPr>
                <w:b/>
                <w:sz w:val="10"/>
                <w:szCs w:val="10"/>
              </w:rPr>
            </w:pPr>
          </w:p>
        </w:tc>
      </w:tr>
      <w:tr w:rsidR="00791E9C" w:rsidRPr="002E588D" w14:paraId="1664F8BA" w14:textId="77777777" w:rsidTr="00232A16">
        <w:trPr>
          <w:trHeight w:val="60"/>
        </w:trPr>
        <w:tc>
          <w:tcPr>
            <w:tcW w:w="827" w:type="dxa"/>
          </w:tcPr>
          <w:p w14:paraId="467F6E91" w14:textId="1CE2BCD2" w:rsidR="00791E9C" w:rsidRPr="002E588D" w:rsidRDefault="00791E9C" w:rsidP="00313E9B">
            <w:pPr>
              <w:jc w:val="center"/>
              <w:rPr>
                <w:b/>
                <w:color w:val="000000"/>
              </w:rPr>
            </w:pPr>
            <w:r w:rsidRPr="002E588D">
              <w:rPr>
                <w:b/>
                <w:color w:val="000000"/>
              </w:rPr>
              <w:t>1</w:t>
            </w:r>
            <w:r w:rsidR="00FF64DA">
              <w:rPr>
                <w:b/>
                <w:color w:val="000000"/>
              </w:rPr>
              <w:t>4</w:t>
            </w:r>
            <w:r>
              <w:rPr>
                <w:b/>
                <w:color w:val="000000"/>
              </w:rPr>
              <w:t>.</w:t>
            </w:r>
            <w:r w:rsidR="00FF64DA">
              <w:rPr>
                <w:b/>
                <w:color w:val="000000"/>
              </w:rPr>
              <w:t>15</w:t>
            </w:r>
          </w:p>
        </w:tc>
        <w:tc>
          <w:tcPr>
            <w:tcW w:w="9134" w:type="dxa"/>
          </w:tcPr>
          <w:p w14:paraId="21C179A8" w14:textId="784F308D" w:rsidR="00791E9C" w:rsidRPr="00FF64DA" w:rsidRDefault="00232A16" w:rsidP="00FF64DA">
            <w:pPr>
              <w:ind w:left="-35"/>
              <w:jc w:val="both"/>
              <w:rPr>
                <w:b/>
                <w:bCs/>
                <w:iCs/>
              </w:rPr>
            </w:pPr>
            <w:r>
              <w:rPr>
                <w:b/>
                <w:bCs/>
              </w:rPr>
              <w:t>Mokymų tęsinys.</w:t>
            </w:r>
          </w:p>
        </w:tc>
      </w:tr>
      <w:tr w:rsidR="00791E9C" w:rsidRPr="002E588D" w14:paraId="445CAB40" w14:textId="77777777" w:rsidTr="00C05C3E">
        <w:tc>
          <w:tcPr>
            <w:tcW w:w="827" w:type="dxa"/>
          </w:tcPr>
          <w:p w14:paraId="34B2B75D" w14:textId="1B1F077C" w:rsidR="00791E9C" w:rsidRPr="002E588D" w:rsidRDefault="00791E9C" w:rsidP="00313E9B">
            <w:pPr>
              <w:jc w:val="center"/>
              <w:rPr>
                <w:b/>
                <w:color w:val="000000"/>
                <w:sz w:val="10"/>
                <w:szCs w:val="10"/>
              </w:rPr>
            </w:pPr>
          </w:p>
        </w:tc>
        <w:tc>
          <w:tcPr>
            <w:tcW w:w="9134" w:type="dxa"/>
          </w:tcPr>
          <w:p w14:paraId="47312B73" w14:textId="77777777" w:rsidR="00791E9C" w:rsidRPr="002E588D" w:rsidRDefault="00791E9C" w:rsidP="00791E9C">
            <w:pPr>
              <w:ind w:left="-35"/>
              <w:jc w:val="both"/>
              <w:rPr>
                <w:b/>
                <w:sz w:val="10"/>
                <w:szCs w:val="10"/>
              </w:rPr>
            </w:pPr>
          </w:p>
        </w:tc>
      </w:tr>
      <w:tr w:rsidR="00791E9C" w:rsidRPr="002E588D" w14:paraId="1E2AED23" w14:textId="77777777" w:rsidTr="00C05C3E">
        <w:tc>
          <w:tcPr>
            <w:tcW w:w="827" w:type="dxa"/>
          </w:tcPr>
          <w:p w14:paraId="32434577" w14:textId="1CEA0DCA" w:rsidR="00791E9C" w:rsidRPr="0065339D" w:rsidRDefault="00791E9C" w:rsidP="00313E9B">
            <w:pPr>
              <w:jc w:val="center"/>
              <w:rPr>
                <w:i/>
                <w:color w:val="000000"/>
              </w:rPr>
            </w:pPr>
            <w:r w:rsidRPr="0065339D">
              <w:rPr>
                <w:i/>
                <w:color w:val="000000"/>
              </w:rPr>
              <w:t>1</w:t>
            </w:r>
            <w:r w:rsidR="00FF64DA">
              <w:rPr>
                <w:i/>
                <w:color w:val="000000"/>
              </w:rPr>
              <w:t>5</w:t>
            </w:r>
            <w:r w:rsidRPr="0065339D">
              <w:rPr>
                <w:i/>
                <w:color w:val="000000"/>
              </w:rPr>
              <w:t>.</w:t>
            </w:r>
            <w:r w:rsidR="00232A16">
              <w:rPr>
                <w:i/>
                <w:color w:val="000000"/>
              </w:rPr>
              <w:t>45</w:t>
            </w:r>
          </w:p>
        </w:tc>
        <w:tc>
          <w:tcPr>
            <w:tcW w:w="9134" w:type="dxa"/>
          </w:tcPr>
          <w:p w14:paraId="59CCBAE6" w14:textId="2AF7D388" w:rsidR="00791E9C" w:rsidRPr="0065339D" w:rsidRDefault="00791E9C" w:rsidP="00791E9C">
            <w:pPr>
              <w:ind w:left="-35"/>
              <w:jc w:val="both"/>
              <w:rPr>
                <w:i/>
              </w:rPr>
            </w:pPr>
            <w:r w:rsidRPr="0065339D">
              <w:rPr>
                <w:i/>
              </w:rPr>
              <w:t>Seminaro pabaiga</w:t>
            </w:r>
            <w:r w:rsidR="00FF64DA">
              <w:rPr>
                <w:i/>
              </w:rPr>
              <w:t>.</w:t>
            </w:r>
          </w:p>
        </w:tc>
      </w:tr>
    </w:tbl>
    <w:p w14:paraId="1C782488" w14:textId="77777777" w:rsidR="008169CF" w:rsidRPr="00C05C3E" w:rsidRDefault="008169CF" w:rsidP="00C05C3E">
      <w:pPr>
        <w:rPr>
          <w:b/>
          <w:color w:val="000000"/>
          <w:sz w:val="6"/>
          <w:szCs w:val="6"/>
        </w:rPr>
      </w:pPr>
    </w:p>
    <w:p w14:paraId="419C2758" w14:textId="77777777" w:rsidR="005C2E92" w:rsidRDefault="005C2E92" w:rsidP="001B2877">
      <w:pPr>
        <w:ind w:left="-540" w:firstLine="540"/>
        <w:rPr>
          <w:b/>
          <w:color w:val="000000"/>
          <w:sz w:val="20"/>
          <w:szCs w:val="20"/>
        </w:rPr>
      </w:pPr>
    </w:p>
    <w:p w14:paraId="421C5D7B" w14:textId="175561F8" w:rsidR="00101F13" w:rsidRPr="002E588D" w:rsidRDefault="00101F13" w:rsidP="001B2877">
      <w:pPr>
        <w:ind w:left="-540" w:firstLine="540"/>
        <w:rPr>
          <w:b/>
          <w:color w:val="000000"/>
          <w:sz w:val="20"/>
          <w:szCs w:val="20"/>
        </w:rPr>
      </w:pPr>
      <w:r w:rsidRPr="002E588D">
        <w:rPr>
          <w:b/>
          <w:color w:val="000000"/>
          <w:sz w:val="20"/>
          <w:szCs w:val="20"/>
        </w:rPr>
        <w:t>Anketų pildymas.</w:t>
      </w:r>
    </w:p>
    <w:p w14:paraId="3931C2BF" w14:textId="1E9E3EAA" w:rsidR="00BC4226" w:rsidRDefault="00101F13" w:rsidP="00C7795E">
      <w:pPr>
        <w:ind w:left="-540" w:firstLine="540"/>
        <w:rPr>
          <w:rStyle w:val="Strong"/>
          <w:bCs/>
          <w:color w:val="000000"/>
          <w:sz w:val="20"/>
          <w:szCs w:val="20"/>
        </w:rPr>
      </w:pPr>
      <w:r w:rsidRPr="002E588D">
        <w:rPr>
          <w:rStyle w:val="Strong"/>
          <w:bCs/>
          <w:color w:val="000000"/>
          <w:sz w:val="20"/>
          <w:szCs w:val="20"/>
        </w:rPr>
        <w:t>Programa gali keistis.</w:t>
      </w:r>
    </w:p>
    <w:p w14:paraId="441E1BEB" w14:textId="77777777" w:rsidR="00232A16" w:rsidRDefault="00232A16" w:rsidP="00C7795E">
      <w:pPr>
        <w:ind w:left="-540" w:firstLine="540"/>
        <w:rPr>
          <w:rStyle w:val="Strong"/>
          <w:bCs/>
          <w:color w:val="000000"/>
          <w:sz w:val="20"/>
          <w:szCs w:val="20"/>
        </w:rPr>
      </w:pPr>
    </w:p>
    <w:p w14:paraId="7B43EB06" w14:textId="77777777" w:rsidR="00232A16" w:rsidRDefault="00232A16" w:rsidP="00C7795E">
      <w:pPr>
        <w:ind w:left="-540" w:firstLine="540"/>
        <w:rPr>
          <w:rStyle w:val="Strong"/>
          <w:bCs/>
          <w:color w:val="000000"/>
          <w:sz w:val="20"/>
          <w:szCs w:val="20"/>
        </w:rPr>
      </w:pPr>
    </w:p>
    <w:p w14:paraId="40441C2D" w14:textId="77777777" w:rsidR="00232A16" w:rsidRDefault="00232A16" w:rsidP="00C7795E">
      <w:pPr>
        <w:ind w:left="-540" w:firstLine="540"/>
        <w:rPr>
          <w:rStyle w:val="Strong"/>
          <w:bCs/>
          <w:color w:val="000000"/>
          <w:sz w:val="20"/>
          <w:szCs w:val="20"/>
        </w:rPr>
      </w:pPr>
    </w:p>
    <w:p w14:paraId="7DD6A0DD" w14:textId="77777777" w:rsidR="00232A16" w:rsidRDefault="00232A16" w:rsidP="00C7795E">
      <w:pPr>
        <w:ind w:left="-540" w:firstLine="540"/>
        <w:rPr>
          <w:rStyle w:val="Strong"/>
          <w:bCs/>
          <w:color w:val="000000"/>
          <w:sz w:val="20"/>
          <w:szCs w:val="20"/>
        </w:rPr>
      </w:pPr>
    </w:p>
    <w:p w14:paraId="7229737C" w14:textId="77777777" w:rsidR="00232A16" w:rsidRDefault="00232A16" w:rsidP="00C7795E">
      <w:pPr>
        <w:ind w:left="-540" w:firstLine="540"/>
        <w:rPr>
          <w:rStyle w:val="Strong"/>
          <w:bCs/>
          <w:color w:val="000000"/>
          <w:sz w:val="20"/>
          <w:szCs w:val="20"/>
        </w:rPr>
      </w:pPr>
    </w:p>
    <w:p w14:paraId="2F45333E" w14:textId="77777777" w:rsidR="00232A16" w:rsidRDefault="00232A16" w:rsidP="00C7795E">
      <w:pPr>
        <w:ind w:left="-540" w:firstLine="540"/>
        <w:rPr>
          <w:rStyle w:val="Strong"/>
          <w:bCs/>
          <w:color w:val="000000"/>
          <w:sz w:val="20"/>
          <w:szCs w:val="20"/>
        </w:rPr>
      </w:pPr>
    </w:p>
    <w:p w14:paraId="7A211B7C" w14:textId="77777777" w:rsidR="00232A16" w:rsidRDefault="00232A16" w:rsidP="00C7795E">
      <w:pPr>
        <w:ind w:left="-540" w:firstLine="540"/>
        <w:rPr>
          <w:rStyle w:val="Strong"/>
          <w:bCs/>
          <w:color w:val="000000"/>
          <w:sz w:val="20"/>
          <w:szCs w:val="20"/>
        </w:rPr>
      </w:pPr>
    </w:p>
    <w:p w14:paraId="1C61C20A" w14:textId="77777777" w:rsidR="00232A16" w:rsidRDefault="00232A16" w:rsidP="00C7795E">
      <w:pPr>
        <w:ind w:left="-540" w:firstLine="540"/>
        <w:rPr>
          <w:rStyle w:val="Strong"/>
          <w:bCs/>
          <w:color w:val="000000"/>
          <w:sz w:val="20"/>
          <w:szCs w:val="20"/>
        </w:rPr>
      </w:pPr>
    </w:p>
    <w:p w14:paraId="427B46A8" w14:textId="77777777" w:rsidR="00232A16" w:rsidRDefault="00232A16" w:rsidP="00C7795E">
      <w:pPr>
        <w:ind w:left="-540" w:firstLine="540"/>
        <w:rPr>
          <w:rStyle w:val="Strong"/>
          <w:bCs/>
          <w:color w:val="000000"/>
          <w:sz w:val="20"/>
          <w:szCs w:val="20"/>
        </w:rPr>
      </w:pPr>
    </w:p>
    <w:p w14:paraId="0C3DA1FB" w14:textId="77777777" w:rsidR="00232A16" w:rsidRDefault="00232A16" w:rsidP="00C7795E">
      <w:pPr>
        <w:ind w:left="-540" w:firstLine="540"/>
        <w:rPr>
          <w:rStyle w:val="Strong"/>
          <w:bCs/>
          <w:color w:val="000000"/>
          <w:sz w:val="20"/>
          <w:szCs w:val="20"/>
        </w:rPr>
      </w:pPr>
    </w:p>
    <w:p w14:paraId="2FE999EE" w14:textId="77777777" w:rsidR="00232A16" w:rsidRDefault="00232A16" w:rsidP="00C7795E">
      <w:pPr>
        <w:ind w:left="-540" w:firstLine="540"/>
        <w:rPr>
          <w:rStyle w:val="Strong"/>
          <w:bCs/>
          <w:color w:val="000000"/>
          <w:sz w:val="20"/>
          <w:szCs w:val="20"/>
        </w:rPr>
      </w:pPr>
    </w:p>
    <w:p w14:paraId="68194E63" w14:textId="77777777" w:rsidR="00232A16" w:rsidRDefault="00232A16" w:rsidP="00C7795E">
      <w:pPr>
        <w:ind w:left="-540" w:firstLine="540"/>
        <w:rPr>
          <w:rStyle w:val="Strong"/>
          <w:bCs/>
          <w:color w:val="000000"/>
          <w:sz w:val="20"/>
          <w:szCs w:val="20"/>
        </w:rPr>
      </w:pPr>
    </w:p>
    <w:p w14:paraId="30A7D378" w14:textId="77777777" w:rsidR="00232A16" w:rsidRDefault="00232A16" w:rsidP="00C7795E">
      <w:pPr>
        <w:ind w:left="-540" w:firstLine="540"/>
        <w:rPr>
          <w:rStyle w:val="Strong"/>
          <w:bCs/>
          <w:color w:val="000000"/>
          <w:sz w:val="20"/>
          <w:szCs w:val="20"/>
        </w:rPr>
      </w:pPr>
    </w:p>
    <w:p w14:paraId="0F04D0D0" w14:textId="77777777" w:rsidR="00232A16" w:rsidRDefault="00232A16" w:rsidP="00C7795E">
      <w:pPr>
        <w:ind w:left="-540" w:firstLine="540"/>
        <w:rPr>
          <w:rStyle w:val="Strong"/>
          <w:bCs/>
          <w:color w:val="000000"/>
          <w:sz w:val="20"/>
          <w:szCs w:val="20"/>
        </w:rPr>
      </w:pPr>
    </w:p>
    <w:p w14:paraId="052AA76A" w14:textId="77777777" w:rsidR="00232A16" w:rsidRDefault="00232A16" w:rsidP="00C7795E">
      <w:pPr>
        <w:ind w:left="-540" w:firstLine="540"/>
        <w:rPr>
          <w:rStyle w:val="Strong"/>
          <w:bCs/>
          <w:color w:val="000000"/>
          <w:sz w:val="20"/>
          <w:szCs w:val="20"/>
        </w:rPr>
      </w:pPr>
    </w:p>
    <w:p w14:paraId="54FCB1EE" w14:textId="77777777" w:rsidR="00232A16" w:rsidRDefault="00232A16" w:rsidP="00C7795E">
      <w:pPr>
        <w:ind w:left="-540" w:firstLine="540"/>
        <w:rPr>
          <w:rStyle w:val="Strong"/>
          <w:bCs/>
          <w:color w:val="000000"/>
          <w:sz w:val="20"/>
          <w:szCs w:val="20"/>
        </w:rPr>
      </w:pPr>
    </w:p>
    <w:p w14:paraId="0672D383" w14:textId="77777777" w:rsidR="00232A16" w:rsidRDefault="00232A16" w:rsidP="00C7795E">
      <w:pPr>
        <w:ind w:left="-540" w:firstLine="540"/>
        <w:rPr>
          <w:rStyle w:val="Strong"/>
          <w:bCs/>
          <w:color w:val="000000"/>
          <w:sz w:val="20"/>
          <w:szCs w:val="20"/>
        </w:rPr>
      </w:pPr>
    </w:p>
    <w:p w14:paraId="0571E8D1" w14:textId="77777777" w:rsidR="00232A16" w:rsidRDefault="00232A16" w:rsidP="00C7795E">
      <w:pPr>
        <w:ind w:left="-540" w:firstLine="540"/>
        <w:rPr>
          <w:rStyle w:val="Strong"/>
          <w:bCs/>
          <w:color w:val="000000"/>
          <w:sz w:val="20"/>
          <w:szCs w:val="20"/>
        </w:rPr>
      </w:pPr>
    </w:p>
    <w:p w14:paraId="7A52B14B" w14:textId="77777777" w:rsidR="00232A16" w:rsidRDefault="00232A16" w:rsidP="00C7795E">
      <w:pPr>
        <w:ind w:left="-540" w:firstLine="540"/>
        <w:rPr>
          <w:rStyle w:val="Strong"/>
          <w:bCs/>
          <w:color w:val="000000"/>
          <w:sz w:val="20"/>
          <w:szCs w:val="20"/>
        </w:rPr>
      </w:pPr>
    </w:p>
    <w:p w14:paraId="30C84438" w14:textId="77777777" w:rsidR="00232A16" w:rsidRDefault="00232A16" w:rsidP="00C7795E">
      <w:pPr>
        <w:ind w:left="-540" w:firstLine="540"/>
        <w:rPr>
          <w:rStyle w:val="Strong"/>
          <w:bCs/>
          <w:color w:val="000000"/>
          <w:sz w:val="20"/>
          <w:szCs w:val="20"/>
        </w:rPr>
      </w:pPr>
    </w:p>
    <w:p w14:paraId="78BF114B" w14:textId="77777777" w:rsidR="00232A16" w:rsidRDefault="00232A16" w:rsidP="00C7795E">
      <w:pPr>
        <w:ind w:left="-540" w:firstLine="540"/>
        <w:rPr>
          <w:rStyle w:val="Strong"/>
          <w:bCs/>
          <w:color w:val="000000"/>
          <w:sz w:val="20"/>
          <w:szCs w:val="20"/>
        </w:rPr>
      </w:pPr>
    </w:p>
    <w:p w14:paraId="14B19BD0" w14:textId="77777777" w:rsidR="00232A16" w:rsidRDefault="00232A16" w:rsidP="00C7795E">
      <w:pPr>
        <w:ind w:left="-540" w:firstLine="540"/>
        <w:rPr>
          <w:rStyle w:val="Strong"/>
          <w:bCs/>
          <w:color w:val="000000"/>
          <w:sz w:val="20"/>
          <w:szCs w:val="20"/>
        </w:rPr>
      </w:pPr>
    </w:p>
    <w:p w14:paraId="0005B24D" w14:textId="77777777" w:rsidR="00232A16" w:rsidRDefault="00232A16" w:rsidP="00C7795E">
      <w:pPr>
        <w:ind w:left="-540" w:firstLine="540"/>
        <w:rPr>
          <w:rStyle w:val="Strong"/>
          <w:bCs/>
          <w:color w:val="000000"/>
          <w:sz w:val="20"/>
          <w:szCs w:val="20"/>
        </w:rPr>
      </w:pPr>
    </w:p>
    <w:p w14:paraId="138F306F" w14:textId="77777777" w:rsidR="00232A16" w:rsidRDefault="00232A16" w:rsidP="00C7795E">
      <w:pPr>
        <w:ind w:left="-540" w:firstLine="540"/>
        <w:rPr>
          <w:rStyle w:val="Strong"/>
          <w:bCs/>
          <w:color w:val="000000"/>
          <w:sz w:val="20"/>
          <w:szCs w:val="20"/>
        </w:rPr>
      </w:pPr>
    </w:p>
    <w:p w14:paraId="3547AD5D" w14:textId="77777777" w:rsidR="00232A16" w:rsidRDefault="00232A16" w:rsidP="00C7795E">
      <w:pPr>
        <w:ind w:left="-540" w:firstLine="540"/>
        <w:rPr>
          <w:rStyle w:val="Strong"/>
          <w:bCs/>
          <w:color w:val="000000"/>
          <w:sz w:val="20"/>
          <w:szCs w:val="20"/>
        </w:rPr>
      </w:pPr>
    </w:p>
    <w:p w14:paraId="407C2862" w14:textId="77777777" w:rsidR="00232A16" w:rsidRDefault="00232A16" w:rsidP="00C7795E">
      <w:pPr>
        <w:ind w:left="-540" w:firstLine="540"/>
        <w:rPr>
          <w:rStyle w:val="Strong"/>
          <w:bCs/>
          <w:color w:val="000000"/>
          <w:sz w:val="20"/>
          <w:szCs w:val="20"/>
        </w:rPr>
      </w:pPr>
    </w:p>
    <w:p w14:paraId="2E4124AC" w14:textId="77777777" w:rsidR="00232A16" w:rsidRDefault="00232A16" w:rsidP="00C7795E">
      <w:pPr>
        <w:ind w:left="-540" w:firstLine="540"/>
        <w:rPr>
          <w:rStyle w:val="Strong"/>
          <w:bCs/>
          <w:color w:val="000000"/>
          <w:sz w:val="20"/>
          <w:szCs w:val="20"/>
        </w:rPr>
      </w:pPr>
    </w:p>
    <w:p w14:paraId="758CC8FF" w14:textId="77777777" w:rsidR="00232A16" w:rsidRDefault="00232A16" w:rsidP="00C7795E">
      <w:pPr>
        <w:ind w:left="-540" w:firstLine="540"/>
        <w:rPr>
          <w:rStyle w:val="Strong"/>
          <w:bCs/>
          <w:color w:val="000000"/>
          <w:sz w:val="20"/>
          <w:szCs w:val="20"/>
        </w:rPr>
      </w:pPr>
    </w:p>
    <w:p w14:paraId="0B2D6226" w14:textId="77777777" w:rsidR="00232A16" w:rsidRDefault="00232A16" w:rsidP="00C7795E">
      <w:pPr>
        <w:ind w:left="-540" w:firstLine="540"/>
        <w:rPr>
          <w:rStyle w:val="Strong"/>
          <w:bCs/>
          <w:color w:val="000000"/>
          <w:sz w:val="20"/>
          <w:szCs w:val="20"/>
        </w:rPr>
      </w:pPr>
    </w:p>
    <w:p w14:paraId="10812D30" w14:textId="77777777" w:rsidR="00232A16" w:rsidRDefault="00232A16" w:rsidP="00C7795E">
      <w:pPr>
        <w:ind w:left="-540" w:firstLine="540"/>
        <w:rPr>
          <w:rStyle w:val="Strong"/>
          <w:bCs/>
          <w:color w:val="000000"/>
          <w:sz w:val="20"/>
          <w:szCs w:val="20"/>
        </w:rPr>
      </w:pPr>
    </w:p>
    <w:p w14:paraId="4B65B180" w14:textId="77777777" w:rsidR="00232A16" w:rsidRDefault="00232A16" w:rsidP="00C7795E">
      <w:pPr>
        <w:ind w:left="-540" w:firstLine="540"/>
        <w:rPr>
          <w:rStyle w:val="Strong"/>
          <w:bCs/>
          <w:color w:val="000000"/>
          <w:sz w:val="20"/>
          <w:szCs w:val="20"/>
        </w:rPr>
      </w:pPr>
    </w:p>
    <w:p w14:paraId="0B6C280D" w14:textId="77777777" w:rsidR="00232A16" w:rsidRDefault="00232A16" w:rsidP="00C7795E">
      <w:pPr>
        <w:ind w:left="-540" w:firstLine="540"/>
        <w:rPr>
          <w:rStyle w:val="Strong"/>
          <w:bCs/>
          <w:color w:val="000000"/>
          <w:sz w:val="20"/>
          <w:szCs w:val="20"/>
        </w:rPr>
      </w:pPr>
    </w:p>
    <w:p w14:paraId="44225BD9" w14:textId="77777777" w:rsidR="00232A16" w:rsidRDefault="00232A16" w:rsidP="00C7795E">
      <w:pPr>
        <w:ind w:left="-540" w:firstLine="540"/>
        <w:rPr>
          <w:rStyle w:val="Strong"/>
          <w:bCs/>
          <w:color w:val="000000"/>
          <w:sz w:val="20"/>
          <w:szCs w:val="20"/>
        </w:rPr>
      </w:pPr>
    </w:p>
    <w:p w14:paraId="77AA120F" w14:textId="77777777" w:rsidR="00232A16" w:rsidRDefault="00232A16" w:rsidP="00C7795E">
      <w:pPr>
        <w:ind w:left="-540" w:firstLine="540"/>
        <w:rPr>
          <w:rStyle w:val="Strong"/>
          <w:bCs/>
          <w:color w:val="000000"/>
          <w:sz w:val="20"/>
          <w:szCs w:val="20"/>
        </w:rPr>
      </w:pPr>
    </w:p>
    <w:p w14:paraId="23606E7D" w14:textId="77777777" w:rsidR="00232A16" w:rsidRDefault="00232A16" w:rsidP="00C7795E">
      <w:pPr>
        <w:ind w:left="-540" w:firstLine="540"/>
        <w:rPr>
          <w:rStyle w:val="Strong"/>
          <w:bCs/>
          <w:color w:val="000000"/>
          <w:sz w:val="20"/>
          <w:szCs w:val="20"/>
        </w:rPr>
      </w:pPr>
    </w:p>
    <w:p w14:paraId="2BDCB2FD" w14:textId="77777777" w:rsidR="00232A16" w:rsidRDefault="00232A16" w:rsidP="00C7795E">
      <w:pPr>
        <w:ind w:left="-540" w:firstLine="540"/>
        <w:rPr>
          <w:rStyle w:val="Strong"/>
          <w:bCs/>
          <w:color w:val="000000"/>
          <w:sz w:val="20"/>
          <w:szCs w:val="20"/>
        </w:rPr>
      </w:pPr>
    </w:p>
    <w:p w14:paraId="31DCA055" w14:textId="77777777" w:rsidR="00232A16" w:rsidRDefault="00232A16" w:rsidP="00C7795E">
      <w:pPr>
        <w:ind w:left="-540" w:firstLine="540"/>
        <w:rPr>
          <w:rStyle w:val="Strong"/>
          <w:bCs/>
          <w:color w:val="000000"/>
          <w:sz w:val="20"/>
          <w:szCs w:val="20"/>
        </w:rPr>
      </w:pPr>
    </w:p>
    <w:p w14:paraId="0042A8D2" w14:textId="77777777" w:rsidR="00232A16" w:rsidRDefault="00232A16" w:rsidP="00C7795E">
      <w:pPr>
        <w:ind w:left="-540" w:firstLine="540"/>
        <w:rPr>
          <w:rStyle w:val="Strong"/>
          <w:bCs/>
          <w:color w:val="000000"/>
          <w:sz w:val="20"/>
          <w:szCs w:val="20"/>
        </w:rPr>
      </w:pPr>
    </w:p>
    <w:p w14:paraId="715764F0" w14:textId="77777777" w:rsidR="00ED6B23" w:rsidRPr="002E588D" w:rsidRDefault="00ED6B23" w:rsidP="006C196B">
      <w:pPr>
        <w:rPr>
          <w:rStyle w:val="Strong"/>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2E588D" w14:paraId="48C2129D" w14:textId="77777777" w:rsidTr="00C05C3E">
        <w:trPr>
          <w:trHeight w:val="354"/>
        </w:trPr>
        <w:tc>
          <w:tcPr>
            <w:tcW w:w="9961" w:type="dxa"/>
            <w:tcMar>
              <w:top w:w="0" w:type="dxa"/>
              <w:left w:w="108" w:type="dxa"/>
              <w:bottom w:w="0" w:type="dxa"/>
              <w:right w:w="108" w:type="dxa"/>
            </w:tcMar>
          </w:tcPr>
          <w:p w14:paraId="40C851AF" w14:textId="77777777" w:rsidR="00101F13" w:rsidRPr="00C05C3E" w:rsidRDefault="00101F13" w:rsidP="0009320E">
            <w:pPr>
              <w:ind w:left="72" w:hanging="72"/>
              <w:jc w:val="center"/>
              <w:rPr>
                <w:b/>
                <w:bCs/>
                <w:color w:val="000000"/>
                <w:sz w:val="12"/>
                <w:szCs w:val="12"/>
              </w:rPr>
            </w:pPr>
            <w:r w:rsidRPr="00C05C3E">
              <w:rPr>
                <w:b/>
                <w:bCs/>
                <w:color w:val="000000"/>
                <w:sz w:val="12"/>
                <w:szCs w:val="12"/>
              </w:rPr>
              <w:t xml:space="preserve">Seminaro organizatorius: </w:t>
            </w:r>
          </w:p>
          <w:p w14:paraId="5FF28236" w14:textId="77777777" w:rsidR="00101F13" w:rsidRPr="00C05C3E" w:rsidRDefault="00101F13" w:rsidP="0009320E">
            <w:pPr>
              <w:ind w:left="72" w:hanging="72"/>
              <w:jc w:val="center"/>
              <w:rPr>
                <w:b/>
                <w:bCs/>
                <w:color w:val="000000"/>
                <w:sz w:val="12"/>
                <w:szCs w:val="12"/>
              </w:rPr>
            </w:pPr>
            <w:r w:rsidRPr="00C05C3E">
              <w:rPr>
                <w:b/>
                <w:bCs/>
                <w:color w:val="000000"/>
                <w:sz w:val="12"/>
                <w:szCs w:val="12"/>
              </w:rPr>
              <w:t>Nacionalinė teismų administracija</w:t>
            </w:r>
          </w:p>
          <w:p w14:paraId="757A3113" w14:textId="77777777" w:rsidR="00101F13" w:rsidRPr="00C05C3E" w:rsidRDefault="00101F13" w:rsidP="0009320E">
            <w:pPr>
              <w:ind w:left="72" w:right="-262" w:hanging="72"/>
              <w:jc w:val="center"/>
              <w:rPr>
                <w:sz w:val="12"/>
                <w:szCs w:val="12"/>
              </w:rPr>
            </w:pPr>
            <w:r w:rsidRPr="00C05C3E">
              <w:rPr>
                <w:b/>
                <w:bCs/>
                <w:color w:val="000000"/>
                <w:sz w:val="12"/>
                <w:szCs w:val="12"/>
              </w:rPr>
              <w:t>Kontaktai ir telefonai:</w:t>
            </w:r>
          </w:p>
          <w:p w14:paraId="6BB98F79" w14:textId="3917FA0F" w:rsidR="00101F13" w:rsidRPr="00C05C3E" w:rsidRDefault="00101F13" w:rsidP="00DB27AA">
            <w:pPr>
              <w:ind w:left="72" w:right="-108" w:hanging="72"/>
              <w:jc w:val="center"/>
              <w:rPr>
                <w:color w:val="000000"/>
                <w:sz w:val="12"/>
                <w:szCs w:val="12"/>
              </w:rPr>
            </w:pPr>
            <w:r w:rsidRPr="00C05C3E">
              <w:rPr>
                <w:color w:val="000000"/>
                <w:sz w:val="12"/>
                <w:szCs w:val="12"/>
              </w:rPr>
              <w:t xml:space="preserve">Dalyvių sąrašai, seminaro organizavimas: Mokymų ir tarptautinio bendradarbiavimo skyriaus </w:t>
            </w:r>
            <w:r w:rsidR="003E65AF">
              <w:rPr>
                <w:color w:val="000000"/>
                <w:sz w:val="12"/>
                <w:szCs w:val="12"/>
              </w:rPr>
              <w:t>patarėja</w:t>
            </w:r>
            <w:r w:rsidRPr="00C05C3E">
              <w:rPr>
                <w:color w:val="000000"/>
                <w:sz w:val="12"/>
                <w:szCs w:val="12"/>
              </w:rPr>
              <w:t xml:space="preserve"> </w:t>
            </w:r>
            <w:r w:rsidR="00DB27AA" w:rsidRPr="00C05C3E">
              <w:rPr>
                <w:color w:val="000000"/>
                <w:sz w:val="12"/>
                <w:szCs w:val="12"/>
              </w:rPr>
              <w:t>Neringa Sakalauskienė</w:t>
            </w:r>
            <w:r w:rsidRPr="00C05C3E">
              <w:rPr>
                <w:color w:val="000000"/>
                <w:sz w:val="12"/>
                <w:szCs w:val="12"/>
              </w:rPr>
              <w:t xml:space="preserve"> tel. 8 </w:t>
            </w:r>
            <w:r w:rsidR="00702C11" w:rsidRPr="00C05C3E">
              <w:rPr>
                <w:color w:val="000000"/>
                <w:sz w:val="12"/>
                <w:szCs w:val="12"/>
              </w:rPr>
              <w:t>645 528</w:t>
            </w:r>
            <w:r w:rsidR="00DB27AA" w:rsidRPr="00C05C3E">
              <w:rPr>
                <w:color w:val="000000"/>
                <w:sz w:val="12"/>
                <w:szCs w:val="12"/>
              </w:rPr>
              <w:t>28</w:t>
            </w:r>
            <w:r w:rsidRPr="00C05C3E">
              <w:rPr>
                <w:color w:val="000000"/>
                <w:sz w:val="12"/>
                <w:szCs w:val="12"/>
              </w:rPr>
              <w:t xml:space="preserve">, el. paštas: </w:t>
            </w:r>
            <w:hyperlink r:id="rId8" w:history="1">
              <w:r w:rsidR="00DB27AA" w:rsidRPr="00C05C3E">
                <w:rPr>
                  <w:rStyle w:val="Hyperlink"/>
                  <w:sz w:val="12"/>
                  <w:szCs w:val="12"/>
                </w:rPr>
                <w:t>neringa.sakalauskiene@teismai.lt</w:t>
              </w:r>
            </w:hyperlink>
          </w:p>
        </w:tc>
      </w:tr>
      <w:tr w:rsidR="00101F13" w:rsidRPr="001B2877" w14:paraId="50DAC9D4" w14:textId="77777777" w:rsidTr="00C05C3E">
        <w:trPr>
          <w:trHeight w:val="80"/>
        </w:trPr>
        <w:tc>
          <w:tcPr>
            <w:tcW w:w="9961" w:type="dxa"/>
            <w:tcMar>
              <w:top w:w="0" w:type="dxa"/>
              <w:left w:w="108" w:type="dxa"/>
              <w:bottom w:w="0" w:type="dxa"/>
              <w:right w:w="108" w:type="dxa"/>
            </w:tcMar>
          </w:tcPr>
          <w:p w14:paraId="03489AB9" w14:textId="77777777" w:rsidR="00960CE8" w:rsidRPr="00C05C3E" w:rsidRDefault="00960CE8" w:rsidP="00960CE8">
            <w:pPr>
              <w:ind w:left="72" w:right="-262" w:hanging="72"/>
              <w:jc w:val="center"/>
              <w:rPr>
                <w:b/>
                <w:bCs/>
                <w:sz w:val="12"/>
                <w:szCs w:val="12"/>
              </w:rPr>
            </w:pPr>
            <w:r w:rsidRPr="00C05C3E">
              <w:rPr>
                <w:b/>
                <w:bCs/>
                <w:sz w:val="12"/>
                <w:szCs w:val="12"/>
              </w:rPr>
              <w:t xml:space="preserve">Seminaro vieta: Nacionalinės teismų administracijos mokymo centras, </w:t>
            </w:r>
          </w:p>
          <w:p w14:paraId="13646FD8" w14:textId="77777777" w:rsidR="00960CE8" w:rsidRPr="00C05C3E" w:rsidRDefault="00960CE8" w:rsidP="00960CE8">
            <w:pPr>
              <w:jc w:val="center"/>
              <w:rPr>
                <w:sz w:val="12"/>
                <w:szCs w:val="12"/>
              </w:rPr>
            </w:pPr>
            <w:r w:rsidRPr="00C05C3E">
              <w:rPr>
                <w:sz w:val="12"/>
                <w:szCs w:val="12"/>
              </w:rPr>
              <w:t xml:space="preserve">tel. 8 699 14462, el. paštas: </w:t>
            </w:r>
            <w:hyperlink r:id="rId9" w:history="1">
              <w:r w:rsidRPr="00C05C3E">
                <w:rPr>
                  <w:color w:val="0000FF"/>
                  <w:sz w:val="12"/>
                  <w:szCs w:val="12"/>
                  <w:u w:val="single"/>
                </w:rPr>
                <w:t>mc@teismai.lt</w:t>
              </w:r>
            </w:hyperlink>
          </w:p>
          <w:p w14:paraId="3D6E7066" w14:textId="0F2373A3" w:rsidR="00101F13" w:rsidRPr="00C05C3E" w:rsidRDefault="00960CE8" w:rsidP="00960CE8">
            <w:pPr>
              <w:ind w:left="72" w:right="-262" w:hanging="72"/>
              <w:jc w:val="center"/>
              <w:rPr>
                <w:color w:val="000000"/>
                <w:sz w:val="12"/>
                <w:szCs w:val="12"/>
              </w:rPr>
            </w:pPr>
            <w:r w:rsidRPr="00C05C3E">
              <w:rPr>
                <w:sz w:val="12"/>
                <w:szCs w:val="12"/>
                <w:bdr w:val="none" w:sz="0" w:space="0" w:color="auto" w:frame="1"/>
              </w:rPr>
              <w:t xml:space="preserve">adresas: </w:t>
            </w:r>
            <w:proofErr w:type="spellStart"/>
            <w:r w:rsidRPr="00C05C3E">
              <w:rPr>
                <w:sz w:val="12"/>
                <w:szCs w:val="12"/>
                <w:bdr w:val="none" w:sz="0" w:space="0" w:color="auto" w:frame="1"/>
              </w:rPr>
              <w:t>Sanklodiškių</w:t>
            </w:r>
            <w:proofErr w:type="spellEnd"/>
            <w:r w:rsidRPr="00C05C3E">
              <w:rPr>
                <w:sz w:val="12"/>
                <w:szCs w:val="12"/>
                <w:bdr w:val="none" w:sz="0" w:space="0" w:color="auto" w:frame="1"/>
              </w:rPr>
              <w:t xml:space="preserve"> kaimas, LT-33354 Molėtų rajonas</w:t>
            </w:r>
          </w:p>
        </w:tc>
      </w:tr>
    </w:tbl>
    <w:p w14:paraId="747D9C82" w14:textId="77777777" w:rsidR="00101F13" w:rsidRPr="003E5139" w:rsidRDefault="00101F13">
      <w:pPr>
        <w:rPr>
          <w:sz w:val="20"/>
          <w:szCs w:val="20"/>
        </w:rPr>
      </w:pPr>
    </w:p>
    <w:sectPr w:rsidR="00101F13" w:rsidRPr="003E5139" w:rsidSect="008773D2">
      <w:headerReference w:type="default" r:id="rId10"/>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0E13" w14:textId="77777777" w:rsidR="003119FD" w:rsidRDefault="003119FD">
      <w:r>
        <w:separator/>
      </w:r>
    </w:p>
  </w:endnote>
  <w:endnote w:type="continuationSeparator" w:id="0">
    <w:p w14:paraId="5A16C731" w14:textId="77777777" w:rsidR="003119FD" w:rsidRDefault="0031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2671" w14:textId="77777777" w:rsidR="003119FD" w:rsidRDefault="003119FD">
      <w:r>
        <w:separator/>
      </w:r>
    </w:p>
  </w:footnote>
  <w:footnote w:type="continuationSeparator" w:id="0">
    <w:p w14:paraId="27159049" w14:textId="77777777" w:rsidR="003119FD" w:rsidRDefault="00311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1819" w14:textId="77777777" w:rsidR="00535F3C" w:rsidRPr="004947DD" w:rsidRDefault="00535F3C" w:rsidP="00EA07A2">
    <w:pPr>
      <w:pStyle w:val="Header"/>
      <w:jc w:val="center"/>
      <w:rPr>
        <w:rFonts w:ascii="Arial" w:hAnsi="Arial" w:cs="Arial"/>
        <w:b/>
        <w14:shadow w14:blurRad="50800" w14:dist="38100" w14:dir="2700000" w14:sx="100000" w14:sy="100000" w14:kx="0" w14:ky="0" w14:algn="tl">
          <w14:srgbClr w14:val="000000">
            <w14:alpha w14:val="60000"/>
          </w14:srgbClr>
        </w14:shadow>
      </w:rPr>
    </w:pPr>
    <w:r w:rsidRPr="004947DD">
      <w:rPr>
        <w:rFonts w:ascii="Arial" w:hAnsi="Arial" w:cs="Arial"/>
        <w:b/>
        <w14:shadow w14:blurRad="50800" w14:dist="38100" w14:dir="2700000" w14:sx="100000" w14:sy="100000" w14:kx="0" w14:ky="0" w14:algn="tl">
          <w14:srgbClr w14:val="000000">
            <w14:alpha w14:val="60000"/>
          </w14:srgbClr>
        </w14:shadow>
      </w:rPr>
      <w:t>NACIONALINĖ TEISMŲ ADMINISTRACIJA</w:t>
    </w:r>
  </w:p>
  <w:p w14:paraId="3C172DEE" w14:textId="77777777" w:rsidR="00535F3C" w:rsidRPr="00EA07A2" w:rsidRDefault="00535F3C" w:rsidP="00EA07A2">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22334831">
    <w:abstractNumId w:val="4"/>
  </w:num>
  <w:num w:numId="2" w16cid:durableId="1486319897">
    <w:abstractNumId w:val="0"/>
  </w:num>
  <w:num w:numId="3" w16cid:durableId="1027833012">
    <w:abstractNumId w:val="9"/>
  </w:num>
  <w:num w:numId="4" w16cid:durableId="662506990">
    <w:abstractNumId w:val="2"/>
  </w:num>
  <w:num w:numId="5" w16cid:durableId="410079375">
    <w:abstractNumId w:val="1"/>
  </w:num>
  <w:num w:numId="6" w16cid:durableId="379524127">
    <w:abstractNumId w:val="3"/>
  </w:num>
  <w:num w:numId="7" w16cid:durableId="1520967629">
    <w:abstractNumId w:val="6"/>
  </w:num>
  <w:num w:numId="8" w16cid:durableId="1926303542">
    <w:abstractNumId w:val="11"/>
  </w:num>
  <w:num w:numId="9" w16cid:durableId="277446179">
    <w:abstractNumId w:val="7"/>
  </w:num>
  <w:num w:numId="10" w16cid:durableId="989409836">
    <w:abstractNumId w:val="10"/>
  </w:num>
  <w:num w:numId="11" w16cid:durableId="428307794">
    <w:abstractNumId w:val="5"/>
  </w:num>
  <w:num w:numId="12" w16cid:durableId="686713018">
    <w:abstractNumId w:val="12"/>
  </w:num>
  <w:num w:numId="13" w16cid:durableId="208693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5555"/>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4B86"/>
    <w:rsid w:val="00076A21"/>
    <w:rsid w:val="000774D6"/>
    <w:rsid w:val="00077CB0"/>
    <w:rsid w:val="0008004F"/>
    <w:rsid w:val="00080453"/>
    <w:rsid w:val="0008197A"/>
    <w:rsid w:val="000821E8"/>
    <w:rsid w:val="000827A6"/>
    <w:rsid w:val="00082880"/>
    <w:rsid w:val="0008460A"/>
    <w:rsid w:val="000846E7"/>
    <w:rsid w:val="000854C8"/>
    <w:rsid w:val="0008616D"/>
    <w:rsid w:val="00086872"/>
    <w:rsid w:val="00086A53"/>
    <w:rsid w:val="00087422"/>
    <w:rsid w:val="00087BDF"/>
    <w:rsid w:val="00091737"/>
    <w:rsid w:val="000918BC"/>
    <w:rsid w:val="00092733"/>
    <w:rsid w:val="00092D5F"/>
    <w:rsid w:val="0009320E"/>
    <w:rsid w:val="0009348F"/>
    <w:rsid w:val="0009545C"/>
    <w:rsid w:val="00095AE8"/>
    <w:rsid w:val="000967A3"/>
    <w:rsid w:val="000A0DB0"/>
    <w:rsid w:val="000A0F09"/>
    <w:rsid w:val="000A3C77"/>
    <w:rsid w:val="000A416C"/>
    <w:rsid w:val="000A4A64"/>
    <w:rsid w:val="000A743A"/>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366B"/>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013"/>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39B"/>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2A16"/>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563A3"/>
    <w:rsid w:val="0026125C"/>
    <w:rsid w:val="0026355C"/>
    <w:rsid w:val="002638ED"/>
    <w:rsid w:val="00265A1A"/>
    <w:rsid w:val="002701B4"/>
    <w:rsid w:val="002718B3"/>
    <w:rsid w:val="00272081"/>
    <w:rsid w:val="0027330F"/>
    <w:rsid w:val="002746E2"/>
    <w:rsid w:val="0027590F"/>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588D"/>
    <w:rsid w:val="002E78AC"/>
    <w:rsid w:val="002F360B"/>
    <w:rsid w:val="003016FC"/>
    <w:rsid w:val="00301DC3"/>
    <w:rsid w:val="0030346C"/>
    <w:rsid w:val="003058EA"/>
    <w:rsid w:val="00305A84"/>
    <w:rsid w:val="00310131"/>
    <w:rsid w:val="0031068C"/>
    <w:rsid w:val="00311301"/>
    <w:rsid w:val="003119FD"/>
    <w:rsid w:val="00311B9E"/>
    <w:rsid w:val="003138F1"/>
    <w:rsid w:val="00313E9B"/>
    <w:rsid w:val="003141BF"/>
    <w:rsid w:val="00315AD5"/>
    <w:rsid w:val="00316B75"/>
    <w:rsid w:val="00317B09"/>
    <w:rsid w:val="00324FE4"/>
    <w:rsid w:val="003256D0"/>
    <w:rsid w:val="00330C8E"/>
    <w:rsid w:val="0033192F"/>
    <w:rsid w:val="00334FEC"/>
    <w:rsid w:val="003352A7"/>
    <w:rsid w:val="0033626A"/>
    <w:rsid w:val="003369B9"/>
    <w:rsid w:val="00340058"/>
    <w:rsid w:val="00340063"/>
    <w:rsid w:val="00340837"/>
    <w:rsid w:val="00340FA6"/>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65AF"/>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5D41"/>
    <w:rsid w:val="00437359"/>
    <w:rsid w:val="00440A7E"/>
    <w:rsid w:val="00441635"/>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85CBD"/>
    <w:rsid w:val="004907DA"/>
    <w:rsid w:val="004921F8"/>
    <w:rsid w:val="004923F5"/>
    <w:rsid w:val="00492D52"/>
    <w:rsid w:val="00492D7E"/>
    <w:rsid w:val="0049460B"/>
    <w:rsid w:val="004947DD"/>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1428"/>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2E92"/>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E7D71"/>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399E"/>
    <w:rsid w:val="0061508C"/>
    <w:rsid w:val="00615B1E"/>
    <w:rsid w:val="00616358"/>
    <w:rsid w:val="006174FC"/>
    <w:rsid w:val="00620353"/>
    <w:rsid w:val="00621925"/>
    <w:rsid w:val="0063056F"/>
    <w:rsid w:val="00630BB0"/>
    <w:rsid w:val="00631022"/>
    <w:rsid w:val="00634101"/>
    <w:rsid w:val="006400F2"/>
    <w:rsid w:val="00643697"/>
    <w:rsid w:val="006438D2"/>
    <w:rsid w:val="006442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339D"/>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3BDB"/>
    <w:rsid w:val="006D46E5"/>
    <w:rsid w:val="006D4C93"/>
    <w:rsid w:val="006D5836"/>
    <w:rsid w:val="006D7B38"/>
    <w:rsid w:val="006E01CE"/>
    <w:rsid w:val="006E0F81"/>
    <w:rsid w:val="006E1692"/>
    <w:rsid w:val="006E32A2"/>
    <w:rsid w:val="006F0349"/>
    <w:rsid w:val="006F2CF5"/>
    <w:rsid w:val="006F35EB"/>
    <w:rsid w:val="006F4BCF"/>
    <w:rsid w:val="0070160D"/>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2B6"/>
    <w:rsid w:val="00781824"/>
    <w:rsid w:val="00783917"/>
    <w:rsid w:val="00783958"/>
    <w:rsid w:val="0078447C"/>
    <w:rsid w:val="00784BAD"/>
    <w:rsid w:val="00784E50"/>
    <w:rsid w:val="007851E9"/>
    <w:rsid w:val="00785222"/>
    <w:rsid w:val="0078645D"/>
    <w:rsid w:val="0078647F"/>
    <w:rsid w:val="00790023"/>
    <w:rsid w:val="00791E9C"/>
    <w:rsid w:val="007944F7"/>
    <w:rsid w:val="007953F7"/>
    <w:rsid w:val="007955EC"/>
    <w:rsid w:val="0079571A"/>
    <w:rsid w:val="007975B3"/>
    <w:rsid w:val="007A1134"/>
    <w:rsid w:val="007A18C7"/>
    <w:rsid w:val="007A3810"/>
    <w:rsid w:val="007A45B8"/>
    <w:rsid w:val="007A5830"/>
    <w:rsid w:val="007A5F36"/>
    <w:rsid w:val="007A726F"/>
    <w:rsid w:val="007A748F"/>
    <w:rsid w:val="007B0CAD"/>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3DC5"/>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9CF"/>
    <w:rsid w:val="00816AED"/>
    <w:rsid w:val="00816DBD"/>
    <w:rsid w:val="00820A56"/>
    <w:rsid w:val="00821186"/>
    <w:rsid w:val="00822C08"/>
    <w:rsid w:val="00823C27"/>
    <w:rsid w:val="008248E0"/>
    <w:rsid w:val="008256B0"/>
    <w:rsid w:val="008258B4"/>
    <w:rsid w:val="008269C6"/>
    <w:rsid w:val="008276D0"/>
    <w:rsid w:val="008279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2A98"/>
    <w:rsid w:val="008B3B01"/>
    <w:rsid w:val="008B40E0"/>
    <w:rsid w:val="008B4274"/>
    <w:rsid w:val="008B6C00"/>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630D"/>
    <w:rsid w:val="008F708B"/>
    <w:rsid w:val="009041B4"/>
    <w:rsid w:val="009042D1"/>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5495"/>
    <w:rsid w:val="00936CF9"/>
    <w:rsid w:val="00937CC6"/>
    <w:rsid w:val="00941257"/>
    <w:rsid w:val="00945E96"/>
    <w:rsid w:val="00946816"/>
    <w:rsid w:val="00947B72"/>
    <w:rsid w:val="00950517"/>
    <w:rsid w:val="00950B5F"/>
    <w:rsid w:val="0095115A"/>
    <w:rsid w:val="00952D21"/>
    <w:rsid w:val="009535A7"/>
    <w:rsid w:val="00953DD0"/>
    <w:rsid w:val="00956139"/>
    <w:rsid w:val="0095663A"/>
    <w:rsid w:val="009604BB"/>
    <w:rsid w:val="00960CE8"/>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24E"/>
    <w:rsid w:val="009F583F"/>
    <w:rsid w:val="009F6785"/>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5320"/>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1F46"/>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4B9A"/>
    <w:rsid w:val="00AA52B8"/>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5DB0"/>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A0D"/>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26"/>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930"/>
    <w:rsid w:val="00C03F82"/>
    <w:rsid w:val="00C0455E"/>
    <w:rsid w:val="00C05C3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55D7E"/>
    <w:rsid w:val="00C6129A"/>
    <w:rsid w:val="00C61540"/>
    <w:rsid w:val="00C62797"/>
    <w:rsid w:val="00C634B7"/>
    <w:rsid w:val="00C64F96"/>
    <w:rsid w:val="00C65BD9"/>
    <w:rsid w:val="00C661FB"/>
    <w:rsid w:val="00C66261"/>
    <w:rsid w:val="00C713E0"/>
    <w:rsid w:val="00C71448"/>
    <w:rsid w:val="00C717B8"/>
    <w:rsid w:val="00C75E65"/>
    <w:rsid w:val="00C7795E"/>
    <w:rsid w:val="00C77A7B"/>
    <w:rsid w:val="00C81524"/>
    <w:rsid w:val="00C81FAA"/>
    <w:rsid w:val="00C82B7D"/>
    <w:rsid w:val="00C8398E"/>
    <w:rsid w:val="00C83A84"/>
    <w:rsid w:val="00C84886"/>
    <w:rsid w:val="00C86623"/>
    <w:rsid w:val="00C86850"/>
    <w:rsid w:val="00C878C6"/>
    <w:rsid w:val="00C907A3"/>
    <w:rsid w:val="00C90A99"/>
    <w:rsid w:val="00C94C13"/>
    <w:rsid w:val="00C950D0"/>
    <w:rsid w:val="00C957F6"/>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67EF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3DA2"/>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373C"/>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1A44"/>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4515"/>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4A99"/>
    <w:rsid w:val="00F85155"/>
    <w:rsid w:val="00F87918"/>
    <w:rsid w:val="00F92E38"/>
    <w:rsid w:val="00F93194"/>
    <w:rsid w:val="00F93C9C"/>
    <w:rsid w:val="00F954A8"/>
    <w:rsid w:val="00F95574"/>
    <w:rsid w:val="00FA0CF8"/>
    <w:rsid w:val="00FA28F6"/>
    <w:rsid w:val="00FA54DA"/>
    <w:rsid w:val="00FA5BA8"/>
    <w:rsid w:val="00FA6810"/>
    <w:rsid w:val="00FB171B"/>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5A9"/>
    <w:rsid w:val="00FF0AC3"/>
    <w:rsid w:val="00FF111D"/>
    <w:rsid w:val="00FF11AB"/>
    <w:rsid w:val="00FF18FE"/>
    <w:rsid w:val="00FF269D"/>
    <w:rsid w:val="00FF34CB"/>
    <w:rsid w:val="00FF36B0"/>
    <w:rsid w:val="00FF5860"/>
    <w:rsid w:val="00FF64DA"/>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3720D"/>
  <w15:docId w15:val="{D927EAA7-404B-40B0-8B33-0536D82E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E8"/>
    <w:rPr>
      <w:sz w:val="24"/>
      <w:szCs w:val="24"/>
    </w:rPr>
  </w:style>
  <w:style w:type="paragraph" w:styleId="Heading1">
    <w:name w:val="heading 1"/>
    <w:basedOn w:val="Normal"/>
    <w:next w:val="Normal"/>
    <w:link w:val="Heading1Char"/>
    <w:uiPriority w:val="99"/>
    <w:qFormat/>
    <w:rsid w:val="00E94C31"/>
    <w:pPr>
      <w:keepNext/>
      <w:jc w:val="center"/>
      <w:outlineLvl w:val="0"/>
    </w:pPr>
    <w:rPr>
      <w:b/>
    </w:rPr>
  </w:style>
  <w:style w:type="paragraph" w:styleId="Heading2">
    <w:name w:val="heading 2"/>
    <w:basedOn w:val="Normal"/>
    <w:next w:val="Normal"/>
    <w:link w:val="Heading2Char"/>
    <w:uiPriority w:val="99"/>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46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14624"/>
    <w:rPr>
      <w:rFonts w:ascii="Cambria" w:hAnsi="Cambria" w:cs="Times New Roman"/>
      <w:b/>
      <w:bCs/>
      <w:i/>
      <w:iCs/>
      <w:sz w:val="28"/>
      <w:szCs w:val="28"/>
    </w:rPr>
  </w:style>
  <w:style w:type="paragraph" w:styleId="BalloonText">
    <w:name w:val="Balloon Text"/>
    <w:basedOn w:val="Normal"/>
    <w:link w:val="BalloonTextChar"/>
    <w:uiPriority w:val="99"/>
    <w:semiHidden/>
    <w:rsid w:val="00E94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624"/>
    <w:rPr>
      <w:rFonts w:cs="Times New Roman"/>
      <w:sz w:val="2"/>
    </w:rPr>
  </w:style>
  <w:style w:type="character" w:styleId="Strong">
    <w:name w:val="Strong"/>
    <w:basedOn w:val="DefaultParagraphFont"/>
    <w:uiPriority w:val="99"/>
    <w:qFormat/>
    <w:rsid w:val="00761409"/>
    <w:rPr>
      <w:rFonts w:cs="Times New Roman"/>
      <w:b/>
    </w:rPr>
  </w:style>
  <w:style w:type="character" w:styleId="Hyperlink">
    <w:name w:val="Hyperlink"/>
    <w:basedOn w:val="DefaultParagraphFont"/>
    <w:uiPriority w:val="99"/>
    <w:rsid w:val="00E94C31"/>
    <w:rPr>
      <w:rFonts w:cs="Times New Roman"/>
      <w:color w:val="0000FF"/>
      <w:u w:val="single"/>
    </w:rPr>
  </w:style>
  <w:style w:type="table" w:styleId="TableGrid">
    <w:name w:val="Table Grid"/>
    <w:basedOn w:val="TableNorma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07A2"/>
    <w:pPr>
      <w:tabs>
        <w:tab w:val="center" w:pos="4819"/>
        <w:tab w:val="right" w:pos="9638"/>
      </w:tabs>
    </w:pPr>
  </w:style>
  <w:style w:type="character" w:customStyle="1" w:styleId="HeaderChar">
    <w:name w:val="Header Char"/>
    <w:basedOn w:val="DefaultParagraphFont"/>
    <w:link w:val="Header"/>
    <w:uiPriority w:val="99"/>
    <w:semiHidden/>
    <w:locked/>
    <w:rsid w:val="00014624"/>
    <w:rPr>
      <w:rFonts w:cs="Times New Roman"/>
      <w:sz w:val="24"/>
      <w:szCs w:val="24"/>
    </w:rPr>
  </w:style>
  <w:style w:type="paragraph" w:styleId="Footer">
    <w:name w:val="footer"/>
    <w:basedOn w:val="Normal"/>
    <w:link w:val="FooterChar"/>
    <w:uiPriority w:val="99"/>
    <w:rsid w:val="00EA07A2"/>
    <w:pPr>
      <w:tabs>
        <w:tab w:val="center" w:pos="4819"/>
        <w:tab w:val="right" w:pos="9638"/>
      </w:tabs>
    </w:pPr>
  </w:style>
  <w:style w:type="character" w:customStyle="1" w:styleId="FooterChar">
    <w:name w:val="Footer Char"/>
    <w:basedOn w:val="DefaultParagraphFont"/>
    <w:link w:val="Footer"/>
    <w:uiPriority w:val="99"/>
    <w:semiHidden/>
    <w:locked/>
    <w:rsid w:val="00014624"/>
    <w:rPr>
      <w:rFonts w:cs="Times New Roman"/>
      <w:sz w:val="24"/>
      <w:szCs w:val="24"/>
    </w:rPr>
  </w:style>
  <w:style w:type="paragraph" w:styleId="BodyText">
    <w:name w:val="Body Text"/>
    <w:basedOn w:val="Normal"/>
    <w:link w:val="BodyTextChar"/>
    <w:uiPriority w:val="99"/>
    <w:rsid w:val="00F63189"/>
    <w:pPr>
      <w:jc w:val="center"/>
    </w:pPr>
    <w:rPr>
      <w:szCs w:val="20"/>
    </w:rPr>
  </w:style>
  <w:style w:type="character" w:customStyle="1" w:styleId="BodyTextChar">
    <w:name w:val="Body Text Char"/>
    <w:basedOn w:val="DefaultParagraphFont"/>
    <w:link w:val="BodyText"/>
    <w:uiPriority w:val="99"/>
    <w:locked/>
    <w:rsid w:val="00F63189"/>
    <w:rPr>
      <w:rFonts w:cs="Times New Roman"/>
      <w:sz w:val="24"/>
      <w:lang w:val="lt-LT" w:eastAsia="lt-LT"/>
    </w:rPr>
  </w:style>
  <w:style w:type="paragraph" w:customStyle="1" w:styleId="msolistparagraph0">
    <w:name w:val="msolistparagraph"/>
    <w:basedOn w:val="Normal"/>
    <w:uiPriority w:val="99"/>
    <w:rsid w:val="008721FC"/>
    <w:pPr>
      <w:ind w:left="720"/>
    </w:pPr>
    <w:rPr>
      <w:rFonts w:ascii="Calibri" w:hAnsi="Calibri"/>
      <w:sz w:val="22"/>
      <w:szCs w:val="22"/>
      <w:lang w:val="en-US" w:eastAsia="en-US"/>
    </w:rPr>
  </w:style>
  <w:style w:type="paragraph" w:styleId="NormalWeb">
    <w:name w:val="Normal (Web)"/>
    <w:basedOn w:val="Normal"/>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Normal"/>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 w:type="character" w:styleId="Emphasis">
    <w:name w:val="Emphasis"/>
    <w:basedOn w:val="DefaultParagraphFont"/>
    <w:qFormat/>
    <w:locked/>
    <w:rsid w:val="00A81F46"/>
    <w:rPr>
      <w:i/>
      <w:iCs/>
    </w:rPr>
  </w:style>
  <w:style w:type="paragraph" w:styleId="Revision">
    <w:name w:val="Revision"/>
    <w:hidden/>
    <w:uiPriority w:val="99"/>
    <w:semiHidden/>
    <w:rsid w:val="000A3C77"/>
    <w:rPr>
      <w:sz w:val="24"/>
      <w:szCs w:val="24"/>
    </w:rPr>
  </w:style>
  <w:style w:type="paragraph" w:styleId="FootnoteText">
    <w:name w:val="footnote text"/>
    <w:basedOn w:val="Normal"/>
    <w:link w:val="FootnoteTextChar"/>
    <w:uiPriority w:val="99"/>
    <w:semiHidden/>
    <w:unhideWhenUsed/>
    <w:rsid w:val="000A3C77"/>
    <w:rPr>
      <w:sz w:val="20"/>
      <w:szCs w:val="20"/>
    </w:rPr>
  </w:style>
  <w:style w:type="character" w:customStyle="1" w:styleId="FootnoteTextChar">
    <w:name w:val="Footnote Text Char"/>
    <w:basedOn w:val="DefaultParagraphFont"/>
    <w:link w:val="FootnoteText"/>
    <w:uiPriority w:val="99"/>
    <w:semiHidden/>
    <w:rsid w:val="000A3C77"/>
    <w:rPr>
      <w:sz w:val="20"/>
      <w:szCs w:val="20"/>
    </w:rPr>
  </w:style>
  <w:style w:type="character" w:styleId="FootnoteReference">
    <w:name w:val="footnote reference"/>
    <w:basedOn w:val="DefaultParagraphFont"/>
    <w:uiPriority w:val="99"/>
    <w:semiHidden/>
    <w:unhideWhenUsed/>
    <w:rsid w:val="000A3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145635350">
      <w:bodyDiv w:val="1"/>
      <w:marLeft w:val="0"/>
      <w:marRight w:val="0"/>
      <w:marTop w:val="0"/>
      <w:marBottom w:val="0"/>
      <w:divBdr>
        <w:top w:val="none" w:sz="0" w:space="0" w:color="auto"/>
        <w:left w:val="none" w:sz="0" w:space="0" w:color="auto"/>
        <w:bottom w:val="none" w:sz="0" w:space="0" w:color="auto"/>
        <w:right w:val="none" w:sz="0" w:space="0" w:color="auto"/>
      </w:divBdr>
    </w:div>
    <w:div w:id="558134272">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389181030">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52288966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836023181">
      <w:bodyDiv w:val="1"/>
      <w:marLeft w:val="0"/>
      <w:marRight w:val="0"/>
      <w:marTop w:val="0"/>
      <w:marBottom w:val="0"/>
      <w:divBdr>
        <w:top w:val="none" w:sz="0" w:space="0" w:color="auto"/>
        <w:left w:val="none" w:sz="0" w:space="0" w:color="auto"/>
        <w:bottom w:val="none" w:sz="0" w:space="0" w:color="auto"/>
        <w:right w:val="none" w:sz="0" w:space="0" w:color="auto"/>
      </w:divBdr>
    </w:div>
    <w:div w:id="1894391358">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065054451">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akalauskiene@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CEFBB-33D3-45B9-8160-FDD77DAD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263</Words>
  <Characters>2121</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2010 m.</vt:lpstr>
      <vt:lpstr>2010 m.</vt:lpstr>
    </vt:vector>
  </TitlesOfParts>
  <Company>TM</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Neringa Sakalauskienė</cp:lastModifiedBy>
  <cp:revision>2</cp:revision>
  <cp:lastPrinted>2015-07-08T07:49:00Z</cp:lastPrinted>
  <dcterms:created xsi:type="dcterms:W3CDTF">2023-12-29T07:11:00Z</dcterms:created>
  <dcterms:modified xsi:type="dcterms:W3CDTF">2023-12-29T07:11:00Z</dcterms:modified>
</cp:coreProperties>
</file>