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343"/>
        <w:gridCol w:w="3863"/>
      </w:tblGrid>
      <w:tr w:rsidR="00EE68D3" w14:paraId="61DF1E2D" w14:textId="77777777" w:rsidTr="003837BB">
        <w:tc>
          <w:tcPr>
            <w:tcW w:w="6487" w:type="dxa"/>
            <w:shd w:val="clear" w:color="auto" w:fill="auto"/>
          </w:tcPr>
          <w:p w14:paraId="13515661" w14:textId="131ABC7E" w:rsidR="00EE68D3" w:rsidRDefault="00EE68D3" w:rsidP="003837BB">
            <w:pPr>
              <w:jc w:val="both"/>
            </w:pPr>
          </w:p>
        </w:tc>
        <w:tc>
          <w:tcPr>
            <w:tcW w:w="3935" w:type="dxa"/>
            <w:shd w:val="clear" w:color="auto" w:fill="auto"/>
          </w:tcPr>
          <w:p w14:paraId="326B8521" w14:textId="3DC58781" w:rsidR="00EE68D3" w:rsidRDefault="00EE68D3" w:rsidP="003837BB">
            <w:pPr>
              <w:jc w:val="both"/>
            </w:pPr>
            <w:r>
              <w:t>2024-02-</w:t>
            </w:r>
            <w:r w:rsidR="00376A82">
              <w:t>29</w:t>
            </w:r>
            <w:r>
              <w:t xml:space="preserve">       Nr. 17P-</w:t>
            </w:r>
            <w:r w:rsidR="00376A82">
              <w:t>36</w:t>
            </w:r>
            <w:r>
              <w:t>-(7.4.8 Mr.)</w:t>
            </w:r>
          </w:p>
        </w:tc>
      </w:tr>
      <w:tr w:rsidR="00EE68D3" w14:paraId="27E3486B" w14:textId="77777777" w:rsidTr="003837BB">
        <w:tc>
          <w:tcPr>
            <w:tcW w:w="6487" w:type="dxa"/>
            <w:shd w:val="clear" w:color="auto" w:fill="auto"/>
          </w:tcPr>
          <w:p w14:paraId="4D6A255C" w14:textId="03BDECA4" w:rsidR="00EE68D3" w:rsidRPr="006D1072" w:rsidRDefault="00EE68D3" w:rsidP="003837BB">
            <w:pPr>
              <w:jc w:val="both"/>
              <w:rPr>
                <w:lang w:val="en-US"/>
              </w:rPr>
            </w:pPr>
            <w:r>
              <w:rPr>
                <w:lang w:val="en-US"/>
              </w:rPr>
              <w:t xml:space="preserve"> </w:t>
            </w:r>
          </w:p>
        </w:tc>
        <w:tc>
          <w:tcPr>
            <w:tcW w:w="3935" w:type="dxa"/>
            <w:shd w:val="clear" w:color="auto" w:fill="auto"/>
          </w:tcPr>
          <w:p w14:paraId="7C280F63" w14:textId="282C1244" w:rsidR="00EE68D3" w:rsidRDefault="00EE68D3" w:rsidP="003837BB">
            <w:pPr>
              <w:jc w:val="both"/>
            </w:pPr>
          </w:p>
        </w:tc>
      </w:tr>
    </w:tbl>
    <w:p w14:paraId="555E09A9" w14:textId="77777777" w:rsidR="00EE68D3" w:rsidRDefault="00EE68D3" w:rsidP="00EE68D3">
      <w:pPr>
        <w:jc w:val="both"/>
        <w:rPr>
          <w:b/>
          <w:bCs/>
        </w:rPr>
      </w:pPr>
    </w:p>
    <w:p w14:paraId="13A57B9A" w14:textId="77777777" w:rsidR="00EE68D3" w:rsidRPr="000D3743" w:rsidRDefault="00EE68D3" w:rsidP="00EE68D3">
      <w:pPr>
        <w:jc w:val="both"/>
        <w:rPr>
          <w:b/>
          <w:bCs/>
        </w:rPr>
      </w:pPr>
      <w:r w:rsidRPr="000D3743">
        <w:rPr>
          <w:b/>
          <w:bCs/>
        </w:rPr>
        <w:t xml:space="preserve">DĖL KONSULTACIJOS </w:t>
      </w:r>
    </w:p>
    <w:p w14:paraId="4E83894D" w14:textId="77777777" w:rsidR="00EE68D3" w:rsidRDefault="00EE68D3" w:rsidP="00EE68D3">
      <w:pPr>
        <w:jc w:val="both"/>
      </w:pPr>
    </w:p>
    <w:p w14:paraId="27373E51" w14:textId="5E181F47" w:rsidR="00EE68D3" w:rsidRDefault="00EE68D3" w:rsidP="00EE68D3">
      <w:pPr>
        <w:ind w:firstLine="720"/>
        <w:jc w:val="both"/>
      </w:pPr>
      <w:r w:rsidRPr="004D2A75">
        <w:t xml:space="preserve">Teisėjų etikos ir drausmės komisijoje (toliau – ir Komisija) gautas </w:t>
      </w:r>
      <w:r>
        <w:t xml:space="preserve">Kauno apylinkės teismo Kauno rūmų teisėjos prašymas suteikti konsultaciją: </w:t>
      </w:r>
      <w:r w:rsidRPr="008C5F2B">
        <w:t>ar teisėjo veiksmuose, atsisakius tenkinti proceso dalyvio (šiuo atveju – administracinėn atsakomybėn traukiamo asmens) prašymą pateikti jam susipažinti bylą nagrinėjančio teisėjo pažymėjimą, nėra teisėjų etikos kodekso pažeidimo požymių. Ar teisėjas, tokioje susidariusioje situacijoje, turi teisę savo nuožiūra spręsti dėl teisėjo pažymėjimo pateikimo ar nepateikimo susipažinti proceso dalyviui.</w:t>
      </w:r>
      <w:r>
        <w:t xml:space="preserve"> Šiuo atveju, </w:t>
      </w:r>
      <w:r w:rsidRPr="00362025">
        <w:t xml:space="preserve">teismo posėdžio metu atsisakius parodyti proceso dalyviui teisėjo pažymėjimą, analogiškas prašymas buvo gautas raštu, papildomai prašant šio dokumento kopiją prijungti prie bylos. </w:t>
      </w:r>
    </w:p>
    <w:p w14:paraId="0D5E801F" w14:textId="77777777" w:rsidR="00EE68D3" w:rsidRDefault="00EE68D3" w:rsidP="00EE68D3">
      <w:pPr>
        <w:ind w:firstLine="720"/>
        <w:jc w:val="both"/>
      </w:pPr>
      <w:r>
        <w:rPr>
          <w:shd w:val="clear" w:color="auto" w:fill="FFFFFF"/>
        </w:rPr>
        <w:t>Komisija, atsakydama į</w:t>
      </w:r>
      <w:r>
        <w:t xml:space="preserve"> Kauno apylinkės teismo Kauno rūmų</w:t>
      </w:r>
      <w:r>
        <w:rPr>
          <w:shd w:val="clear" w:color="auto" w:fill="FFFFFF"/>
        </w:rPr>
        <w:t xml:space="preserve"> teisėjos prašymą suteikti konsultaciją atkreipia dėmesį, kad </w:t>
      </w:r>
      <w:r>
        <w:t>Teisėjų etikos kodekse įtvirtintas pagarbos ir lojalumo valstybei principas įpareigoja teisėją tarnybinį pažymėjimą, mantiją, ženklus naudoti tik vykdant savo pareigas teisės aktų nustatyta tvarka, vertinti juos ir saugoti (7 straipsnio 4 punktas). Šio principo turinys negali būti aiškinamas atsietai nuo Lietuvos Respublikos teismų įstatyme (toliau – Teismų įstatymas) nustatyto reglamentavimo. Teismų įstatymo 35 straipsnis reglamentuoja teismo posėdžio dalyvių skiriamuosius ženklus bei numato, kad teisėjai bylas nagrinėja dėvėdami mantijas ir ženklus su Lietuvos valstybės herbu. Iš esmės tapati nuostata yra įtvirtinta Teismų įstatymo 42 straipsnyje, reglamentuojančiame teisėjų skiriamuosius ženklus. Šio straipsnio 1 dalis numato,  kad teisėjų valdžios vykdant teisingumą simboliai yra mantija ir ženklas su Lietuvos valstybės herbu. Teisėjų valdžios simbolių etalonus tvirtina Prezidentas Teisėjų tarybos siūlymu (Teismų įstatymo 43 straipsnio 3 dalis).</w:t>
      </w:r>
    </w:p>
    <w:p w14:paraId="7D65DECE" w14:textId="77777777" w:rsidR="00EE68D3" w:rsidRDefault="00EE68D3" w:rsidP="00EE68D3">
      <w:pPr>
        <w:ind w:firstLine="720"/>
        <w:jc w:val="both"/>
      </w:pPr>
      <w:r>
        <w:t>Teismų įstatymo 42 straipsnio 2 dalis numato, kad paskirtam teisėjui yra išduodamas teisėjo pažymėjimas. Teisėjo pažymėjimo pavyzdžius, jų išdavimo ir galiojimo tvarkos aprašą tvirtina Prezidentas Teisėjų tarybos siūlymu (Teismų įstatymo 43 straipsnio 3 dalis). Be jau minėto Teisėjų etikos kodekso 7 straipsnio 4 punkto reikalavimų, nei Teismų įstatymas, nei Prezidento 2009 m. gruodžio 7 d. dekretu Nr. 1K-225 patvirtintas Teisėjų pažymėjimų išdavimo, galiojimo ir apskaitos tvarkos aprašas plačiau teisėjo pažymėjimo naudojimo atvejų ir sąlygų</w:t>
      </w:r>
      <w:r w:rsidRPr="00ED0F65">
        <w:t xml:space="preserve"> </w:t>
      </w:r>
      <w:r>
        <w:t xml:space="preserve">nedetalizuoja. </w:t>
      </w:r>
    </w:p>
    <w:p w14:paraId="482171DB" w14:textId="77777777" w:rsidR="00EE68D3" w:rsidRDefault="00EE68D3" w:rsidP="00EE68D3">
      <w:pPr>
        <w:ind w:firstLine="720"/>
        <w:jc w:val="both"/>
      </w:pPr>
      <w:r>
        <w:t>Komisija, atsakydama į Kauno apylinkės teismo Kauno rūmų teisėjos prašymą suteikti konsultaciją, pažymi, kad aptartas Teismų įstatyme įtvirtintas reglamentavimas tiesiogiai nustato skiriamuosius ženklus, kuriuos teisėjas privalo turėti vykdydamas teisingumą, t. y. teisėjas nagrinėdamas bylas turi dėvėti mantiją ir ženklą su Lietuvos valstybės herbu. Šie skiriamieji ženklai Teismų įstatymo yra numatyti kaip pakankami, kad teismo posėdžio dalyviai būtų tinkamai informuoti apie teisėją, vykdantį savo pareigas, bei jo įgaliojimus vykdyti teisingumą (nagrinėti bylas).</w:t>
      </w:r>
    </w:p>
    <w:p w14:paraId="4619C37D" w14:textId="77777777" w:rsidR="00EE68D3" w:rsidRDefault="00EE68D3" w:rsidP="00EE68D3">
      <w:pPr>
        <w:ind w:firstLine="720"/>
        <w:jc w:val="both"/>
      </w:pPr>
      <w:r>
        <w:t xml:space="preserve"> Tai, kad teisėjui yra išduodamas teisėjo pažymėjimas, Teisėjų etikos kodekso 7 straipsnio 4 punkto prasme negali būti aiškinama kaip teisėjo pareiga </w:t>
      </w:r>
      <w:r w:rsidRPr="008C5F2B">
        <w:t>pateikti</w:t>
      </w:r>
      <w:r>
        <w:t xml:space="preserve"> jį proceso dalyviams</w:t>
      </w:r>
      <w:r w:rsidRPr="008C5F2B">
        <w:t xml:space="preserve"> susipažinti</w:t>
      </w:r>
      <w:r>
        <w:t>.</w:t>
      </w:r>
    </w:p>
    <w:p w14:paraId="656D5F96" w14:textId="77777777" w:rsidR="00EE68D3" w:rsidRPr="006D1072" w:rsidRDefault="00EE68D3" w:rsidP="00EE68D3">
      <w:pPr>
        <w:ind w:firstLine="720"/>
        <w:jc w:val="both"/>
      </w:pPr>
      <w:r w:rsidRPr="00E9341E">
        <w:rPr>
          <w:shd w:val="clear" w:color="auto" w:fill="FFFFFF"/>
        </w:rPr>
        <w:t xml:space="preserve">Komisija, </w:t>
      </w:r>
      <w:r>
        <w:t xml:space="preserve">įvertinusi aptartą Teismų įstatyme bei Teisėjų etikos kodekso 7 straipsnio 4 punkte numatytą reglamentavimą, daro išvadą, kad atsisakius teisėjui tenkinti proceso dalyvio prašymą - </w:t>
      </w:r>
      <w:r w:rsidRPr="008C5F2B">
        <w:t xml:space="preserve"> pateikti jam susipažinti bylą nagrinėjančio teisėjo pažymėjimą</w:t>
      </w:r>
      <w:r>
        <w:t>, nėra pagrindo įžvelgti Teisėjų etikos kodekso pažeidimo požymių.</w:t>
      </w:r>
    </w:p>
    <w:p w14:paraId="2FF8DAC7" w14:textId="77777777" w:rsidR="00EE68D3" w:rsidRPr="00E9341E" w:rsidRDefault="00EE68D3" w:rsidP="00EE68D3">
      <w:pPr>
        <w:ind w:firstLine="851"/>
        <w:jc w:val="both"/>
        <w:rPr>
          <w:color w:val="000000"/>
        </w:rPr>
      </w:pPr>
    </w:p>
    <w:p w14:paraId="78EDE399" w14:textId="77777777" w:rsidR="00EE68D3" w:rsidRDefault="00EE68D3" w:rsidP="00EE68D3">
      <w:pPr>
        <w:tabs>
          <w:tab w:val="left" w:pos="1200"/>
        </w:tabs>
        <w:jc w:val="both"/>
      </w:pPr>
      <w:r>
        <w:t>Pirmininkė</w:t>
      </w:r>
      <w:r w:rsidRPr="00670060">
        <w:t xml:space="preserve"> </w:t>
      </w:r>
      <w:r>
        <w:tab/>
      </w:r>
      <w:r>
        <w:tab/>
      </w:r>
      <w:r>
        <w:tab/>
      </w:r>
      <w:r>
        <w:tab/>
      </w:r>
      <w:r>
        <w:tab/>
      </w:r>
      <w:r>
        <w:tab/>
      </w:r>
      <w:r>
        <w:tab/>
      </w:r>
      <w:r>
        <w:tab/>
        <w:t xml:space="preserve">                                                Sigita Jokimaitė</w:t>
      </w:r>
    </w:p>
    <w:p w14:paraId="59416695" w14:textId="77777777" w:rsidR="00EE68D3" w:rsidRDefault="00EE68D3" w:rsidP="00EE68D3"/>
    <w:p w14:paraId="452F8FF2" w14:textId="7B2A0824" w:rsidR="0089475D" w:rsidRPr="00EE68D3" w:rsidRDefault="00EE68D3">
      <w:pPr>
        <w:rPr>
          <w:lang w:val="fi-FI"/>
        </w:rPr>
      </w:pPr>
      <w:r>
        <w:t>Ina Kalvaitienė</w:t>
      </w:r>
      <w:r w:rsidRPr="00411694">
        <w:t xml:space="preserve">, </w:t>
      </w:r>
      <w:r>
        <w:t xml:space="preserve">mob. </w:t>
      </w:r>
      <w:r w:rsidRPr="00411694">
        <w:t>tel.</w:t>
      </w:r>
      <w:r>
        <w:t xml:space="preserve"> +370 600 76497</w:t>
      </w:r>
      <w:r w:rsidRPr="00411694">
        <w:t xml:space="preserve"> , el. p. </w:t>
      </w:r>
      <w:hyperlink r:id="rId6" w:history="1">
        <w:r w:rsidRPr="0080006D">
          <w:rPr>
            <w:rStyle w:val="Hipersaitas"/>
          </w:rPr>
          <w:t>ina.kalvaitiene</w:t>
        </w:r>
        <w:r w:rsidRPr="0080006D">
          <w:rPr>
            <w:rStyle w:val="Hipersaitas"/>
            <w:lang w:val="fi-FI"/>
          </w:rPr>
          <w:t>@teismai.lt</w:t>
        </w:r>
      </w:hyperlink>
    </w:p>
    <w:sectPr w:rsidR="0089475D" w:rsidRPr="00EE68D3" w:rsidSect="00283565">
      <w:headerReference w:type="default" r:id="rId7"/>
      <w:headerReference w:type="first" r:id="rId8"/>
      <w:footerReference w:type="first" r:id="rId9"/>
      <w:pgSz w:w="11907" w:h="16840" w:code="9"/>
      <w:pgMar w:top="567" w:right="567" w:bottom="567" w:left="1134" w:header="851" w:footer="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95488" w14:textId="77777777" w:rsidR="00283565" w:rsidRDefault="00283565">
      <w:r>
        <w:separator/>
      </w:r>
    </w:p>
  </w:endnote>
  <w:endnote w:type="continuationSeparator" w:id="0">
    <w:p w14:paraId="47883CF3" w14:textId="77777777" w:rsidR="00283565" w:rsidRDefault="00283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8A50" w14:textId="77777777" w:rsidR="008E5283" w:rsidRDefault="00000000" w:rsidP="001539A4">
    <w:pPr>
      <w:pStyle w:val="Porat"/>
      <w:jc w:val="left"/>
    </w:pPr>
    <w:r>
      <w:rPr>
        <w:sz w:val="22"/>
        <w:szCs w:val="22"/>
      </w:rPr>
      <w:tab/>
    </w:r>
  </w:p>
  <w:p w14:paraId="12B5C128" w14:textId="77777777" w:rsidR="008E5283" w:rsidRPr="001539A4" w:rsidRDefault="008E5283" w:rsidP="001539A4">
    <w:pPr>
      <w:pStyle w:val="Porat"/>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A3E67" w14:textId="77777777" w:rsidR="00283565" w:rsidRDefault="00283565">
      <w:r>
        <w:separator/>
      </w:r>
    </w:p>
  </w:footnote>
  <w:footnote w:type="continuationSeparator" w:id="0">
    <w:p w14:paraId="55336804" w14:textId="77777777" w:rsidR="00283565" w:rsidRDefault="00283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A2A48" w14:textId="77777777" w:rsidR="008E5283" w:rsidRDefault="00000000">
    <w:pPr>
      <w:pStyle w:val="Antrats"/>
      <w:tabs>
        <w:tab w:val="clear" w:pos="4153"/>
        <w:tab w:val="clear" w:pos="8306"/>
      </w:tabs>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3</w:t>
    </w:r>
    <w:r>
      <w:rPr>
        <w:rStyle w:val="Puslapionumeris"/>
      </w:rPr>
      <w:fldChar w:fldCharType="end"/>
    </w:r>
  </w:p>
  <w:p w14:paraId="4644F6DB" w14:textId="77777777" w:rsidR="008E5283" w:rsidRDefault="008E5283">
    <w:pPr>
      <w:pStyle w:val="Antrats"/>
      <w:tabs>
        <w:tab w:val="clear" w:pos="4153"/>
        <w:tab w:val="clear" w:pos="8306"/>
      </w:tabs>
      <w:jc w:val="center"/>
      <w:rPr>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E767C" w14:textId="7C6ADA2B" w:rsidR="008E5283" w:rsidRDefault="00EE68D3">
    <w:pPr>
      <w:pStyle w:val="Antrats"/>
      <w:tabs>
        <w:tab w:val="clear" w:pos="4153"/>
      </w:tabs>
      <w:jc w:val="center"/>
      <w:rPr>
        <w:sz w:val="20"/>
      </w:rPr>
    </w:pPr>
    <w:r>
      <w:rPr>
        <w:noProof/>
        <w:sz w:val="20"/>
      </w:rPr>
      <w:drawing>
        <wp:inline distT="0" distB="0" distL="0" distR="0" wp14:anchorId="2728E0F0" wp14:editId="31F0C2B8">
          <wp:extent cx="733425" cy="762000"/>
          <wp:effectExtent l="0" t="0" r="9525" b="0"/>
          <wp:docPr id="12833840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74746F33" w14:textId="77777777" w:rsidR="008E5283" w:rsidRDefault="00000000">
    <w:pPr>
      <w:pStyle w:val="Antrats"/>
      <w:pBdr>
        <w:bottom w:val="single" w:sz="4" w:space="1" w:color="auto"/>
      </w:pBdr>
      <w:tabs>
        <w:tab w:val="clear" w:pos="4153"/>
        <w:tab w:val="clear" w:pos="8306"/>
      </w:tabs>
      <w:jc w:val="center"/>
      <w:rPr>
        <w:b/>
        <w:caps/>
        <w:sz w:val="28"/>
        <w:szCs w:val="28"/>
      </w:rPr>
    </w:pPr>
    <w:r w:rsidRPr="007568AB">
      <w:rPr>
        <w:b/>
        <w:caps/>
        <w:sz w:val="28"/>
        <w:szCs w:val="28"/>
      </w:rPr>
      <w:t>Teisėjų etikos ir drausmės komisija</w:t>
    </w:r>
  </w:p>
  <w:p w14:paraId="31DAF6E8" w14:textId="77777777" w:rsidR="008E5283" w:rsidRDefault="00000000">
    <w:pPr>
      <w:pStyle w:val="Antrats"/>
      <w:pBdr>
        <w:bottom w:val="single" w:sz="4" w:space="1" w:color="auto"/>
      </w:pBdr>
      <w:tabs>
        <w:tab w:val="clear" w:pos="4153"/>
        <w:tab w:val="clear" w:pos="8306"/>
      </w:tabs>
      <w:jc w:val="center"/>
      <w:rPr>
        <w:sz w:val="20"/>
      </w:rPr>
    </w:pPr>
    <w:r>
      <w:rPr>
        <w:sz w:val="20"/>
      </w:rPr>
      <w:t>L. Sapiegos g. 15, LT-10312 Vilnius,   tel. (8 5) 268 5186.   faks. (8 5) 268 5187</w:t>
    </w:r>
  </w:p>
  <w:p w14:paraId="383EF407" w14:textId="77777777" w:rsidR="008E5283" w:rsidRDefault="008E5283">
    <w:pPr>
      <w:pStyle w:val="Antrats"/>
      <w:pBdr>
        <w:bottom w:val="single" w:sz="4" w:space="1" w:color="auto"/>
      </w:pBdr>
      <w:tabs>
        <w:tab w:val="clear" w:pos="4153"/>
        <w:tab w:val="clear" w:pos="8306"/>
      </w:tabs>
      <w:jc w:val="center"/>
      <w:rPr>
        <w:b/>
        <w:sz w:val="8"/>
      </w:rPr>
    </w:pPr>
  </w:p>
  <w:p w14:paraId="622490E6" w14:textId="77777777" w:rsidR="008E5283" w:rsidRDefault="008E5283">
    <w:pPr>
      <w:pStyle w:val="Antrats"/>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BF"/>
    <w:rsid w:val="00205B19"/>
    <w:rsid w:val="00283565"/>
    <w:rsid w:val="00376A82"/>
    <w:rsid w:val="0089475D"/>
    <w:rsid w:val="008E5283"/>
    <w:rsid w:val="00B166BF"/>
    <w:rsid w:val="00EE68D3"/>
    <w:rsid w:val="00F22837"/>
    <w:rsid w:val="00F94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00EF1"/>
  <w15:chartTrackingRefBased/>
  <w15:docId w15:val="{F4F351A6-CE34-47F7-8345-88B27471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68D3"/>
    <w:pPr>
      <w:spacing w:after="0" w:line="240" w:lineRule="auto"/>
    </w:pPr>
    <w:rPr>
      <w:rFonts w:ascii="Times New Roman" w:eastAsia="Times New Roman" w:hAnsi="Times New Roman" w:cs="Times New Roman"/>
      <w:kern w:val="0"/>
      <w:sz w:val="24"/>
      <w:szCs w:val="24"/>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E68D3"/>
    <w:pPr>
      <w:tabs>
        <w:tab w:val="center" w:pos="4153"/>
        <w:tab w:val="right" w:pos="8306"/>
      </w:tabs>
    </w:pPr>
  </w:style>
  <w:style w:type="character" w:customStyle="1" w:styleId="AntratsDiagrama">
    <w:name w:val="Antraštės Diagrama"/>
    <w:basedOn w:val="Numatytasispastraiposriftas"/>
    <w:link w:val="Antrats"/>
    <w:rsid w:val="00EE68D3"/>
    <w:rPr>
      <w:rFonts w:ascii="Times New Roman" w:eastAsia="Times New Roman" w:hAnsi="Times New Roman" w:cs="Times New Roman"/>
      <w:kern w:val="0"/>
      <w:sz w:val="24"/>
      <w:szCs w:val="24"/>
      <w:lang w:val="lt-LT"/>
      <w14:ligatures w14:val="none"/>
    </w:rPr>
  </w:style>
  <w:style w:type="paragraph" w:styleId="Porat">
    <w:name w:val="footer"/>
    <w:basedOn w:val="prastasis"/>
    <w:link w:val="PoratDiagrama"/>
    <w:rsid w:val="00EE68D3"/>
    <w:pPr>
      <w:tabs>
        <w:tab w:val="right" w:pos="8306"/>
      </w:tabs>
      <w:jc w:val="right"/>
    </w:pPr>
    <w:rPr>
      <w:sz w:val="16"/>
    </w:rPr>
  </w:style>
  <w:style w:type="character" w:customStyle="1" w:styleId="PoratDiagrama">
    <w:name w:val="Poraštė Diagrama"/>
    <w:basedOn w:val="Numatytasispastraiposriftas"/>
    <w:link w:val="Porat"/>
    <w:rsid w:val="00EE68D3"/>
    <w:rPr>
      <w:rFonts w:ascii="Times New Roman" w:eastAsia="Times New Roman" w:hAnsi="Times New Roman" w:cs="Times New Roman"/>
      <w:kern w:val="0"/>
      <w:sz w:val="16"/>
      <w:szCs w:val="24"/>
      <w:lang w:val="lt-LT"/>
      <w14:ligatures w14:val="none"/>
    </w:rPr>
  </w:style>
  <w:style w:type="character" w:styleId="Puslapionumeris">
    <w:name w:val="page number"/>
    <w:basedOn w:val="Numatytasispastraiposriftas"/>
    <w:rsid w:val="00EE68D3"/>
  </w:style>
  <w:style w:type="character" w:styleId="Hipersaitas">
    <w:name w:val="Hyperlink"/>
    <w:rsid w:val="00EE68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a.kalvaitiene@teismai.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558</Words>
  <Characters>3187</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Kalvaitienė</dc:creator>
  <cp:keywords/>
  <dc:description/>
  <cp:lastModifiedBy>Ina Kalvaitienė</cp:lastModifiedBy>
  <cp:revision>11</cp:revision>
  <dcterms:created xsi:type="dcterms:W3CDTF">2024-02-29T14:24:00Z</dcterms:created>
  <dcterms:modified xsi:type="dcterms:W3CDTF">2024-02-29T14:25:00Z</dcterms:modified>
</cp:coreProperties>
</file>