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C58B7" w14:textId="77777777" w:rsidR="00D540EE" w:rsidRDefault="00D540EE" w:rsidP="00962B44">
      <w:pPr>
        <w:keepNext/>
        <w:keepLines/>
        <w:jc w:val="center"/>
        <w:rPr>
          <w:rFonts w:ascii="Arial" w:eastAsia="Calibri" w:hAnsi="Arial" w:cs="Arial"/>
          <w:b/>
          <w:noProof/>
          <w:szCs w:val="24"/>
          <w:lang w:eastAsia="lt-LT"/>
        </w:rPr>
      </w:pPr>
    </w:p>
    <w:p w14:paraId="4B242441" w14:textId="77777777" w:rsidR="00D540EE" w:rsidRDefault="00D540EE" w:rsidP="00962B44">
      <w:pPr>
        <w:keepNext/>
        <w:keepLines/>
        <w:jc w:val="center"/>
        <w:rPr>
          <w:rFonts w:ascii="Arial" w:eastAsia="Calibri" w:hAnsi="Arial" w:cs="Arial"/>
          <w:b/>
          <w:noProof/>
          <w:szCs w:val="24"/>
          <w:lang w:eastAsia="lt-LT"/>
        </w:rPr>
      </w:pPr>
    </w:p>
    <w:p w14:paraId="56807503" w14:textId="701203C3" w:rsidR="00D540EE" w:rsidRDefault="00D540EE" w:rsidP="00962B44">
      <w:pPr>
        <w:keepNext/>
        <w:keepLines/>
        <w:jc w:val="center"/>
        <w:rPr>
          <w:rFonts w:ascii="Arial" w:eastAsia="Calibri" w:hAnsi="Arial" w:cs="Arial"/>
          <w:b/>
          <w:noProof/>
          <w:szCs w:val="24"/>
          <w:lang w:eastAsia="lt-LT"/>
        </w:rPr>
      </w:pPr>
      <w:r w:rsidRPr="00BC683B">
        <w:rPr>
          <w:noProof/>
          <w:lang w:eastAsia="lt-LT"/>
        </w:rPr>
        <w:drawing>
          <wp:inline distT="0" distB="0" distL="0" distR="0" wp14:anchorId="7E2741E1" wp14:editId="43174043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46E24" w14:textId="77777777" w:rsidR="00D540EE" w:rsidRDefault="00D540EE" w:rsidP="00D540EE">
      <w:pPr>
        <w:keepNext/>
        <w:keepLines/>
        <w:rPr>
          <w:rFonts w:ascii="Arial" w:eastAsia="Calibri" w:hAnsi="Arial" w:cs="Arial"/>
          <w:b/>
          <w:noProof/>
          <w:szCs w:val="24"/>
          <w:lang w:eastAsia="lt-LT"/>
        </w:rPr>
      </w:pPr>
    </w:p>
    <w:p w14:paraId="61FBC961" w14:textId="7F6CA720" w:rsidR="00962B44" w:rsidRPr="004D7B3F" w:rsidRDefault="00962B44" w:rsidP="00962B44">
      <w:pPr>
        <w:keepNext/>
        <w:keepLines/>
        <w:jc w:val="center"/>
        <w:rPr>
          <w:rFonts w:ascii="Arial" w:eastAsia="Calibri" w:hAnsi="Arial" w:cs="Arial"/>
          <w:b/>
          <w:szCs w:val="24"/>
          <w:lang w:eastAsia="lt-LT"/>
        </w:rPr>
      </w:pPr>
      <w:r w:rsidRPr="004D7B3F">
        <w:rPr>
          <w:rFonts w:ascii="Arial" w:eastAsia="Calibri" w:hAnsi="Arial" w:cs="Arial"/>
          <w:b/>
          <w:szCs w:val="24"/>
          <w:lang w:eastAsia="lt-LT"/>
        </w:rPr>
        <w:t>TEISĖJŲ TARYBA</w:t>
      </w:r>
    </w:p>
    <w:p w14:paraId="13697EB5" w14:textId="77777777" w:rsidR="00962B44" w:rsidRPr="004D7B3F" w:rsidRDefault="00962B44" w:rsidP="00962B44">
      <w:pPr>
        <w:keepNext/>
        <w:keepLines/>
        <w:jc w:val="center"/>
        <w:rPr>
          <w:rFonts w:ascii="Arial" w:eastAsia="Calibri" w:hAnsi="Arial" w:cs="Arial"/>
          <w:b/>
          <w:szCs w:val="24"/>
          <w:lang w:eastAsia="lt-LT"/>
        </w:rPr>
      </w:pPr>
    </w:p>
    <w:p w14:paraId="512EB1E1" w14:textId="77777777" w:rsidR="00962B44" w:rsidRPr="004D7B3F" w:rsidRDefault="00962B44" w:rsidP="00962B44">
      <w:pPr>
        <w:keepNext/>
        <w:keepLines/>
        <w:jc w:val="center"/>
        <w:rPr>
          <w:rFonts w:ascii="Arial" w:eastAsia="Calibri" w:hAnsi="Arial" w:cs="Arial"/>
          <w:b/>
          <w:szCs w:val="24"/>
          <w:lang w:eastAsia="lt-LT"/>
        </w:rPr>
      </w:pPr>
      <w:r w:rsidRPr="004D7B3F">
        <w:rPr>
          <w:rFonts w:ascii="Arial" w:eastAsia="Calibri" w:hAnsi="Arial" w:cs="Arial"/>
          <w:b/>
          <w:szCs w:val="24"/>
          <w:lang w:eastAsia="lt-LT"/>
        </w:rPr>
        <w:t>NUTARIMAS</w:t>
      </w:r>
    </w:p>
    <w:p w14:paraId="076AF390" w14:textId="77777777" w:rsidR="00962B44" w:rsidRPr="004D7B3F" w:rsidRDefault="00962B44" w:rsidP="00962B44">
      <w:pPr>
        <w:jc w:val="center"/>
        <w:rPr>
          <w:rFonts w:ascii="Arial" w:eastAsia="Calibri" w:hAnsi="Arial" w:cs="Arial"/>
          <w:b/>
          <w:bCs/>
          <w:color w:val="000000"/>
          <w:szCs w:val="24"/>
          <w:lang w:eastAsia="lt-LT"/>
        </w:rPr>
      </w:pPr>
      <w:r w:rsidRPr="004D7B3F">
        <w:rPr>
          <w:rFonts w:ascii="Arial" w:eastAsia="Calibri" w:hAnsi="Arial" w:cs="Arial"/>
          <w:b/>
          <w:bCs/>
          <w:color w:val="000000"/>
          <w:szCs w:val="24"/>
          <w:lang w:eastAsia="lt-LT"/>
        </w:rPr>
        <w:t>DĖL ŠAKINIO LIETUVOS TEISMŲ SISTEMOS KORUPCIJOS PREVENCIJOS VEIKSMŲ PLANO 2022</w:t>
      </w:r>
      <w:r w:rsidRPr="004D7B3F">
        <w:rPr>
          <w:rFonts w:ascii="Arial" w:eastAsia="Calibri" w:hAnsi="Arial" w:cs="Arial"/>
          <w:b/>
          <w:bCs/>
          <w:szCs w:val="24"/>
          <w:lang w:eastAsia="lt-LT"/>
        </w:rPr>
        <w:t>–</w:t>
      </w:r>
      <w:r w:rsidRPr="004D7B3F">
        <w:rPr>
          <w:rFonts w:ascii="Arial" w:eastAsia="Calibri" w:hAnsi="Arial" w:cs="Arial"/>
          <w:b/>
          <w:bCs/>
          <w:color w:val="000000"/>
          <w:szCs w:val="24"/>
          <w:lang w:eastAsia="lt-LT"/>
        </w:rPr>
        <w:t>2025 METAMS IR JO ĮGYVENDINIMO PRIEMONIŲ PLANO 2022</w:t>
      </w:r>
      <w:r w:rsidRPr="004D7B3F">
        <w:rPr>
          <w:rFonts w:ascii="Arial" w:eastAsia="Calibri" w:hAnsi="Arial" w:cs="Arial"/>
          <w:b/>
          <w:bCs/>
          <w:szCs w:val="24"/>
          <w:lang w:eastAsia="lt-LT"/>
        </w:rPr>
        <w:t>–</w:t>
      </w:r>
      <w:r w:rsidRPr="004D7B3F">
        <w:rPr>
          <w:rFonts w:ascii="Arial" w:eastAsia="Calibri" w:hAnsi="Arial" w:cs="Arial"/>
          <w:b/>
          <w:bCs/>
          <w:color w:val="000000"/>
          <w:szCs w:val="24"/>
          <w:lang w:eastAsia="lt-LT"/>
        </w:rPr>
        <w:t>2023 METAMS PATVIRTINIMO</w:t>
      </w:r>
    </w:p>
    <w:p w14:paraId="2D0E813A" w14:textId="77777777" w:rsidR="00962B44" w:rsidRPr="004D7B3F" w:rsidRDefault="00962B44" w:rsidP="00962B44">
      <w:pPr>
        <w:ind w:right="-1"/>
        <w:jc w:val="center"/>
        <w:rPr>
          <w:rFonts w:ascii="Arial" w:hAnsi="Arial" w:cs="Arial"/>
          <w:szCs w:val="24"/>
        </w:rPr>
      </w:pPr>
    </w:p>
    <w:p w14:paraId="20806477" w14:textId="7F8F9DD6" w:rsidR="00962B44" w:rsidRPr="004D7B3F" w:rsidRDefault="00962B44" w:rsidP="00962B44">
      <w:pPr>
        <w:ind w:right="-1"/>
        <w:jc w:val="center"/>
        <w:rPr>
          <w:rFonts w:ascii="Arial" w:hAnsi="Arial" w:cs="Arial"/>
          <w:szCs w:val="24"/>
        </w:rPr>
      </w:pPr>
      <w:r w:rsidRPr="004D7B3F">
        <w:rPr>
          <w:rFonts w:ascii="Arial" w:hAnsi="Arial" w:cs="Arial"/>
          <w:szCs w:val="24"/>
        </w:rPr>
        <w:t>202</w:t>
      </w:r>
      <w:r w:rsidR="00353075" w:rsidRPr="004D7B3F">
        <w:rPr>
          <w:rFonts w:ascii="Arial" w:hAnsi="Arial" w:cs="Arial"/>
          <w:szCs w:val="24"/>
        </w:rPr>
        <w:t>4</w:t>
      </w:r>
      <w:r w:rsidRPr="004D7B3F">
        <w:rPr>
          <w:rFonts w:ascii="Arial" w:hAnsi="Arial" w:cs="Arial"/>
          <w:szCs w:val="24"/>
        </w:rPr>
        <w:t xml:space="preserve"> m. </w:t>
      </w:r>
      <w:r w:rsidR="00D540EE">
        <w:rPr>
          <w:rFonts w:ascii="Arial" w:hAnsi="Arial" w:cs="Arial"/>
          <w:szCs w:val="24"/>
        </w:rPr>
        <w:t>birželio 20</w:t>
      </w:r>
      <w:r w:rsidRPr="004D7B3F">
        <w:rPr>
          <w:rFonts w:ascii="Arial" w:hAnsi="Arial" w:cs="Arial"/>
          <w:szCs w:val="24"/>
        </w:rPr>
        <w:t xml:space="preserve"> d. Nr. 13P-</w:t>
      </w:r>
      <w:r w:rsidR="007B5845">
        <w:rPr>
          <w:rFonts w:ascii="Arial" w:hAnsi="Arial" w:cs="Arial"/>
          <w:szCs w:val="24"/>
        </w:rPr>
        <w:t>77</w:t>
      </w:r>
      <w:r w:rsidR="00D540EE">
        <w:rPr>
          <w:rFonts w:ascii="Arial" w:hAnsi="Arial" w:cs="Arial"/>
          <w:szCs w:val="24"/>
        </w:rPr>
        <w:t>-(7.1.2.)</w:t>
      </w:r>
    </w:p>
    <w:p w14:paraId="789AED43" w14:textId="77777777" w:rsidR="00962B44" w:rsidRPr="004D7B3F" w:rsidRDefault="00962B44" w:rsidP="00962B44">
      <w:pPr>
        <w:ind w:right="-1"/>
        <w:jc w:val="center"/>
        <w:rPr>
          <w:rFonts w:ascii="Arial" w:hAnsi="Arial" w:cs="Arial"/>
          <w:szCs w:val="24"/>
        </w:rPr>
      </w:pPr>
      <w:r w:rsidRPr="004D7B3F">
        <w:rPr>
          <w:rFonts w:ascii="Arial" w:hAnsi="Arial" w:cs="Arial"/>
          <w:szCs w:val="24"/>
        </w:rPr>
        <w:t>Vilnius</w:t>
      </w:r>
    </w:p>
    <w:p w14:paraId="6A8D20D8" w14:textId="77777777" w:rsidR="00962B44" w:rsidRPr="004D7B3F" w:rsidRDefault="00962B44" w:rsidP="00962B44">
      <w:pPr>
        <w:tabs>
          <w:tab w:val="left" w:pos="6600"/>
        </w:tabs>
        <w:ind w:right="-1" w:firstLine="6600"/>
        <w:jc w:val="both"/>
        <w:rPr>
          <w:rFonts w:ascii="Arial" w:hAnsi="Arial" w:cs="Arial"/>
          <w:szCs w:val="24"/>
        </w:rPr>
      </w:pPr>
    </w:p>
    <w:p w14:paraId="4331E1E6" w14:textId="77777777" w:rsidR="00962B44" w:rsidRPr="004D7B3F" w:rsidRDefault="00962B44" w:rsidP="00962B44">
      <w:pPr>
        <w:ind w:right="-1" w:firstLine="720"/>
        <w:jc w:val="both"/>
        <w:rPr>
          <w:rFonts w:ascii="Arial" w:hAnsi="Arial" w:cs="Arial"/>
          <w:szCs w:val="24"/>
        </w:rPr>
      </w:pPr>
      <w:r w:rsidRPr="004D7B3F">
        <w:rPr>
          <w:rFonts w:ascii="Arial" w:hAnsi="Arial" w:cs="Arial"/>
          <w:color w:val="000000"/>
          <w:szCs w:val="24"/>
        </w:rPr>
        <w:t>Teisėjų taryba,</w:t>
      </w:r>
    </w:p>
    <w:p w14:paraId="1F7A3C6F" w14:textId="77777777" w:rsidR="005C6C9C" w:rsidRPr="004D7B3F" w:rsidRDefault="00962B44" w:rsidP="00962B44">
      <w:pPr>
        <w:ind w:firstLine="720"/>
        <w:jc w:val="both"/>
        <w:rPr>
          <w:rFonts w:ascii="Arial" w:eastAsia="Calibri" w:hAnsi="Arial" w:cs="Arial"/>
          <w:color w:val="000000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vadovaudamasi </w:t>
      </w:r>
      <w:r w:rsidRPr="004D7B3F">
        <w:rPr>
          <w:rFonts w:ascii="Arial" w:eastAsia="Calibri" w:hAnsi="Arial" w:cs="Arial"/>
          <w:szCs w:val="24"/>
          <w:lang w:eastAsia="lt-LT"/>
        </w:rPr>
        <w:t>Lietuvos Respublikos teismų įstatymo 120</w:t>
      </w:r>
      <w:r w:rsidRPr="004D7B3F">
        <w:rPr>
          <w:rFonts w:ascii="Arial" w:eastAsia="Calibri" w:hAnsi="Arial" w:cs="Arial"/>
          <w:szCs w:val="24"/>
          <w:vertAlign w:val="superscript"/>
          <w:lang w:eastAsia="lt-LT"/>
        </w:rPr>
        <w:t xml:space="preserve"> </w:t>
      </w:r>
      <w:r w:rsidRPr="004D7B3F">
        <w:rPr>
          <w:rFonts w:ascii="Arial" w:eastAsia="Calibri" w:hAnsi="Arial" w:cs="Arial"/>
          <w:szCs w:val="24"/>
          <w:lang w:eastAsia="lt-LT"/>
        </w:rPr>
        <w:t xml:space="preserve">straipsnio 27 punktu, 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Teisėjų tarybos darbo reglamento, patvirtinto Teisėjų tarybos 2017 m. vasario 24 d. nutarimu Nr. 13P-30-(7.1.2) „Dėl Teisėjų tarybos darbo reglamento patvirtinimo“, 21.30 papunkčiu, </w:t>
      </w:r>
      <w:r w:rsidR="00353075" w:rsidRPr="004D7B3F">
        <w:rPr>
          <w:rFonts w:ascii="Arial" w:eastAsia="Calibri" w:hAnsi="Arial" w:cs="Arial"/>
          <w:color w:val="000000"/>
          <w:szCs w:val="24"/>
          <w:lang w:eastAsia="lt-LT"/>
        </w:rPr>
        <w:t>2022–2033 metų nacionalinės darbotvarkės korupcijos prevencijos klausimais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>, patvirtintos 20</w:t>
      </w:r>
      <w:r w:rsidR="00353075" w:rsidRPr="004D7B3F">
        <w:rPr>
          <w:rFonts w:ascii="Arial" w:eastAsia="Calibri" w:hAnsi="Arial" w:cs="Arial"/>
          <w:color w:val="000000"/>
          <w:szCs w:val="24"/>
          <w:lang w:eastAsia="lt-LT"/>
        </w:rPr>
        <w:t>22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 m. </w:t>
      </w:r>
      <w:r w:rsidR="00353075" w:rsidRPr="004D7B3F">
        <w:rPr>
          <w:rFonts w:ascii="Arial" w:eastAsia="Calibri" w:hAnsi="Arial" w:cs="Arial"/>
          <w:color w:val="000000"/>
          <w:szCs w:val="24"/>
          <w:lang w:eastAsia="lt-LT"/>
        </w:rPr>
        <w:t>birželio 28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 d. Lietuvos Respublikos Seimo nutarimu Nr. X</w:t>
      </w:r>
      <w:r w:rsidR="00353075" w:rsidRPr="004D7B3F">
        <w:rPr>
          <w:rFonts w:ascii="Arial" w:eastAsia="Calibri" w:hAnsi="Arial" w:cs="Arial"/>
          <w:color w:val="000000"/>
          <w:szCs w:val="24"/>
          <w:lang w:eastAsia="lt-LT"/>
        </w:rPr>
        <w:t>IV-1178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, </w:t>
      </w:r>
      <w:r w:rsidR="00353075" w:rsidRPr="004D7B3F">
        <w:rPr>
          <w:rFonts w:ascii="Arial" w:eastAsia="Calibri" w:hAnsi="Arial" w:cs="Arial"/>
          <w:color w:val="000000"/>
          <w:szCs w:val="24"/>
          <w:lang w:eastAsia="lt-LT"/>
        </w:rPr>
        <w:t>173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 punkt</w:t>
      </w:r>
      <w:r w:rsidR="00353075"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u, </w:t>
      </w:r>
      <w:r w:rsidR="005C6C9C" w:rsidRPr="004D7B3F">
        <w:rPr>
          <w:rFonts w:ascii="Arial" w:hAnsi="Arial" w:cs="Arial"/>
          <w:szCs w:val="24"/>
        </w:rPr>
        <w:t>2022–2033 metų nacionalinės darbotvarkės korupcijos prevencijos klausimais įgyvendinimo 2023-2025 metų plano, patvirtinto Lietuvos Respublikos Vyriausybės 2023 m. gegužės 3 d. nutarimu Nr. 324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>,</w:t>
      </w:r>
      <w:r w:rsidR="005C6C9C"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 3.1.1. papunkčiu,</w:t>
      </w:r>
    </w:p>
    <w:p w14:paraId="6BB40FD1" w14:textId="2F6D2CAA" w:rsidR="00962B44" w:rsidRPr="004D7B3F" w:rsidRDefault="00962B44" w:rsidP="00962B44">
      <w:pPr>
        <w:ind w:firstLine="720"/>
        <w:jc w:val="both"/>
        <w:rPr>
          <w:rFonts w:ascii="Arial" w:eastAsia="Calibri" w:hAnsi="Arial" w:cs="Arial"/>
          <w:color w:val="000000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n u t a r i a:</w:t>
      </w:r>
    </w:p>
    <w:p w14:paraId="04FD0FF9" w14:textId="77777777" w:rsidR="00963ACC" w:rsidRPr="004D7B3F" w:rsidRDefault="00963ACC" w:rsidP="004D7B3F">
      <w:pPr>
        <w:ind w:firstLine="709"/>
        <w:jc w:val="both"/>
        <w:rPr>
          <w:rFonts w:ascii="Arial" w:hAnsi="Arial" w:cs="Arial"/>
          <w:szCs w:val="24"/>
        </w:rPr>
      </w:pPr>
      <w:r w:rsidRPr="004D7B3F">
        <w:rPr>
          <w:rFonts w:ascii="Arial" w:hAnsi="Arial" w:cs="Arial"/>
          <w:szCs w:val="24"/>
        </w:rPr>
        <w:t>1. Patvirtinti Šakinio Lietuvos teismų sistemos korupcijos prevencijos veiksmų plano 2022–2025 metams (toliau – Veiksmų planas) priemonių planą 2024–2025 metams (toliau – Priemonių planas) (pridedama).</w:t>
      </w:r>
    </w:p>
    <w:p w14:paraId="7B5A6AF1" w14:textId="77777777" w:rsidR="00963ACC" w:rsidRPr="004D7B3F" w:rsidRDefault="00963ACC" w:rsidP="004D7B3F">
      <w:pPr>
        <w:ind w:firstLine="709"/>
        <w:jc w:val="both"/>
        <w:rPr>
          <w:rFonts w:ascii="Arial" w:hAnsi="Arial" w:cs="Arial"/>
          <w:szCs w:val="24"/>
        </w:rPr>
      </w:pPr>
      <w:r w:rsidRPr="004D7B3F">
        <w:rPr>
          <w:rFonts w:ascii="Arial" w:hAnsi="Arial" w:cs="Arial"/>
          <w:szCs w:val="24"/>
        </w:rPr>
        <w:t>2. Paskelbti šį nutarimą Teisės aktų registre ir Veiksmų planą vykdančių teismų sistemos subjektų interneto svetainėse.</w:t>
      </w:r>
    </w:p>
    <w:p w14:paraId="56C59530" w14:textId="49B90A87" w:rsidR="00963ACC" w:rsidRPr="004D7B3F" w:rsidRDefault="00963ACC" w:rsidP="004D7B3F">
      <w:pPr>
        <w:ind w:firstLine="709"/>
        <w:jc w:val="both"/>
        <w:rPr>
          <w:rFonts w:ascii="Arial" w:hAnsi="Arial" w:cs="Arial"/>
          <w:szCs w:val="24"/>
        </w:rPr>
      </w:pPr>
      <w:r w:rsidRPr="004D7B3F">
        <w:rPr>
          <w:rFonts w:ascii="Arial" w:hAnsi="Arial" w:cs="Arial"/>
          <w:szCs w:val="24"/>
        </w:rPr>
        <w:t>3. Pavesti teismų pirmininkams ir Nacionalinės teismų administracijos vadovui supažindinti visus darbuotojus su šiuo nutarimu ir juo patvirtintu Priemonių planu bei paskirti už Priemonių plano vykdymą atsakingus asmenis.</w:t>
      </w:r>
    </w:p>
    <w:p w14:paraId="73DC3F5E" w14:textId="008AE2D6" w:rsidR="00962B44" w:rsidRPr="004D7B3F" w:rsidRDefault="00962B44" w:rsidP="005C6C9C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lt-LT"/>
        </w:rPr>
      </w:pPr>
    </w:p>
    <w:p w14:paraId="64EA1B29" w14:textId="77777777" w:rsidR="00962B44" w:rsidRPr="004D7B3F" w:rsidRDefault="00962B44" w:rsidP="00962B44">
      <w:pPr>
        <w:ind w:firstLine="567"/>
        <w:jc w:val="both"/>
        <w:rPr>
          <w:rFonts w:ascii="Arial" w:hAnsi="Arial" w:cs="Arial"/>
          <w:szCs w:val="24"/>
          <w:lang w:eastAsia="x-none"/>
        </w:rPr>
      </w:pPr>
    </w:p>
    <w:p w14:paraId="0420EE1C" w14:textId="77777777" w:rsidR="00962B44" w:rsidRPr="004D7B3F" w:rsidRDefault="00962B44" w:rsidP="00962B44">
      <w:pPr>
        <w:ind w:firstLine="567"/>
        <w:jc w:val="both"/>
        <w:rPr>
          <w:rFonts w:ascii="Arial" w:hAnsi="Arial" w:cs="Arial"/>
          <w:szCs w:val="24"/>
          <w:lang w:eastAsia="x-none"/>
        </w:rPr>
      </w:pPr>
    </w:p>
    <w:p w14:paraId="7E5B4A8F" w14:textId="77777777" w:rsidR="00962B44" w:rsidRPr="004D7B3F" w:rsidRDefault="00962B44" w:rsidP="00962B44">
      <w:pPr>
        <w:ind w:firstLine="567"/>
        <w:jc w:val="both"/>
        <w:rPr>
          <w:rFonts w:ascii="Arial" w:hAnsi="Arial" w:cs="Arial"/>
          <w:szCs w:val="24"/>
          <w:lang w:eastAsia="x-none"/>
        </w:rPr>
      </w:pPr>
    </w:p>
    <w:p w14:paraId="0F485E77" w14:textId="3E855BF3" w:rsidR="00962B44" w:rsidRPr="004D7B3F" w:rsidRDefault="00962B44" w:rsidP="00962B44">
      <w:pPr>
        <w:tabs>
          <w:tab w:val="left" w:pos="7371"/>
        </w:tabs>
        <w:spacing w:line="276" w:lineRule="auto"/>
        <w:rPr>
          <w:rFonts w:ascii="Arial" w:eastAsia="Calibri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szCs w:val="24"/>
          <w:lang w:eastAsia="lt-LT"/>
        </w:rPr>
        <w:t>Pirminink</w:t>
      </w:r>
      <w:r w:rsidR="00D540EE">
        <w:rPr>
          <w:rFonts w:ascii="Arial" w:eastAsia="Calibri" w:hAnsi="Arial" w:cs="Arial"/>
          <w:szCs w:val="24"/>
          <w:lang w:eastAsia="lt-LT"/>
        </w:rPr>
        <w:t>ė</w:t>
      </w:r>
      <w:r w:rsidRPr="004D7B3F">
        <w:rPr>
          <w:rFonts w:ascii="Arial" w:eastAsia="Calibri" w:hAnsi="Arial" w:cs="Arial"/>
          <w:szCs w:val="24"/>
          <w:lang w:eastAsia="lt-LT"/>
        </w:rPr>
        <w:t xml:space="preserve"> </w:t>
      </w:r>
      <w:r w:rsidR="00D540EE">
        <w:rPr>
          <w:rFonts w:ascii="Arial" w:eastAsia="Calibri" w:hAnsi="Arial" w:cs="Arial"/>
          <w:szCs w:val="24"/>
          <w:lang w:eastAsia="lt-LT"/>
        </w:rPr>
        <w:t xml:space="preserve">                                                                                      Sigita Rudėnaitė</w:t>
      </w:r>
    </w:p>
    <w:p w14:paraId="665CC149" w14:textId="77777777" w:rsidR="00962B44" w:rsidRPr="004D7B3F" w:rsidRDefault="00962B44" w:rsidP="00962B44">
      <w:pPr>
        <w:spacing w:line="276" w:lineRule="auto"/>
        <w:rPr>
          <w:rFonts w:ascii="Arial" w:eastAsia="Calibri" w:hAnsi="Arial" w:cs="Arial"/>
          <w:szCs w:val="24"/>
          <w:lang w:eastAsia="lt-LT"/>
        </w:rPr>
      </w:pPr>
    </w:p>
    <w:p w14:paraId="0F70075B" w14:textId="77777777" w:rsidR="00962B44" w:rsidRPr="004D7B3F" w:rsidRDefault="00962B44" w:rsidP="00962B44">
      <w:pPr>
        <w:spacing w:line="276" w:lineRule="auto"/>
        <w:rPr>
          <w:rFonts w:ascii="Arial" w:eastAsia="Calibri" w:hAnsi="Arial" w:cs="Arial"/>
          <w:szCs w:val="24"/>
          <w:lang w:eastAsia="lt-LT"/>
        </w:rPr>
      </w:pPr>
    </w:p>
    <w:p w14:paraId="57D6EEDF" w14:textId="1D254EEC" w:rsidR="00962B44" w:rsidRPr="004D7B3F" w:rsidRDefault="00962B44" w:rsidP="00D540EE">
      <w:pPr>
        <w:tabs>
          <w:tab w:val="left" w:pos="7230"/>
        </w:tabs>
        <w:spacing w:line="276" w:lineRule="auto"/>
        <w:rPr>
          <w:rFonts w:ascii="Arial" w:eastAsia="Calibri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szCs w:val="24"/>
          <w:lang w:eastAsia="lt-LT"/>
        </w:rPr>
        <w:t xml:space="preserve">Sekretorius </w:t>
      </w:r>
      <w:r w:rsidR="00D540EE">
        <w:rPr>
          <w:rFonts w:ascii="Arial" w:eastAsia="Calibri" w:hAnsi="Arial" w:cs="Arial"/>
          <w:szCs w:val="24"/>
          <w:lang w:eastAsia="lt-LT"/>
        </w:rPr>
        <w:t xml:space="preserve">                                                                                     Ramūnas Gadliauskas</w:t>
      </w:r>
    </w:p>
    <w:p w14:paraId="6B96BF6B" w14:textId="77777777" w:rsidR="00962B44" w:rsidRPr="004D7B3F" w:rsidRDefault="00962B44" w:rsidP="00962B44">
      <w:pPr>
        <w:spacing w:line="276" w:lineRule="auto"/>
        <w:ind w:left="105"/>
        <w:rPr>
          <w:rFonts w:ascii="Arial" w:eastAsia="Calibri" w:hAnsi="Arial" w:cs="Arial"/>
          <w:szCs w:val="24"/>
          <w:lang w:eastAsia="lt-LT"/>
        </w:rPr>
      </w:pPr>
    </w:p>
    <w:p w14:paraId="113A66FB" w14:textId="77777777" w:rsidR="00962B44" w:rsidRPr="004D7B3F" w:rsidRDefault="00962B44" w:rsidP="00962B44">
      <w:pPr>
        <w:widowControl w:val="0"/>
        <w:tabs>
          <w:tab w:val="left" w:pos="7088"/>
          <w:tab w:val="left" w:pos="7230"/>
        </w:tabs>
        <w:jc w:val="both"/>
        <w:rPr>
          <w:rFonts w:ascii="Arial" w:hAnsi="Arial" w:cs="Arial"/>
          <w:b/>
          <w:szCs w:val="24"/>
          <w:lang w:eastAsia="lt-LT"/>
        </w:rPr>
        <w:sectPr w:rsidR="00962B44" w:rsidRPr="004D7B3F" w:rsidSect="00962B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701" w:header="567" w:footer="567" w:gutter="0"/>
          <w:cols w:space="1296"/>
          <w:titlePg/>
          <w:docGrid w:linePitch="299"/>
        </w:sectPr>
      </w:pPr>
      <w:r w:rsidRPr="004D7B3F">
        <w:rPr>
          <w:rFonts w:ascii="Arial" w:hAnsi="Arial" w:cs="Arial"/>
          <w:b/>
          <w:szCs w:val="24"/>
          <w:lang w:eastAsia="lt-LT"/>
        </w:rPr>
        <w:tab/>
      </w:r>
    </w:p>
    <w:p w14:paraId="064684C4" w14:textId="77777777" w:rsidR="00962B44" w:rsidRPr="004D7B3F" w:rsidRDefault="00962B44" w:rsidP="00962B44">
      <w:pPr>
        <w:widowControl w:val="0"/>
        <w:tabs>
          <w:tab w:val="left" w:pos="7088"/>
          <w:tab w:val="left" w:pos="7230"/>
        </w:tabs>
        <w:ind w:firstLine="10348"/>
        <w:rPr>
          <w:rFonts w:ascii="Arial" w:eastAsia="Calibri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szCs w:val="24"/>
          <w:lang w:eastAsia="lt-LT"/>
        </w:rPr>
        <w:lastRenderedPageBreak/>
        <w:t>PATVIRTINTA</w:t>
      </w:r>
    </w:p>
    <w:p w14:paraId="5A60015C" w14:textId="14DB3966" w:rsidR="00962B44" w:rsidRPr="007B5845" w:rsidRDefault="00962B44" w:rsidP="00962B44">
      <w:pPr>
        <w:ind w:firstLine="10348"/>
        <w:rPr>
          <w:rFonts w:ascii="Arial" w:eastAsia="Calibri" w:hAnsi="Arial" w:cs="Arial"/>
          <w:szCs w:val="24"/>
        </w:rPr>
      </w:pPr>
      <w:r w:rsidRPr="007B5845">
        <w:rPr>
          <w:rFonts w:ascii="Arial" w:eastAsia="Calibri" w:hAnsi="Arial" w:cs="Arial"/>
          <w:szCs w:val="24"/>
        </w:rPr>
        <w:t>Teisėjų tarybos 202</w:t>
      </w:r>
      <w:r w:rsidR="005C6C9C" w:rsidRPr="007B5845">
        <w:rPr>
          <w:rFonts w:ascii="Arial" w:eastAsia="Calibri" w:hAnsi="Arial" w:cs="Arial"/>
          <w:szCs w:val="24"/>
        </w:rPr>
        <w:t>4</w:t>
      </w:r>
      <w:r w:rsidRPr="007B5845">
        <w:rPr>
          <w:rFonts w:ascii="Arial" w:eastAsia="Calibri" w:hAnsi="Arial" w:cs="Arial"/>
          <w:szCs w:val="24"/>
        </w:rPr>
        <w:t xml:space="preserve"> m. </w:t>
      </w:r>
      <w:r w:rsidR="007B5845" w:rsidRPr="007B5845">
        <w:rPr>
          <w:rFonts w:ascii="Arial" w:eastAsia="Calibri" w:hAnsi="Arial" w:cs="Arial"/>
          <w:szCs w:val="24"/>
        </w:rPr>
        <w:t>birželio 20</w:t>
      </w:r>
      <w:r w:rsidRPr="007B5845">
        <w:rPr>
          <w:rFonts w:ascii="Arial" w:eastAsia="Calibri" w:hAnsi="Arial" w:cs="Arial"/>
          <w:szCs w:val="24"/>
        </w:rPr>
        <w:t xml:space="preserve"> d.</w:t>
      </w:r>
    </w:p>
    <w:p w14:paraId="3020FC11" w14:textId="3F3C896B" w:rsidR="00962B44" w:rsidRPr="004D7B3F" w:rsidRDefault="00962B44" w:rsidP="00962B44">
      <w:pPr>
        <w:ind w:firstLine="10348"/>
        <w:rPr>
          <w:rFonts w:ascii="Arial" w:eastAsia="Calibri" w:hAnsi="Arial" w:cs="Arial"/>
          <w:szCs w:val="24"/>
          <w:lang w:eastAsia="lt-LT"/>
        </w:rPr>
      </w:pPr>
      <w:r w:rsidRPr="007B5845">
        <w:rPr>
          <w:rFonts w:ascii="Arial" w:eastAsia="Calibri" w:hAnsi="Arial" w:cs="Arial"/>
          <w:szCs w:val="24"/>
          <w:lang w:eastAsia="lt-LT"/>
        </w:rPr>
        <w:t>nutarimu Nr. 13P</w:t>
      </w:r>
      <w:r w:rsidR="005C6C9C" w:rsidRPr="004D7B3F">
        <w:rPr>
          <w:rFonts w:ascii="Arial" w:eastAsia="Calibri" w:hAnsi="Arial" w:cs="Arial"/>
          <w:szCs w:val="24"/>
          <w:lang w:eastAsia="lt-LT"/>
        </w:rPr>
        <w:t>-</w:t>
      </w:r>
      <w:r w:rsidR="007B5845">
        <w:rPr>
          <w:rFonts w:ascii="Arial" w:eastAsia="Calibri" w:hAnsi="Arial" w:cs="Arial"/>
          <w:szCs w:val="24"/>
          <w:lang w:eastAsia="lt-LT"/>
        </w:rPr>
        <w:t>77-(7.1.2.)</w:t>
      </w:r>
    </w:p>
    <w:p w14:paraId="7C72E340" w14:textId="77777777" w:rsidR="00962B44" w:rsidRPr="004D7B3F" w:rsidRDefault="00962B44" w:rsidP="00962B44">
      <w:pPr>
        <w:ind w:left="11794"/>
        <w:rPr>
          <w:rFonts w:ascii="Arial" w:eastAsia="Calibri" w:hAnsi="Arial" w:cs="Arial"/>
          <w:szCs w:val="24"/>
          <w:lang w:eastAsia="lt-LT"/>
        </w:rPr>
      </w:pPr>
    </w:p>
    <w:p w14:paraId="5E850E9A" w14:textId="77777777" w:rsidR="00962B44" w:rsidRPr="004D7B3F" w:rsidRDefault="00962B44" w:rsidP="00962B44">
      <w:pPr>
        <w:ind w:left="11794"/>
        <w:rPr>
          <w:rFonts w:ascii="Arial" w:eastAsia="Calibri" w:hAnsi="Arial" w:cs="Arial"/>
          <w:szCs w:val="24"/>
          <w:lang w:eastAsia="lt-LT"/>
        </w:rPr>
      </w:pPr>
    </w:p>
    <w:p w14:paraId="318E09A1" w14:textId="77777777" w:rsidR="00962B44" w:rsidRPr="004D7B3F" w:rsidRDefault="00962B44" w:rsidP="00962B44">
      <w:pPr>
        <w:jc w:val="center"/>
        <w:rPr>
          <w:rFonts w:ascii="Arial" w:eastAsia="Calibri" w:hAnsi="Arial" w:cs="Arial"/>
          <w:b/>
          <w:bCs/>
          <w:szCs w:val="24"/>
          <w:lang w:eastAsia="lt-LT"/>
        </w:rPr>
      </w:pPr>
      <w:r w:rsidRPr="004D7B3F">
        <w:rPr>
          <w:rFonts w:ascii="Arial" w:eastAsia="Calibri" w:hAnsi="Arial" w:cs="Arial"/>
          <w:b/>
          <w:bCs/>
          <w:szCs w:val="24"/>
          <w:lang w:eastAsia="lt-LT"/>
        </w:rPr>
        <w:t>ŠAKINIO LIETUVOS TEISMŲ SISTEMOS KOVOS SU KORUPCIJA VEIKSMŲ PLANO 2022</w:t>
      </w:r>
      <w:r w:rsidRPr="004D7B3F">
        <w:rPr>
          <w:rFonts w:ascii="Arial" w:hAnsi="Arial" w:cs="Arial"/>
          <w:szCs w:val="24"/>
          <w:lang w:eastAsia="lt-LT"/>
        </w:rPr>
        <w:t>–</w:t>
      </w:r>
      <w:r w:rsidRPr="004D7B3F">
        <w:rPr>
          <w:rFonts w:ascii="Arial" w:eastAsia="Calibri" w:hAnsi="Arial" w:cs="Arial"/>
          <w:b/>
          <w:bCs/>
          <w:szCs w:val="24"/>
          <w:lang w:eastAsia="lt-LT"/>
        </w:rPr>
        <w:t>2025 METAMS</w:t>
      </w:r>
    </w:p>
    <w:p w14:paraId="31143D9B" w14:textId="6C8480CD" w:rsidR="00962B44" w:rsidRPr="004D7B3F" w:rsidRDefault="00962B44" w:rsidP="00962B44">
      <w:pPr>
        <w:jc w:val="center"/>
        <w:rPr>
          <w:rFonts w:ascii="Arial" w:eastAsia="Calibri" w:hAnsi="Arial" w:cs="Arial"/>
          <w:b/>
          <w:bCs/>
          <w:szCs w:val="24"/>
          <w:lang w:eastAsia="lt-LT"/>
        </w:rPr>
      </w:pPr>
      <w:r w:rsidRPr="004D7B3F">
        <w:rPr>
          <w:rFonts w:ascii="Arial" w:eastAsia="Calibri" w:hAnsi="Arial" w:cs="Arial"/>
          <w:b/>
          <w:bCs/>
          <w:szCs w:val="24"/>
          <w:lang w:eastAsia="lt-LT"/>
        </w:rPr>
        <w:t>ĮGYVENDINIMO 2024</w:t>
      </w:r>
      <w:r w:rsidRPr="004D7B3F">
        <w:rPr>
          <w:rFonts w:ascii="Arial" w:hAnsi="Arial" w:cs="Arial"/>
          <w:szCs w:val="24"/>
          <w:lang w:eastAsia="lt-LT"/>
        </w:rPr>
        <w:t>–</w:t>
      </w:r>
      <w:r w:rsidRPr="004D7B3F">
        <w:rPr>
          <w:rFonts w:ascii="Arial" w:eastAsia="Calibri" w:hAnsi="Arial" w:cs="Arial"/>
          <w:b/>
          <w:bCs/>
          <w:szCs w:val="24"/>
          <w:lang w:eastAsia="lt-LT"/>
        </w:rPr>
        <w:t xml:space="preserve">2025 METAMS </w:t>
      </w:r>
    </w:p>
    <w:p w14:paraId="708C2E29" w14:textId="77777777" w:rsidR="00962B44" w:rsidRPr="004D7B3F" w:rsidRDefault="00962B44" w:rsidP="00962B44">
      <w:pPr>
        <w:jc w:val="center"/>
        <w:rPr>
          <w:rFonts w:ascii="Arial" w:eastAsia="Calibri" w:hAnsi="Arial" w:cs="Arial"/>
          <w:b/>
          <w:bCs/>
          <w:szCs w:val="24"/>
          <w:lang w:eastAsia="lt-LT"/>
        </w:rPr>
      </w:pPr>
      <w:r w:rsidRPr="004D7B3F">
        <w:rPr>
          <w:rFonts w:ascii="Arial" w:eastAsia="Calibri" w:hAnsi="Arial" w:cs="Arial"/>
          <w:b/>
          <w:bCs/>
          <w:szCs w:val="24"/>
          <w:lang w:eastAsia="lt-LT"/>
        </w:rPr>
        <w:t>PRIEMONIŲ PLANAS</w:t>
      </w:r>
    </w:p>
    <w:p w14:paraId="4CD3C657" w14:textId="77777777" w:rsidR="00962B44" w:rsidRPr="004D7B3F" w:rsidRDefault="00962B44" w:rsidP="00962B44">
      <w:pPr>
        <w:jc w:val="center"/>
        <w:rPr>
          <w:rFonts w:ascii="Arial" w:eastAsia="Calibri" w:hAnsi="Arial" w:cs="Arial"/>
          <w:b/>
          <w:bCs/>
          <w:szCs w:val="24"/>
          <w:lang w:eastAsia="lt-LT"/>
        </w:rPr>
      </w:pPr>
    </w:p>
    <w:p w14:paraId="736CE3B9" w14:textId="77777777" w:rsidR="00962B44" w:rsidRPr="004D7B3F" w:rsidRDefault="00962B44" w:rsidP="00962B44">
      <w:pPr>
        <w:jc w:val="center"/>
        <w:rPr>
          <w:rFonts w:ascii="Arial" w:eastAsia="Calibri" w:hAnsi="Arial" w:cs="Arial"/>
          <w:b/>
          <w:bCs/>
          <w:szCs w:val="24"/>
          <w:lang w:eastAsia="lt-LT"/>
        </w:rPr>
      </w:pPr>
    </w:p>
    <w:p w14:paraId="33693488" w14:textId="77777777" w:rsidR="00962B44" w:rsidRPr="004D7B3F" w:rsidRDefault="00962B44" w:rsidP="00962B44">
      <w:pPr>
        <w:ind w:firstLine="360"/>
        <w:rPr>
          <w:rFonts w:ascii="Arial" w:eastAsia="Calibri" w:hAnsi="Arial" w:cs="Arial"/>
          <w:color w:val="000000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Vartojami trumpiniai:</w:t>
      </w:r>
    </w:p>
    <w:p w14:paraId="661116DA" w14:textId="77777777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1.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>AS – Nacionalinės teismų administracijos Administravimo skyrius;</w:t>
      </w:r>
    </w:p>
    <w:p w14:paraId="38A6940B" w14:textId="77777777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2.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 xml:space="preserve">CS </w:t>
      </w:r>
      <w:r w:rsidRPr="004D7B3F">
        <w:rPr>
          <w:rFonts w:ascii="Arial" w:eastAsia="Calibri" w:hAnsi="Arial" w:cs="Arial"/>
          <w:szCs w:val="24"/>
          <w:lang w:eastAsia="lt-LT"/>
        </w:rPr>
        <w:t>–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 Centrinis už korupcijai atsparios aplinkos kūrimą visoje teismų sistemoje atsakingas subjektas</w:t>
      </w:r>
      <w:r w:rsidRPr="004D7B3F">
        <w:rPr>
          <w:rFonts w:ascii="Arial" w:hAnsi="Arial" w:cs="Arial"/>
          <w:szCs w:val="24"/>
          <w:lang w:eastAsia="lt-LT"/>
        </w:rPr>
        <w:t>;</w:t>
      </w:r>
    </w:p>
    <w:p w14:paraId="698A4495" w14:textId="77777777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3.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>FBS – Nacionalinės teismų administracijos Finansų ir biudžeto skyrius;</w:t>
      </w:r>
    </w:p>
    <w:p w14:paraId="7875F91E" w14:textId="77777777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4.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>ITS – Nacionalinės teismų administracijos Informacinių technologijų skyrius;</w:t>
      </w:r>
    </w:p>
    <w:p w14:paraId="60E2F0CD" w14:textId="77777777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5.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>KS – Nacionalinės teismų administracijos Komunikacijos skyrius;</w:t>
      </w:r>
    </w:p>
    <w:p w14:paraId="7D3CE0E1" w14:textId="77777777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6.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>LITEKO – Lietuvos teismų informacinė sistema;</w:t>
      </w:r>
    </w:p>
    <w:p w14:paraId="238C13F9" w14:textId="77777777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7.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 xml:space="preserve">MC </w:t>
      </w:r>
      <w:r w:rsidRPr="004D7B3F">
        <w:rPr>
          <w:rFonts w:ascii="Arial" w:eastAsia="Calibri" w:hAnsi="Arial" w:cs="Arial"/>
          <w:szCs w:val="24"/>
          <w:lang w:eastAsia="lt-LT"/>
        </w:rPr>
        <w:t>–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 </w:t>
      </w:r>
      <w:r w:rsidRPr="004D7B3F">
        <w:rPr>
          <w:rFonts w:ascii="Arial" w:hAnsi="Arial" w:cs="Arial"/>
          <w:szCs w:val="24"/>
          <w:lang w:eastAsia="lt-LT"/>
        </w:rPr>
        <w:t>Nacionalinės teismų administracijos mokymo centras;</w:t>
      </w:r>
    </w:p>
    <w:p w14:paraId="4FE6F13A" w14:textId="77777777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8.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>MTBS – Nacionalinės teismų administracijos Mokymų ir tarptautinio bendradarbiavimo skyrius;</w:t>
      </w:r>
    </w:p>
    <w:p w14:paraId="30013458" w14:textId="556CBD2D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9.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 xml:space="preserve">NTA </w:t>
      </w:r>
      <w:r w:rsidRPr="004D7B3F">
        <w:rPr>
          <w:rFonts w:ascii="Arial" w:eastAsia="Calibri" w:hAnsi="Arial" w:cs="Arial"/>
          <w:szCs w:val="24"/>
          <w:lang w:eastAsia="lt-LT"/>
        </w:rPr>
        <w:t>–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 xml:space="preserve"> </w:t>
      </w:r>
      <w:r w:rsidRPr="004D7B3F">
        <w:rPr>
          <w:rFonts w:ascii="Arial" w:hAnsi="Arial" w:cs="Arial"/>
          <w:szCs w:val="24"/>
          <w:lang w:eastAsia="lt-LT"/>
        </w:rPr>
        <w:t>Nacionalinė teismų administracija;</w:t>
      </w:r>
    </w:p>
    <w:p w14:paraId="3941DB4D" w14:textId="07A1A033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1</w:t>
      </w:r>
      <w:r w:rsidR="009A25EE" w:rsidRPr="004D7B3F">
        <w:rPr>
          <w:rFonts w:ascii="Arial" w:eastAsia="Calibri" w:hAnsi="Arial" w:cs="Arial"/>
          <w:color w:val="000000"/>
          <w:szCs w:val="24"/>
          <w:lang w:eastAsia="lt-LT"/>
        </w:rPr>
        <w:t>0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>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>TRAS – Nacionalinės teismų administracijos Teisinio reguliavimo ir atstovavimo skyrius;</w:t>
      </w:r>
    </w:p>
    <w:p w14:paraId="2E86EFD1" w14:textId="3559485F" w:rsidR="00962B44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1</w:t>
      </w:r>
      <w:r w:rsidR="009A25EE" w:rsidRPr="004D7B3F">
        <w:rPr>
          <w:rFonts w:ascii="Arial" w:eastAsia="Calibri" w:hAnsi="Arial" w:cs="Arial"/>
          <w:color w:val="000000"/>
          <w:szCs w:val="24"/>
          <w:lang w:eastAsia="lt-LT"/>
        </w:rPr>
        <w:t>1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>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>TT – Teisėjų taryba;</w:t>
      </w:r>
    </w:p>
    <w:p w14:paraId="18845E7C" w14:textId="7D8F9FED" w:rsidR="009A25EE" w:rsidRPr="004D7B3F" w:rsidRDefault="00962B44" w:rsidP="00962B44">
      <w:pPr>
        <w:suppressAutoHyphens/>
        <w:rPr>
          <w:rFonts w:ascii="Arial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color w:val="000000"/>
          <w:szCs w:val="24"/>
          <w:lang w:eastAsia="lt-LT"/>
        </w:rPr>
        <w:t>1</w:t>
      </w:r>
      <w:r w:rsidR="009A25EE" w:rsidRPr="004D7B3F">
        <w:rPr>
          <w:rFonts w:ascii="Arial" w:eastAsia="Calibri" w:hAnsi="Arial" w:cs="Arial"/>
          <w:color w:val="000000"/>
          <w:szCs w:val="24"/>
          <w:lang w:eastAsia="lt-LT"/>
        </w:rPr>
        <w:t>2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>.</w:t>
      </w:r>
      <w:r w:rsidRPr="004D7B3F">
        <w:rPr>
          <w:rFonts w:ascii="Arial" w:eastAsia="Calibri" w:hAnsi="Arial" w:cs="Arial"/>
          <w:color w:val="000000"/>
          <w:szCs w:val="24"/>
          <w:lang w:eastAsia="lt-LT"/>
        </w:rPr>
        <w:tab/>
      </w:r>
      <w:r w:rsidRPr="004D7B3F">
        <w:rPr>
          <w:rFonts w:ascii="Arial" w:hAnsi="Arial" w:cs="Arial"/>
          <w:szCs w:val="24"/>
          <w:lang w:eastAsia="lt-LT"/>
        </w:rPr>
        <w:t>TVS – Nacionalinės teismų administracijos Teismų veiklos skyrius</w:t>
      </w:r>
      <w:r w:rsidR="009A25EE" w:rsidRPr="004D7B3F">
        <w:rPr>
          <w:rFonts w:ascii="Arial" w:hAnsi="Arial" w:cs="Arial"/>
          <w:szCs w:val="24"/>
          <w:lang w:eastAsia="lt-LT"/>
        </w:rPr>
        <w:t>;</w:t>
      </w:r>
    </w:p>
    <w:p w14:paraId="09AAEC69" w14:textId="21823E02" w:rsidR="00962B44" w:rsidRPr="004D7B3F" w:rsidRDefault="009A25EE" w:rsidP="00962B44">
      <w:pPr>
        <w:suppressAutoHyphens/>
        <w:rPr>
          <w:rFonts w:ascii="Arial" w:eastAsia="Calibri" w:hAnsi="Arial" w:cs="Arial"/>
          <w:szCs w:val="24"/>
          <w:lang w:eastAsia="lt-LT"/>
        </w:rPr>
      </w:pPr>
      <w:r w:rsidRPr="004D7B3F">
        <w:rPr>
          <w:rFonts w:ascii="Arial" w:hAnsi="Arial" w:cs="Arial"/>
          <w:szCs w:val="24"/>
          <w:lang w:eastAsia="lt-LT"/>
        </w:rPr>
        <w:t>13.</w:t>
      </w:r>
      <w:r w:rsidRPr="004D7B3F">
        <w:rPr>
          <w:rFonts w:ascii="Arial" w:hAnsi="Arial" w:cs="Arial"/>
          <w:szCs w:val="24"/>
          <w:lang w:eastAsia="lt-LT"/>
        </w:rPr>
        <w:tab/>
        <w:t>SPS – Nacionalinės teismų administracijos Strateginio planavimo skyrius.</w:t>
      </w:r>
      <w:r w:rsidR="00962B44" w:rsidRPr="004D7B3F">
        <w:rPr>
          <w:rFonts w:ascii="Arial" w:eastAsia="Calibri" w:hAnsi="Arial" w:cs="Arial"/>
          <w:szCs w:val="24"/>
          <w:lang w:eastAsia="lt-LT"/>
        </w:rPr>
        <w:br w:type="page"/>
      </w:r>
    </w:p>
    <w:p w14:paraId="7D3C368E" w14:textId="77777777" w:rsidR="00962B44" w:rsidRPr="004D7B3F" w:rsidRDefault="00962B44" w:rsidP="00962B44">
      <w:pPr>
        <w:rPr>
          <w:rFonts w:ascii="Arial" w:hAnsi="Arial" w:cs="Arial"/>
          <w:szCs w:val="24"/>
        </w:rPr>
      </w:pPr>
    </w:p>
    <w:tbl>
      <w:tblPr>
        <w:tblW w:w="14597" w:type="dxa"/>
        <w:tblInd w:w="-1" w:type="dxa"/>
        <w:tblLook w:val="04A0" w:firstRow="1" w:lastRow="0" w:firstColumn="1" w:lastColumn="0" w:noHBand="0" w:noVBand="1"/>
      </w:tblPr>
      <w:tblGrid>
        <w:gridCol w:w="565"/>
        <w:gridCol w:w="3187"/>
        <w:gridCol w:w="1763"/>
        <w:gridCol w:w="2297"/>
        <w:gridCol w:w="6785"/>
      </w:tblGrid>
      <w:tr w:rsidR="00962B44" w:rsidRPr="004D7B3F" w14:paraId="59951153" w14:textId="77777777" w:rsidTr="00011F30">
        <w:trPr>
          <w:trHeight w:val="5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05F18E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11093C1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Priemonės/veiklos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4010B50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Įgyvendinimo terminas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71BB862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Atsakingi vykdytojai</w:t>
            </w:r>
          </w:p>
        </w:tc>
        <w:tc>
          <w:tcPr>
            <w:tcW w:w="6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D7D438B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 xml:space="preserve">Įgyvendinimo vertinimo kriterijai </w:t>
            </w:r>
          </w:p>
        </w:tc>
      </w:tr>
      <w:tr w:rsidR="00962B44" w:rsidRPr="004D7B3F" w14:paraId="45F269E7" w14:textId="77777777" w:rsidTr="00011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4597" w:type="dxa"/>
            <w:gridSpan w:val="5"/>
            <w:shd w:val="clear" w:color="auto" w:fill="B4C6E7" w:themeFill="accent1" w:themeFillTint="66"/>
            <w:vAlign w:val="center"/>
          </w:tcPr>
          <w:p w14:paraId="46C67139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>VEIKSMŲ PLANO TIKSLAS – KURTI KORUPCIJAI IR BET KOKIO POBŪDŽIO NETEISĖTAI ĮTAKAI ATSPARIĄ TEISMŲ SISTEMĄ, ŠALINTI KORUPCIJOS RIZIKOS TEISMŲ SISTEMOJE GRĖSMES.</w:t>
            </w:r>
          </w:p>
        </w:tc>
      </w:tr>
      <w:tr w:rsidR="00962B44" w:rsidRPr="004D7B3F" w14:paraId="4269DEF3" w14:textId="77777777" w:rsidTr="00011F30">
        <w:trPr>
          <w:trHeight w:val="520"/>
        </w:trPr>
        <w:tc>
          <w:tcPr>
            <w:tcW w:w="14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D5A6B8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b/>
                <w:bCs/>
                <w:color w:val="4472C4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b/>
                <w:bCs/>
                <w:szCs w:val="24"/>
                <w:lang w:eastAsia="lt-LT"/>
              </w:rPr>
              <w:t>1 uždavinys – antikorupcinio sąmoningumo teismų sistemoje didinimas.</w:t>
            </w:r>
          </w:p>
        </w:tc>
      </w:tr>
      <w:tr w:rsidR="00962B44" w:rsidRPr="004D7B3F" w14:paraId="02FF6126" w14:textId="77777777" w:rsidTr="00011F30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DEB9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663A" w14:textId="324E335B" w:rsidR="00962B44" w:rsidRPr="004D7B3F" w:rsidRDefault="00962B44" w:rsidP="00011F30">
            <w:pPr>
              <w:keepNext/>
              <w:keepLines/>
              <w:tabs>
                <w:tab w:val="left" w:pos="1950"/>
              </w:tabs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Atlikti anoniminį teisėjų ir teismų darbuotojų (ne)tolerancijos korupcijai tyrimą.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A532" w14:textId="2D5CA06C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2024-</w:t>
            </w:r>
            <w:r w:rsidR="009A25EE" w:rsidRPr="004D7B3F">
              <w:rPr>
                <w:rFonts w:ascii="Arial" w:hAnsi="Arial" w:cs="Arial"/>
                <w:szCs w:val="24"/>
                <w:lang w:eastAsia="lt-LT"/>
              </w:rPr>
              <w:t>07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-31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5F1C" w14:textId="566840BB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CS 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7709" w14:textId="77777777" w:rsidR="00962B44" w:rsidRPr="004D7B3F" w:rsidRDefault="00962B44" w:rsidP="00011F30">
            <w:pPr>
              <w:jc w:val="both"/>
              <w:rPr>
                <w:rFonts w:ascii="Arial" w:hAnsi="Arial" w:cs="Arial"/>
                <w:color w:val="4472C4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Atliktas (ne)tolerancijos korupcijai teismuose tyrimas, kurio apibendrinimu identifikuotos spęstinos vidinės teismų problemos korupcijos prevencijos srityje.</w:t>
            </w:r>
          </w:p>
        </w:tc>
      </w:tr>
      <w:tr w:rsidR="00962B44" w:rsidRPr="004D7B3F" w14:paraId="28D2B04B" w14:textId="77777777" w:rsidTr="00011F30"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B038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1DC6" w14:textId="00E2A2BA" w:rsidR="00962B44" w:rsidRPr="004D7B3F" w:rsidRDefault="00962B44" w:rsidP="00011F30">
            <w:pPr>
              <w:keepNext/>
              <w:keepLines/>
              <w:tabs>
                <w:tab w:val="left" w:pos="1950"/>
              </w:tabs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Naujai dirbti priimtus asmenis supažindinti su Lietuvos teismų skaidrumo politika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2612" w14:textId="1A25B3A2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nuolat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652B" w14:textId="0F2FA9AA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Teismų pirmininkai ar jų įgalioti asmenys, NTA direktorius ar jo į</w:t>
            </w:r>
            <w:r w:rsidR="000861AB" w:rsidRPr="004D7B3F">
              <w:rPr>
                <w:rFonts w:ascii="Arial" w:hAnsi="Arial" w:cs="Arial"/>
                <w:szCs w:val="24"/>
                <w:lang w:eastAsia="lt-LT"/>
              </w:rPr>
              <w:t>g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aliotas asmuo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FA49" w14:textId="0FABDAF4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Visi naujai teismuose ar NTA pradėję dirbti asmenys supažin</w:t>
            </w:r>
            <w:r w:rsidR="000861AB" w:rsidRPr="004D7B3F">
              <w:rPr>
                <w:rFonts w:ascii="Arial" w:eastAsia="Calibri" w:hAnsi="Arial" w:cs="Arial"/>
                <w:szCs w:val="24"/>
                <w:lang w:eastAsia="lt-LT"/>
              </w:rPr>
              <w:t>din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ti su Lietuvos teismų skaidrumo politika.</w:t>
            </w:r>
          </w:p>
        </w:tc>
      </w:tr>
      <w:tr w:rsidR="00962B44" w:rsidRPr="004D7B3F" w14:paraId="7F30F94B" w14:textId="77777777" w:rsidTr="00011F30"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E4C5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3.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23E5" w14:textId="70ED1E4A" w:rsidR="00962B44" w:rsidRPr="004D7B3F" w:rsidRDefault="00962B44" w:rsidP="00011F30">
            <w:pPr>
              <w:keepNext/>
              <w:keepLines/>
              <w:tabs>
                <w:tab w:val="left" w:pos="1950"/>
              </w:tabs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</w:rPr>
              <w:t>Teismų viešose erdvėse skelbti informaciją, kaip pranešti Specialiųjų tyrimų tarnybai apie pastebėtas korupcinio pobūdžio veikas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E939" w14:textId="483624D4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nuolat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1229" w14:textId="6E2566E3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Teismų pirmininkai ar jų įgalioti asmenys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A2A9" w14:textId="54B6C612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Visuose Lietuvos teismuose viešosiose erdvėse yra aiškiai pateikiama informacija apie korupcinio pobūdžio elgesio netoleravimą ir pareigą pranešti apie pastebėtas korupcinio pobūdžio veikas.</w:t>
            </w:r>
          </w:p>
        </w:tc>
      </w:tr>
      <w:tr w:rsidR="00962B44" w:rsidRPr="004D7B3F" w14:paraId="1C86B3C7" w14:textId="77777777" w:rsidTr="00011F30"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287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4.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9752" w14:textId="77777777" w:rsidR="00962B44" w:rsidRPr="004D7B3F" w:rsidRDefault="00962B44" w:rsidP="00011F30">
            <w:pPr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Didinti teismų sistemos darbuotojų sąmoningumą apie pranešimų, susijusių su pastebėtais galimai neteisėtais veiksmais, pateikimo svarbą, priminti apie galimybes anonimiškai naudoti </w:t>
            </w:r>
            <w:r w:rsidRPr="004D7B3F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lt-LT"/>
              </w:rPr>
              <w:t>vidinį informacijos apie pažeidimus teikimo</w:t>
            </w: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 kanalą teismuose.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FA10" w14:textId="5741341F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</w:t>
            </w:r>
            <w:r w:rsidR="00631D94" w:rsidRPr="004D7B3F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-12-31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E00E" w14:textId="77777777" w:rsidR="00962B44" w:rsidRPr="004D7B3F" w:rsidRDefault="00962B44" w:rsidP="00011F30">
            <w:pPr>
              <w:jc w:val="center"/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CS, KS, </w:t>
            </w:r>
            <w:r w:rsidRPr="004D7B3F">
              <w:rPr>
                <w:rFonts w:ascii="Arial" w:eastAsia="Calibri" w:hAnsi="Arial" w:cs="Arial"/>
                <w:spacing w:val="2"/>
                <w:szCs w:val="24"/>
                <w:shd w:val="clear" w:color="auto" w:fill="FFFFFF"/>
                <w:lang w:eastAsia="lt-LT"/>
              </w:rPr>
              <w:t>NTA direktoriaus įsakymu paskirtas kompetentingas subjektas,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administruojantis vidinį informacijos apie pažeidimus teikimo kanalą, nagrinėjantis juo gautą informaciją apie pažeidimus</w:t>
            </w:r>
          </w:p>
          <w:p w14:paraId="2B8B1AF5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EBE0" w14:textId="77777777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lastRenderedPageBreak/>
              <w:t xml:space="preserve">Atlikta </w:t>
            </w:r>
            <w:r w:rsidRPr="004D7B3F">
              <w:rPr>
                <w:rFonts w:ascii="Arial" w:eastAsia="Calibri" w:hAnsi="Arial" w:cs="Arial"/>
                <w:color w:val="000000"/>
                <w:szCs w:val="24"/>
                <w:shd w:val="clear" w:color="auto" w:fill="FFFFFF"/>
                <w:lang w:eastAsia="lt-LT"/>
              </w:rPr>
              <w:t>vidinio informacijos apie pažeidimus teikimo</w:t>
            </w: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 kanalo tikslo ir naudos kampanija.</w:t>
            </w:r>
          </w:p>
        </w:tc>
      </w:tr>
      <w:tr w:rsidR="00962B44" w:rsidRPr="004D7B3F" w14:paraId="21580BE9" w14:textId="77777777" w:rsidTr="00011F30"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8862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5.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0ACE" w14:textId="6A1CA3BE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Organizuoti</w:t>
            </w:r>
            <w:r w:rsidR="009A25EE"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teisėjų ir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teismų sistemos darbuotojų mokymus korupcijos prevencijos</w:t>
            </w:r>
            <w:r w:rsidR="00631D94"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bei viešų ir privačių interesų derinimo s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rity</w:t>
            </w:r>
            <w:r w:rsidR="00631D94" w:rsidRPr="004D7B3F">
              <w:rPr>
                <w:rFonts w:ascii="Arial" w:eastAsia="Calibri" w:hAnsi="Arial" w:cs="Arial"/>
                <w:szCs w:val="24"/>
                <w:lang w:eastAsia="lt-LT"/>
              </w:rPr>
              <w:t>se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.</w:t>
            </w:r>
          </w:p>
          <w:p w14:paraId="565751FB" w14:textId="77777777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FF85" w14:textId="3CB527F8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</w:t>
            </w:r>
            <w:r w:rsidR="00631D94" w:rsidRPr="004D7B3F">
              <w:rPr>
                <w:rFonts w:ascii="Arial" w:hAnsi="Arial" w:cs="Arial"/>
                <w:szCs w:val="24"/>
                <w:lang w:eastAsia="lt-LT"/>
              </w:rPr>
              <w:t>4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-12-31</w:t>
            </w:r>
            <w:r w:rsidR="00790CF8" w:rsidRPr="004D7B3F">
              <w:rPr>
                <w:rFonts w:ascii="Arial" w:hAnsi="Arial" w:cs="Arial"/>
                <w:szCs w:val="24"/>
                <w:lang w:eastAsia="lt-LT"/>
              </w:rPr>
              <w:t>/2025-12-31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7C64" w14:textId="0D541AFF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Teismų pirmininkai ar jų įgalioti asmenys, NTA</w:t>
            </w:r>
            <w:r w:rsidR="009A25EE" w:rsidRPr="004D7B3F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MTBS</w:t>
            </w:r>
          </w:p>
          <w:p w14:paraId="1EBBD189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3A01" w14:textId="35715B63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Visose teismų sistemos institucijose keliamos darbuotojų kompetencijos korupcijos prevencijos</w:t>
            </w:r>
            <w:r w:rsidR="00631D94" w:rsidRPr="004D7B3F">
              <w:rPr>
                <w:rFonts w:ascii="Arial" w:hAnsi="Arial" w:cs="Arial"/>
                <w:szCs w:val="24"/>
                <w:lang w:eastAsia="lt-LT"/>
              </w:rPr>
              <w:t xml:space="preserve"> ir </w:t>
            </w:r>
            <w:r w:rsidR="00631D94" w:rsidRPr="004D7B3F">
              <w:rPr>
                <w:rFonts w:ascii="Arial" w:eastAsia="Calibri" w:hAnsi="Arial" w:cs="Arial"/>
                <w:szCs w:val="24"/>
                <w:lang w:eastAsia="lt-LT"/>
              </w:rPr>
              <w:t>viešų ir privačių interesų derinimo srityse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</w:tr>
      <w:tr w:rsidR="00962B44" w:rsidRPr="004D7B3F" w14:paraId="1AE71023" w14:textId="77777777" w:rsidTr="00011F30"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0ABC" w14:textId="3AB692E0" w:rsidR="00962B44" w:rsidRPr="004D7B3F" w:rsidRDefault="00631D9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6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79E7" w14:textId="77777777" w:rsidR="00962B44" w:rsidRPr="004D7B3F" w:rsidRDefault="00962B44" w:rsidP="00011F30">
            <w:pPr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Priminti teismų sistemos darbuotojams pareigą deklaruoti viešuosius ir privačius interesus.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882E" w14:textId="79A6CB75" w:rsidR="00962B44" w:rsidRPr="004D7B3F" w:rsidRDefault="009A25EE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kiekvieną metų ketvirtį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30D0" w14:textId="218F9938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Teismų pirmininkai ar jų įgalioti asmenys, N</w:t>
            </w:r>
            <w:r w:rsidR="009A25EE" w:rsidRPr="004D7B3F">
              <w:rPr>
                <w:rFonts w:ascii="Arial" w:hAnsi="Arial" w:cs="Arial"/>
                <w:szCs w:val="24"/>
                <w:lang w:eastAsia="lt-LT"/>
              </w:rPr>
              <w:t>TA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 direktorius ar jo įgaliotas asmuo,</w:t>
            </w:r>
          </w:p>
          <w:p w14:paraId="61028F2D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959A" w14:textId="77777777" w:rsidR="00962B44" w:rsidRPr="004D7B3F" w:rsidRDefault="00962B44" w:rsidP="00011F30">
            <w:pPr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Teismų sistemos darbuotojams kas ketvirtį</w:t>
            </w: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 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el. laišku </w:t>
            </w: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primenama apie pareigą deklaruoti viešuosius ir privačius interesus.</w:t>
            </w:r>
          </w:p>
        </w:tc>
      </w:tr>
      <w:tr w:rsidR="00962B44" w:rsidRPr="004D7B3F" w14:paraId="0A494CA9" w14:textId="77777777" w:rsidTr="00011F30"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C45D" w14:textId="2E6422C2" w:rsidR="00962B44" w:rsidRPr="004D7B3F" w:rsidRDefault="00631D9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7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FFB9" w14:textId="10D8E96E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Vykdyti</w:t>
            </w:r>
            <w:r w:rsidR="00F81928"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teisėjų ir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teismų darbuotojų viešųjų ir privačių interesų derinimo stebėseną, </w:t>
            </w:r>
            <w:r w:rsidR="00F81928" w:rsidRPr="004D7B3F">
              <w:rPr>
                <w:rFonts w:ascii="Arial" w:eastAsia="Calibri" w:hAnsi="Arial" w:cs="Arial"/>
                <w:szCs w:val="24"/>
                <w:lang w:eastAsia="lt-LT"/>
              </w:rPr>
              <w:t>užtikrinant informacijos, esančios viešų ir privačių interesų deklaracijose savalaikį pateikimą asmenims, atsakingiems už bylų skirstymą teisme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312D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nuolat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6471" w14:textId="70D8DCA3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Teismų pirmininkai ar jų įgalioti asmenys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F568" w14:textId="10EB6189" w:rsidR="00962B44" w:rsidRPr="004D7B3F" w:rsidRDefault="00F81928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Atlik</w:t>
            </w:r>
            <w:r w:rsidR="00D021AF" w:rsidRPr="004D7B3F">
              <w:rPr>
                <w:rFonts w:ascii="Arial" w:hAnsi="Arial" w:cs="Arial"/>
                <w:szCs w:val="24"/>
                <w:lang w:eastAsia="lt-LT"/>
              </w:rPr>
              <w:t>ti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 privačių interesų deklaracijų pildymo, tikslinimo ir pateikimo taisyklių laikymosi patikrinimai, susisteminti duomenys dėl galimų interesų konfliktų pateik</w:t>
            </w:r>
            <w:r w:rsidR="00D021AF" w:rsidRPr="004D7B3F">
              <w:rPr>
                <w:rFonts w:ascii="Arial" w:hAnsi="Arial" w:cs="Arial"/>
                <w:szCs w:val="24"/>
                <w:lang w:eastAsia="lt-LT"/>
              </w:rPr>
              <w:t>ti teismo pirmininkui ir/ar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D021AF" w:rsidRPr="004D7B3F">
              <w:rPr>
                <w:rFonts w:ascii="Arial" w:hAnsi="Arial" w:cs="Arial"/>
                <w:szCs w:val="24"/>
                <w:lang w:eastAsia="lt-LT"/>
              </w:rPr>
              <w:t>s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kyrių pirmininkams </w:t>
            </w:r>
            <w:r w:rsidR="00D021AF" w:rsidRPr="004D7B3F">
              <w:rPr>
                <w:rFonts w:ascii="Arial" w:hAnsi="Arial" w:cs="Arial"/>
                <w:szCs w:val="24"/>
                <w:lang w:eastAsia="lt-LT"/>
              </w:rPr>
              <w:t>bei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 bylas skirstantiems asmenims.</w:t>
            </w:r>
          </w:p>
        </w:tc>
      </w:tr>
      <w:tr w:rsidR="00962B44" w:rsidRPr="004D7B3F" w14:paraId="668DEC84" w14:textId="77777777" w:rsidTr="00011F30"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9383" w14:textId="69A3533F" w:rsidR="00962B44" w:rsidRPr="004D7B3F" w:rsidRDefault="0076057B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8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D131" w14:textId="590F9F1D" w:rsidR="00962B44" w:rsidRPr="004D7B3F" w:rsidRDefault="00962B44" w:rsidP="00011F30">
            <w:pPr>
              <w:keepNext/>
              <w:keepLines/>
              <w:tabs>
                <w:tab w:val="left" w:pos="1950"/>
              </w:tabs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Inicijuoti </w:t>
            </w:r>
            <w:r w:rsidR="0076057B"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vidines diskusijas apie neteisėto poveikio teismams rizikas ir jų valdymo priemones.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4562" w14:textId="0DFFCDD1" w:rsidR="00962B44" w:rsidRPr="004D7B3F" w:rsidRDefault="0076057B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2025-12-31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6863" w14:textId="7831D1B5" w:rsidR="00962B44" w:rsidRPr="004D7B3F" w:rsidRDefault="0076057B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Teismų pirmininkai, 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CS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891C" w14:textId="29B42D43" w:rsidR="00962B44" w:rsidRPr="004D7B3F" w:rsidRDefault="0076057B" w:rsidP="00011F30">
            <w:pPr>
              <w:jc w:val="both"/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Kiekviename teisme ir NTA bent kartą per metus p</w:t>
            </w:r>
            <w:r w:rsidR="00962B44"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asirinkta forma organizuot</w:t>
            </w:r>
            <w:r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a vidinė diskusija</w:t>
            </w:r>
            <w:r w:rsidR="00962B44"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 xml:space="preserve"> korupcijai atsparios aplinkos kūrimo klausimais, apžvelgiant </w:t>
            </w:r>
            <w:r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didžiausias su korupcija susijusias rizikas toje įstaigoje</w:t>
            </w:r>
            <w:r w:rsidR="00962B44"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.</w:t>
            </w:r>
          </w:p>
          <w:p w14:paraId="4832F92C" w14:textId="77777777" w:rsidR="00962B44" w:rsidRPr="004D7B3F" w:rsidRDefault="00962B44" w:rsidP="00011F30">
            <w:pPr>
              <w:jc w:val="both"/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6DB7747E" w14:textId="77777777" w:rsidR="00962B44" w:rsidRPr="004D7B3F" w:rsidRDefault="00962B44" w:rsidP="00962B44">
      <w:pPr>
        <w:rPr>
          <w:rFonts w:ascii="Arial" w:eastAsia="Calibri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szCs w:val="24"/>
          <w:lang w:eastAsia="lt-LT"/>
        </w:rPr>
        <w:br w:type="page"/>
      </w:r>
    </w:p>
    <w:tbl>
      <w:tblPr>
        <w:tblW w:w="1459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3152"/>
        <w:gridCol w:w="1598"/>
        <w:gridCol w:w="2276"/>
        <w:gridCol w:w="6699"/>
      </w:tblGrid>
      <w:tr w:rsidR="00962B44" w:rsidRPr="004D7B3F" w14:paraId="6749E11F" w14:textId="77777777" w:rsidTr="00011F30">
        <w:trPr>
          <w:trHeight w:val="535"/>
        </w:trPr>
        <w:tc>
          <w:tcPr>
            <w:tcW w:w="14597" w:type="dxa"/>
            <w:gridSpan w:val="5"/>
            <w:shd w:val="clear" w:color="auto" w:fill="D9E2F3" w:themeFill="accent1" w:themeFillTint="33"/>
            <w:vAlign w:val="center"/>
          </w:tcPr>
          <w:p w14:paraId="75AF75DF" w14:textId="43915B52" w:rsidR="00962B44" w:rsidRPr="004D7B3F" w:rsidRDefault="00962B44" w:rsidP="00011F30">
            <w:pPr>
              <w:spacing w:after="16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lastRenderedPageBreak/>
              <w:t xml:space="preserve">2 uždavinys </w:t>
            </w:r>
            <w:r w:rsidRPr="004D7B3F">
              <w:rPr>
                <w:rFonts w:ascii="Arial" w:eastAsia="Calibri" w:hAnsi="Arial" w:cs="Arial"/>
                <w:b/>
                <w:bCs/>
                <w:szCs w:val="24"/>
                <w:lang w:eastAsia="lt-LT"/>
              </w:rPr>
              <w:t>–</w:t>
            </w:r>
            <w:r w:rsidRPr="004D7B3F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 xml:space="preserve"> veiklos skaidrumo ir atvirumo užtikrinimas</w:t>
            </w:r>
          </w:p>
        </w:tc>
      </w:tr>
      <w:tr w:rsidR="00962B44" w:rsidRPr="004D7B3F" w14:paraId="236A4E9B" w14:textId="77777777" w:rsidTr="004D7B3F">
        <w:trPr>
          <w:trHeight w:val="7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5EDF" w14:textId="1C3DEE90" w:rsidR="00962B44" w:rsidRPr="004D7B3F" w:rsidRDefault="00963ACC" w:rsidP="00011F30">
            <w:pPr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9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471D" w14:textId="061306AE" w:rsidR="00962B44" w:rsidRPr="004D7B3F" w:rsidRDefault="006E26C8" w:rsidP="00011F30">
            <w:pPr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Didinti duomenų prieinamumo apie Lietuvos teismų veiklą apimtis</w:t>
            </w:r>
            <w:r w:rsidR="00D021AF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DC8E" w14:textId="347136D2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</w:t>
            </w:r>
            <w:r w:rsidR="006E26C8" w:rsidRPr="004D7B3F">
              <w:rPr>
                <w:rFonts w:ascii="Arial" w:hAnsi="Arial" w:cs="Arial"/>
                <w:szCs w:val="24"/>
                <w:lang w:eastAsia="lt-LT"/>
              </w:rPr>
              <w:t>4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-12-31</w:t>
            </w:r>
            <w:r w:rsidR="006E26C8" w:rsidRPr="004D7B3F">
              <w:rPr>
                <w:rFonts w:ascii="Arial" w:hAnsi="Arial" w:cs="Arial"/>
                <w:szCs w:val="24"/>
                <w:lang w:eastAsia="lt-LT"/>
              </w:rPr>
              <w:t xml:space="preserve"> – 2025-12-31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1631" w14:textId="14EC033F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NTA</w:t>
            </w:r>
            <w:r w:rsidR="009A25EE" w:rsidRPr="004D7B3F">
              <w:rPr>
                <w:rFonts w:ascii="Arial" w:hAnsi="Arial" w:cs="Arial"/>
                <w:szCs w:val="24"/>
                <w:lang w:eastAsia="lt-LT"/>
              </w:rPr>
              <w:t xml:space="preserve"> KS, SPS, ITS, CS</w:t>
            </w:r>
          </w:p>
          <w:p w14:paraId="76283123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color w:val="00B050"/>
                <w:szCs w:val="24"/>
                <w:lang w:eastAsia="lt-LT"/>
              </w:rPr>
            </w:pP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F5A9" w14:textId="7E71AB91" w:rsidR="00962B44" w:rsidRPr="004D7B3F" w:rsidRDefault="006E26C8" w:rsidP="00011F30">
            <w:pPr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Kiekvienais metais </w:t>
            </w:r>
            <w:r w:rsidR="009A25EE"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atnaujinti</w:t>
            </w:r>
            <w:r w:rsidR="00A203A6"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 tinklalapio „Atviri teismai“</w:t>
            </w:r>
            <w:r w:rsidR="009A25EE"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 esančius duomenis, imtis priemonių šio įrankio žinomumui didinti visuomenėje ir teismų sistemoje.</w:t>
            </w:r>
            <w:r w:rsidR="00A203A6"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962B44" w:rsidRPr="004D7B3F" w14:paraId="7493F483" w14:textId="77777777" w:rsidTr="004D7B3F">
        <w:trPr>
          <w:trHeight w:val="52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A29F" w14:textId="06D8C325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10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6FA0" w14:textId="7CE63DD7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Parengti priemones teismų skiriamų baudų</w:t>
            </w:r>
            <w:r w:rsidR="00A203A6"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ir kitų bylinėjimosi išlaidų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apskaitai.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1A01" w14:textId="3F93A639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</w:t>
            </w:r>
            <w:r w:rsidR="00A203A6" w:rsidRPr="004D7B3F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-12-31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59C6" w14:textId="1E5CAB6E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TT, TRAS, FBS, ITS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F0B9" w14:textId="6D2B0198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Parengt</w:t>
            </w:r>
            <w:r w:rsidR="00A203A6" w:rsidRPr="004D7B3F">
              <w:rPr>
                <w:rFonts w:ascii="Arial" w:hAnsi="Arial" w:cs="Arial"/>
                <w:szCs w:val="24"/>
                <w:lang w:eastAsia="lt-LT"/>
              </w:rPr>
              <w:t xml:space="preserve">as 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iš teismų skiriamų baudų gaunamų pajamų</w:t>
            </w:r>
            <w:r w:rsidR="00A203A6" w:rsidRPr="004D7B3F">
              <w:rPr>
                <w:rFonts w:ascii="Arial" w:hAnsi="Arial" w:cs="Arial"/>
                <w:szCs w:val="24"/>
                <w:lang w:eastAsia="lt-LT"/>
              </w:rPr>
              <w:t xml:space="preserve"> ir valstybės naudai priteistų bylinėjimosi išlaidų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 apskaitos modelis</w:t>
            </w:r>
            <w:r w:rsidR="00EF4D4C" w:rsidRPr="004D7B3F">
              <w:rPr>
                <w:rFonts w:ascii="Arial" w:hAnsi="Arial" w:cs="Arial"/>
                <w:szCs w:val="24"/>
                <w:lang w:eastAsia="lt-LT"/>
              </w:rPr>
              <w:t>, pradėti šio modelio įgyvendinamieji darbai</w:t>
            </w:r>
            <w:r w:rsidR="00A203A6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4735C358" w14:textId="77777777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</w:tc>
      </w:tr>
      <w:tr w:rsidR="00962B44" w:rsidRPr="004D7B3F" w14:paraId="6127E49D" w14:textId="77777777" w:rsidTr="004D7B3F">
        <w:trPr>
          <w:trHeight w:val="52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34DB" w14:textId="05F133FB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11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1AB0ABB9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color w:val="4472C4"/>
                <w:szCs w:val="24"/>
                <w:lang w:eastAsia="lt-LT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9CEC" w14:textId="77777777" w:rsidR="00962B44" w:rsidRPr="004D7B3F" w:rsidRDefault="00962B44" w:rsidP="00011F30">
            <w:pPr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Tobulinti bylų paskirstymo teismuose procesą pagal 2019 m. </w:t>
            </w:r>
            <w:r w:rsidRPr="004D7B3F">
              <w:rPr>
                <w:rFonts w:ascii="Arial" w:hAnsi="Arial" w:cs="Arial"/>
                <w:color w:val="000000"/>
                <w:szCs w:val="24"/>
                <w:lang w:eastAsia="lt-LT"/>
              </w:rPr>
              <w:t xml:space="preserve">Specialiųjų tyrimų tarnybos Korupcijos rizikos analizėje pateiktas rekomendacijas.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AC80" w14:textId="6DA5A9D3" w:rsidR="00962B44" w:rsidRPr="004D7B3F" w:rsidRDefault="00962B44" w:rsidP="00011F30">
            <w:pPr>
              <w:jc w:val="center"/>
              <w:rPr>
                <w:rFonts w:ascii="Arial" w:hAnsi="Arial" w:cs="Arial"/>
                <w:color w:val="4472C4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bCs/>
                <w:szCs w:val="24"/>
                <w:lang w:eastAsia="lt-LT"/>
              </w:rPr>
              <w:t>202</w:t>
            </w:r>
            <w:r w:rsidR="00A203A6" w:rsidRPr="004D7B3F">
              <w:rPr>
                <w:rFonts w:ascii="Arial" w:eastAsia="Calibri" w:hAnsi="Arial" w:cs="Arial"/>
                <w:bCs/>
                <w:szCs w:val="24"/>
                <w:lang w:eastAsia="lt-LT"/>
              </w:rPr>
              <w:t>5</w:t>
            </w:r>
            <w:r w:rsidRPr="004D7B3F">
              <w:rPr>
                <w:rFonts w:ascii="Arial" w:eastAsia="Calibri" w:hAnsi="Arial" w:cs="Arial"/>
                <w:bCs/>
                <w:szCs w:val="24"/>
                <w:lang w:eastAsia="lt-LT"/>
              </w:rPr>
              <w:t>-</w:t>
            </w:r>
            <w:r w:rsidR="007771E4" w:rsidRPr="004D7B3F">
              <w:rPr>
                <w:rFonts w:ascii="Arial" w:eastAsia="Calibri" w:hAnsi="Arial" w:cs="Arial"/>
                <w:bCs/>
                <w:szCs w:val="24"/>
                <w:lang w:eastAsia="lt-LT"/>
              </w:rPr>
              <w:t>12-31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8F22" w14:textId="77777777" w:rsidR="00962B44" w:rsidRPr="004D7B3F" w:rsidRDefault="00962B44" w:rsidP="00011F30">
            <w:pPr>
              <w:jc w:val="center"/>
              <w:rPr>
                <w:rFonts w:ascii="Arial" w:eastAsia="Calibri" w:hAnsi="Arial" w:cs="Arial"/>
                <w:bCs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TT, ITS, TVS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BCBA" w14:textId="77777777" w:rsidR="00962B44" w:rsidRPr="004D7B3F" w:rsidRDefault="00962B44" w:rsidP="00011F30">
            <w:pPr>
              <w:keepNext/>
              <w:keepLines/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Išplėstos LITEKO Bylų paskirstymo modulio techninės galimybės;</w:t>
            </w:r>
          </w:p>
          <w:p w14:paraId="07162050" w14:textId="77777777" w:rsidR="00962B44" w:rsidRPr="004D7B3F" w:rsidRDefault="00962B44" w:rsidP="00011F30">
            <w:pPr>
              <w:keepNext/>
              <w:keepLines/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Užtikrinta, kad bylų paskirstymo procedūros atlikimas naudojantis Bylų paskirstymo moduliu būtų vykdomas, kiek tai įmanoma technologiškai, privalomųjų žingsnių principu;</w:t>
            </w:r>
          </w:p>
          <w:p w14:paraId="76E25089" w14:textId="77777777" w:rsidR="00962B44" w:rsidRPr="004D7B3F" w:rsidRDefault="00962B44" w:rsidP="00011F30">
            <w:pPr>
              <w:keepNext/>
              <w:keepLines/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Patobulinta teisėjams tenkančio krūvio bylų paskirstymo procese apskaičiavimo tvarka ir formulės, atsižvelgiant į jiems paskirtų bylų sudėtingumą ir skaičių per tam tikrą periodą, posėdžių planavimą, kitus aspektus, turinčius įtakos teisėjų darbo krūvio tolygumui užtikrinti;</w:t>
            </w:r>
          </w:p>
          <w:p w14:paraId="63388FCE" w14:textId="77777777" w:rsidR="00962B44" w:rsidRPr="004D7B3F" w:rsidRDefault="00962B44" w:rsidP="00011F30">
            <w:pPr>
              <w:keepNext/>
              <w:keepLines/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Pritaikytos Bylų paskirstymo modulio funkcijos skirstant bylas apeliacinės ir kasacinės instancijų procesų metu;</w:t>
            </w:r>
          </w:p>
          <w:p w14:paraId="0BF1AB61" w14:textId="77777777" w:rsidR="00962B44" w:rsidRPr="004D7B3F" w:rsidRDefault="00962B44" w:rsidP="00011F30">
            <w:pPr>
              <w:keepNext/>
              <w:keepLines/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Užtikrintas teisėjų kolegijų sudarymo atsitiktinumas, kad kolegijų generavimo procedūros nebūtų nuspėjamos visuose teismuose;</w:t>
            </w:r>
          </w:p>
          <w:p w14:paraId="51485E09" w14:textId="77777777" w:rsidR="00962B44" w:rsidRPr="004D7B3F" w:rsidRDefault="00962B44" w:rsidP="00011F30">
            <w:pPr>
              <w:keepNext/>
              <w:keepLines/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Pritaikytos </w:t>
            </w: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Bylų paskirstymo 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modulio techninės galimybės sudarant atrankos kolegijas Lietuvos Aukščiausiajame Teisme;</w:t>
            </w:r>
          </w:p>
          <w:p w14:paraId="604C6924" w14:textId="77777777" w:rsidR="00962B44" w:rsidRPr="004D7B3F" w:rsidRDefault="00962B44" w:rsidP="00011F30">
            <w:pPr>
              <w:keepNext/>
              <w:keepLines/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Parengtas Bylų paskirstymo modulio naudotojo vadovas;</w:t>
            </w:r>
          </w:p>
          <w:p w14:paraId="0650B477" w14:textId="56B55AA8" w:rsidR="00962B44" w:rsidRPr="004D7B3F" w:rsidRDefault="00962B44" w:rsidP="00FF406C">
            <w:pPr>
              <w:jc w:val="both"/>
              <w:rPr>
                <w:rFonts w:ascii="Arial" w:hAnsi="Arial" w:cs="Arial"/>
                <w:color w:val="4472C4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Užtikrintas funkcijų atskyrimas ir veiksminga išorės bei vidaus kontrolė.</w:t>
            </w:r>
          </w:p>
        </w:tc>
      </w:tr>
      <w:tr w:rsidR="00962B44" w:rsidRPr="004D7B3F" w14:paraId="269E47F7" w14:textId="77777777" w:rsidTr="004D7B3F">
        <w:trPr>
          <w:trHeight w:val="5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3B64" w14:textId="75D91500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12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5BCC" w14:textId="48ABB588" w:rsidR="00962B44" w:rsidRPr="004D7B3F" w:rsidRDefault="003D47EB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Parengti interesų konfliktų valdymo gaires teismuose ir NTA</w:t>
            </w:r>
            <w:r w:rsidR="00962B44" w:rsidRPr="004D7B3F">
              <w:rPr>
                <w:rFonts w:ascii="Arial" w:eastAsia="Calibri" w:hAnsi="Arial" w:cs="Arial"/>
                <w:szCs w:val="24"/>
                <w:lang w:eastAsia="lt-LT"/>
              </w:rPr>
              <w:t>.</w:t>
            </w:r>
          </w:p>
          <w:p w14:paraId="1DDF6D3D" w14:textId="77777777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</w:p>
          <w:p w14:paraId="1F6E859E" w14:textId="77777777" w:rsidR="00962B44" w:rsidRPr="004D7B3F" w:rsidRDefault="00962B44" w:rsidP="00011F30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CAAC" w14:textId="33403C1D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lastRenderedPageBreak/>
              <w:t>202</w:t>
            </w:r>
            <w:r w:rsidR="00A203A6" w:rsidRPr="004D7B3F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-06-31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253D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bCs/>
                <w:szCs w:val="24"/>
                <w:lang w:eastAsia="lt-LT"/>
              </w:rPr>
              <w:t>TT, AS, CS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7FA2" w14:textId="4C821E94" w:rsidR="00962B44" w:rsidRPr="004D7B3F" w:rsidRDefault="00A203A6" w:rsidP="00011F30">
            <w:pPr>
              <w:jc w:val="both"/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Parengtos ir 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pristatytos metodinės interesų konfliktų valdymo rekomendacijos</w:t>
            </w:r>
            <w:r w:rsidR="003D47EB" w:rsidRPr="004D7B3F">
              <w:rPr>
                <w:rFonts w:ascii="Arial" w:hAnsi="Arial" w:cs="Arial"/>
                <w:szCs w:val="24"/>
                <w:lang w:eastAsia="lt-LT"/>
              </w:rPr>
              <w:t xml:space="preserve"> (gairės)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3D47EB" w:rsidRPr="004D7B3F">
              <w:rPr>
                <w:rFonts w:ascii="Arial" w:eastAsia="Calibri" w:hAnsi="Arial" w:cs="Arial"/>
                <w:szCs w:val="24"/>
                <w:lang w:eastAsia="lt-LT"/>
              </w:rPr>
              <w:t>teismuose ir NTA</w:t>
            </w:r>
            <w:r w:rsidR="00962B44" w:rsidRPr="004D7B3F">
              <w:rPr>
                <w:rFonts w:ascii="Arial" w:eastAsia="Calibri" w:hAnsi="Arial" w:cs="Arial"/>
                <w:szCs w:val="24"/>
                <w:lang w:eastAsia="lt-LT"/>
              </w:rPr>
              <w:t>.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</w:p>
        </w:tc>
      </w:tr>
      <w:tr w:rsidR="00962B44" w:rsidRPr="004D7B3F" w14:paraId="70C70721" w14:textId="77777777" w:rsidTr="004D7B3F">
        <w:trPr>
          <w:trHeight w:val="52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DABC" w14:textId="047009E2" w:rsidR="00962B44" w:rsidRPr="004D7B3F" w:rsidRDefault="00963ACC" w:rsidP="00011F30">
            <w:pPr>
              <w:jc w:val="center"/>
              <w:rPr>
                <w:rFonts w:ascii="Arial" w:hAnsi="Arial" w:cs="Arial"/>
                <w:color w:val="4472C4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13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5297" w14:textId="1A237858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Viešinti teismų pirmininkų, teismų pirmininkų pavaduotojų, skyrių pirmininkų</w:t>
            </w:r>
            <w:r w:rsidR="007771E4" w:rsidRPr="004D7B3F">
              <w:rPr>
                <w:rFonts w:ascii="Arial" w:eastAsia="Calibri" w:hAnsi="Arial" w:cs="Arial"/>
                <w:szCs w:val="24"/>
                <w:lang w:eastAsia="lt-LT"/>
              </w:rPr>
              <w:t>, NTA direktoriaus ir jo pavaduotojų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darbotvarkes.</w:t>
            </w:r>
          </w:p>
          <w:p w14:paraId="671F1ABC" w14:textId="77777777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</w:p>
          <w:p w14:paraId="2F517AC2" w14:textId="77777777" w:rsidR="00962B44" w:rsidRPr="004D7B3F" w:rsidRDefault="00962B44" w:rsidP="00011F30">
            <w:pPr>
              <w:rPr>
                <w:rFonts w:ascii="Arial" w:hAnsi="Arial" w:cs="Arial"/>
                <w:color w:val="4472C4"/>
                <w:szCs w:val="24"/>
                <w:lang w:eastAsia="lt-LT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43DC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nuolat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3188" w14:textId="06C9B4F9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Teismų pirmininkai</w:t>
            </w:r>
            <w:r w:rsidR="00D021AF" w:rsidRPr="004D7B3F">
              <w:rPr>
                <w:rFonts w:ascii="Arial" w:hAnsi="Arial" w:cs="Arial"/>
                <w:szCs w:val="24"/>
                <w:lang w:eastAsia="lt-LT"/>
              </w:rPr>
              <w:t xml:space="preserve"> ar jų įgalioti asmenys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, </w:t>
            </w:r>
            <w:r w:rsidR="007771E4" w:rsidRPr="004D7B3F">
              <w:rPr>
                <w:rFonts w:ascii="Arial" w:hAnsi="Arial" w:cs="Arial"/>
                <w:szCs w:val="24"/>
                <w:lang w:eastAsia="lt-LT"/>
              </w:rPr>
              <w:t>KS</w:t>
            </w:r>
          </w:p>
          <w:p w14:paraId="04E7E362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EA30" w14:textId="00360E4C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Kiekvieno teismo </w:t>
            </w:r>
            <w:r w:rsidR="007771E4" w:rsidRPr="004D7B3F">
              <w:rPr>
                <w:rFonts w:ascii="Arial" w:hAnsi="Arial" w:cs="Arial"/>
                <w:szCs w:val="24"/>
                <w:lang w:eastAsia="lt-LT"/>
              </w:rPr>
              <w:t xml:space="preserve">ir NTA 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interneto svetainėje skelbiamos teismo pirmininko, teismo pirmininkų pavaduotojų, skyrių pirmininkų</w:t>
            </w:r>
            <w:r w:rsidR="007771E4" w:rsidRPr="004D7B3F">
              <w:rPr>
                <w:rFonts w:ascii="Arial" w:hAnsi="Arial" w:cs="Arial"/>
                <w:szCs w:val="24"/>
                <w:lang w:eastAsia="lt-LT"/>
              </w:rPr>
              <w:t>, NTA direktoriaus ir jo pavaduotojų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 darbotvarkės.</w:t>
            </w:r>
          </w:p>
        </w:tc>
      </w:tr>
      <w:tr w:rsidR="00962B44" w:rsidRPr="004D7B3F" w14:paraId="6938D09D" w14:textId="77777777" w:rsidTr="004D7B3F">
        <w:trPr>
          <w:trHeight w:val="5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11E4" w14:textId="7160E0E4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14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44ED" w14:textId="77777777" w:rsidR="00962B44" w:rsidRPr="004D7B3F" w:rsidRDefault="00962B44" w:rsidP="00011F30">
            <w:pPr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Vykdyti nuoseklią komunikaciją NTA ir teismų sistemos socialiniuose tinkluose.</w:t>
            </w:r>
          </w:p>
          <w:p w14:paraId="735C0904" w14:textId="77777777" w:rsidR="00962B44" w:rsidRPr="004D7B3F" w:rsidRDefault="00962B44" w:rsidP="00011F30">
            <w:pPr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E540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nuolat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9966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KS, teismų komunikacijos specialistai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AD08" w14:textId="77777777" w:rsidR="00962B44" w:rsidRPr="004D7B3F" w:rsidRDefault="00962B44" w:rsidP="00011F30">
            <w:pPr>
              <w:jc w:val="both"/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Skelbiamos teismų sistemos aktualijos NTA ir teismų sistemos socialiniuose tinkluose (Facebook, </w:t>
            </w:r>
            <w:proofErr w:type="spellStart"/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Linkedin</w:t>
            </w:r>
            <w:proofErr w:type="spellEnd"/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, Instagram), stiprinant teismų bendruomenės atvirumą.</w:t>
            </w:r>
          </w:p>
        </w:tc>
      </w:tr>
      <w:tr w:rsidR="00962B44" w:rsidRPr="004D7B3F" w14:paraId="51BC7AD5" w14:textId="77777777" w:rsidTr="004D7B3F">
        <w:trPr>
          <w:trHeight w:val="52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0687" w14:textId="5D658ED5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15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4DAD" w14:textId="6E7AE9CB" w:rsidR="00962B44" w:rsidRPr="004D7B3F" w:rsidRDefault="00962B44" w:rsidP="00011F30">
            <w:pPr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Inicijuoti visuomenės nuomonės</w:t>
            </w:r>
            <w:r w:rsidR="006A25B4"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 apklausas</w:t>
            </w: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 xml:space="preserve"> apie teismų veikl</w:t>
            </w:r>
            <w:r w:rsidR="006A25B4"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os ir aptarnavimo kokybę</w:t>
            </w: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.</w:t>
            </w:r>
          </w:p>
          <w:p w14:paraId="06239728" w14:textId="77777777" w:rsidR="00962B44" w:rsidRPr="004D7B3F" w:rsidRDefault="00962B44" w:rsidP="00011F30">
            <w:pPr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7A94" w14:textId="0AFFF62E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</w:t>
            </w:r>
            <w:r w:rsidR="00ED3A69" w:rsidRPr="004D7B3F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-12-31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3736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KS, teismų komunikacijos specialistai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FC58" w14:textId="77777777" w:rsidR="00962B44" w:rsidRPr="004D7B3F" w:rsidRDefault="00962B44" w:rsidP="00011F30">
            <w:pPr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Stebimas visuomenės teismų veiklos įvairiais aspektais vertinimas, nustatomos tobulintinos veiklos sritys, procesai.</w:t>
            </w:r>
          </w:p>
        </w:tc>
      </w:tr>
      <w:tr w:rsidR="00962B44" w:rsidRPr="004D7B3F" w14:paraId="3D1CDC9A" w14:textId="77777777" w:rsidTr="004D7B3F">
        <w:trPr>
          <w:trHeight w:val="51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502C" w14:textId="3CC3B4B7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16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7803" w14:textId="77777777" w:rsidR="00962B44" w:rsidRPr="004D7B3F" w:rsidRDefault="00962B44" w:rsidP="00011F30">
            <w:pPr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Inicijuoti teismų atstovų dalyvavimą radijo ir televizijos laidose, publikacijas žiniasklaidoje teismų veiklos temomis.</w:t>
            </w:r>
          </w:p>
          <w:p w14:paraId="3E24BE44" w14:textId="77777777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12DE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nuolat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922A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KS, teismų komunikacijos specialistai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FBA0" w14:textId="77777777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Inicijuota ir dalyvauta ne mažiau kaip 20 radijo ir televizijos laidų / parengta publikacijų per metus.</w:t>
            </w:r>
          </w:p>
        </w:tc>
      </w:tr>
      <w:tr w:rsidR="00962B44" w:rsidRPr="004D7B3F" w14:paraId="7FE97331" w14:textId="77777777" w:rsidTr="004D7B3F">
        <w:trPr>
          <w:trHeight w:val="5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76AB" w14:textId="1FD25594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17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6993" w14:textId="77777777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Viešinti nustatytus korupcinio pobūdžio pažeidimus teismų sistemoje ir jų tyrimo rezultatus.</w:t>
            </w:r>
          </w:p>
          <w:p w14:paraId="0DCDCBA7" w14:textId="77777777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6F55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nuolat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DA0F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CS, KS, teismų komunikacijos specialistai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448C" w14:textId="77777777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Skelbiama informacija apie nustatytus netoleruojamus neteisėto poveikio teismų sistemai atvejus bei jų padarinius. </w:t>
            </w:r>
          </w:p>
        </w:tc>
      </w:tr>
      <w:tr w:rsidR="00ED3A69" w:rsidRPr="004D7B3F" w14:paraId="489B4773" w14:textId="77777777" w:rsidTr="004D7B3F">
        <w:trPr>
          <w:trHeight w:val="5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1666" w14:textId="05A9E7F2" w:rsidR="00ED3A69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18</w:t>
            </w:r>
            <w:r w:rsidR="00ED3A69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4A54" w14:textId="66657E4D" w:rsidR="00ED3A69" w:rsidRPr="004D7B3F" w:rsidRDefault="009007C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</w:rPr>
              <w:t xml:space="preserve">Atlikti teismo pareigūnų, sprendžiančių kolegijų </w:t>
            </w:r>
            <w:r w:rsidRPr="004D7B3F">
              <w:rPr>
                <w:rFonts w:ascii="Arial" w:hAnsi="Arial" w:cs="Arial"/>
                <w:szCs w:val="24"/>
              </w:rPr>
              <w:lastRenderedPageBreak/>
              <w:t xml:space="preserve">sudarymo ir bylų paskirstymo klausimus, nusišalinimo </w:t>
            </w:r>
            <w:r w:rsidR="007627D3" w:rsidRPr="004D7B3F">
              <w:rPr>
                <w:rFonts w:ascii="Arial" w:hAnsi="Arial" w:cs="Arial"/>
                <w:szCs w:val="24"/>
              </w:rPr>
              <w:t xml:space="preserve">praktinio taikymo ir </w:t>
            </w:r>
            <w:r w:rsidRPr="004D7B3F">
              <w:rPr>
                <w:rFonts w:ascii="Arial" w:hAnsi="Arial" w:cs="Arial"/>
                <w:szCs w:val="24"/>
              </w:rPr>
              <w:t xml:space="preserve">teisinio </w:t>
            </w:r>
            <w:r w:rsidR="007627D3" w:rsidRPr="004D7B3F">
              <w:rPr>
                <w:rFonts w:ascii="Arial" w:hAnsi="Arial" w:cs="Arial"/>
                <w:szCs w:val="24"/>
              </w:rPr>
              <w:t>(su)</w:t>
            </w:r>
            <w:r w:rsidRPr="004D7B3F">
              <w:rPr>
                <w:rFonts w:ascii="Arial" w:hAnsi="Arial" w:cs="Arial"/>
                <w:szCs w:val="24"/>
              </w:rPr>
              <w:t>reguliavimo analiz</w:t>
            </w:r>
            <w:r w:rsidR="007627D3" w:rsidRPr="004D7B3F">
              <w:rPr>
                <w:rFonts w:ascii="Arial" w:hAnsi="Arial" w:cs="Arial"/>
                <w:szCs w:val="24"/>
              </w:rPr>
              <w:t>ę</w:t>
            </w:r>
            <w:r w:rsidR="00ED3A69" w:rsidRPr="004D7B3F">
              <w:rPr>
                <w:rFonts w:ascii="Arial" w:eastAsia="Calibri" w:hAnsi="Arial" w:cs="Arial"/>
                <w:szCs w:val="24"/>
                <w:lang w:eastAsia="lt-LT"/>
              </w:rPr>
              <w:t>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5B58" w14:textId="58EB7314" w:rsidR="00ED3A69" w:rsidRPr="004D7B3F" w:rsidRDefault="00ED3A69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lastRenderedPageBreak/>
              <w:t>202</w:t>
            </w:r>
            <w:r w:rsidR="00B2645D" w:rsidRPr="004D7B3F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</w:t>
            </w:r>
            <w:r w:rsidR="00B2645D" w:rsidRPr="004D7B3F">
              <w:rPr>
                <w:rFonts w:ascii="Arial" w:hAnsi="Arial" w:cs="Arial"/>
                <w:szCs w:val="24"/>
                <w:lang w:eastAsia="lt-LT"/>
              </w:rPr>
              <w:t>03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-31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F37" w14:textId="0A63FB92" w:rsidR="00ED3A69" w:rsidRPr="004D7B3F" w:rsidRDefault="007771E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CS</w:t>
            </w:r>
            <w:r w:rsidR="00ED3A69" w:rsidRPr="004D7B3F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085A" w14:textId="668542EE" w:rsidR="00ED3A69" w:rsidRPr="004D7B3F" w:rsidRDefault="00ED3A69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Siekiant tinkamo nusišalinimo instituto įgyvendinimo, atlikta</w:t>
            </w:r>
            <w:r w:rsidR="009007C4" w:rsidRPr="004D7B3F">
              <w:rPr>
                <w:rFonts w:ascii="Arial" w:hAnsi="Arial" w:cs="Arial"/>
                <w:szCs w:val="24"/>
              </w:rPr>
              <w:t xml:space="preserve"> teismo pareigūnų, sprendžiančių kolegijų sudarymo ir bylų </w:t>
            </w:r>
            <w:r w:rsidR="009007C4" w:rsidRPr="004D7B3F">
              <w:rPr>
                <w:rFonts w:ascii="Arial" w:hAnsi="Arial" w:cs="Arial"/>
                <w:szCs w:val="24"/>
              </w:rPr>
              <w:lastRenderedPageBreak/>
              <w:t xml:space="preserve">paskirstymo klausimus, nusišalinimo </w:t>
            </w:r>
            <w:r w:rsidR="007627D3" w:rsidRPr="004D7B3F">
              <w:rPr>
                <w:rFonts w:ascii="Arial" w:hAnsi="Arial" w:cs="Arial"/>
                <w:szCs w:val="24"/>
              </w:rPr>
              <w:t xml:space="preserve">praktinio taikymo ir </w:t>
            </w:r>
            <w:r w:rsidR="009007C4" w:rsidRPr="004D7B3F">
              <w:rPr>
                <w:rFonts w:ascii="Arial" w:hAnsi="Arial" w:cs="Arial"/>
                <w:szCs w:val="24"/>
              </w:rPr>
              <w:t xml:space="preserve">teisinio </w:t>
            </w:r>
            <w:r w:rsidR="007627D3" w:rsidRPr="004D7B3F">
              <w:rPr>
                <w:rFonts w:ascii="Arial" w:hAnsi="Arial" w:cs="Arial"/>
                <w:szCs w:val="24"/>
              </w:rPr>
              <w:t>(su)</w:t>
            </w:r>
            <w:r w:rsidR="009007C4" w:rsidRPr="004D7B3F">
              <w:rPr>
                <w:rFonts w:ascii="Arial" w:hAnsi="Arial" w:cs="Arial"/>
                <w:szCs w:val="24"/>
              </w:rPr>
              <w:t>reguliavimo ir analizė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, pateiktos išvados.</w:t>
            </w:r>
          </w:p>
        </w:tc>
      </w:tr>
      <w:tr w:rsidR="00ED3A69" w:rsidRPr="004D7B3F" w14:paraId="0CAE09A9" w14:textId="77777777" w:rsidTr="004D7B3F">
        <w:trPr>
          <w:trHeight w:val="5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4FE0" w14:textId="60DC0D9D" w:rsidR="00ED3A69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lastRenderedPageBreak/>
              <w:t>19</w:t>
            </w:r>
            <w:r w:rsidR="00ED3A69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1108" w14:textId="6C2CBC14" w:rsidR="00ED3A69" w:rsidRPr="004D7B3F" w:rsidRDefault="00ED3A69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Išnagrinėti ir (ar) identifikuoti galimas piktnaudžiavimo procesinėmis teisėmis ir proceso vilkinimo prielaidas, parengti teismo posėdžių organizavimo ir skyrimo (derinimo) koncepciją.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0C69" w14:textId="6ED2F725" w:rsidR="00ED3A69" w:rsidRPr="004D7B3F" w:rsidRDefault="00ED3A69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2025-12-31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144E" w14:textId="4F6B7ABF" w:rsidR="00ED3A69" w:rsidRPr="004D7B3F" w:rsidRDefault="001109DE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TT, NTA TVS, CS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A6FD" w14:textId="49905CE3" w:rsidR="00ED3A69" w:rsidRPr="004D7B3F" w:rsidRDefault="001109DE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Parengta teismo posėdžių organizavimo ir skyrimo (derinimo) koncepcija</w:t>
            </w:r>
            <w:r w:rsidR="009007C4" w:rsidRPr="004D7B3F">
              <w:rPr>
                <w:rFonts w:ascii="Arial" w:hAnsi="Arial" w:cs="Arial"/>
                <w:szCs w:val="24"/>
                <w:lang w:eastAsia="lt-LT"/>
              </w:rPr>
              <w:t xml:space="preserve"> civilinėse ir baudžiamosiose bylose.</w:t>
            </w:r>
          </w:p>
        </w:tc>
      </w:tr>
      <w:tr w:rsidR="001109DE" w:rsidRPr="004D7B3F" w14:paraId="77D56364" w14:textId="77777777" w:rsidTr="004D7B3F">
        <w:trPr>
          <w:trHeight w:val="5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52B1" w14:textId="3DD096C5" w:rsidR="001109DE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</w:t>
            </w:r>
            <w:r w:rsidR="001109DE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2FE8" w14:textId="5758C241" w:rsidR="001109DE" w:rsidRPr="004D7B3F" w:rsidRDefault="001109DE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Siekiant užtikrinti duomenų naudotojui patogią LITEKO tvarkomų duomenų paiešką bei duomenų naudojimą</w:t>
            </w:r>
            <w:r w:rsidR="007771E4"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išorės ir vidaus vartotojui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, atlikti duomenų pasiekiamumo analizę, prireikus pateikti siūlymus dėl šios sistemos tobulinimo.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ECB" w14:textId="4C00BF73" w:rsidR="001109DE" w:rsidRPr="004D7B3F" w:rsidRDefault="001109DE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2025-12-31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10CC" w14:textId="510CD790" w:rsidR="001109DE" w:rsidRPr="004D7B3F" w:rsidRDefault="001109DE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TVS</w:t>
            </w:r>
            <w:r w:rsidR="007771E4" w:rsidRPr="004D7B3F">
              <w:rPr>
                <w:rFonts w:ascii="Arial" w:hAnsi="Arial" w:cs="Arial"/>
                <w:szCs w:val="24"/>
                <w:lang w:eastAsia="lt-LT"/>
              </w:rPr>
              <w:t>, ITS, Duomenų apsaugos pareigūnas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2DC9" w14:textId="1ECAFBAF" w:rsidR="001109DE" w:rsidRPr="004D7B3F" w:rsidRDefault="001109DE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Atlikta analizė, prireikus pateikti siūlymai dėl LITEKO</w:t>
            </w:r>
            <w:r w:rsidR="009007C4" w:rsidRPr="004D7B3F">
              <w:rPr>
                <w:rFonts w:ascii="Arial" w:eastAsia="Calibri" w:hAnsi="Arial" w:cs="Arial"/>
                <w:szCs w:val="24"/>
                <w:lang w:eastAsia="lt-LT"/>
              </w:rPr>
              <w:t>2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 xml:space="preserve"> sistemos tobulinimo.</w:t>
            </w:r>
          </w:p>
        </w:tc>
      </w:tr>
      <w:tr w:rsidR="00962B44" w:rsidRPr="004D7B3F" w14:paraId="0F9B0725" w14:textId="77777777" w:rsidTr="004D7B3F">
        <w:trPr>
          <w:trHeight w:val="5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11D1" w14:textId="48402BE1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21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51E0" w14:textId="0C9639FB" w:rsidR="00962B44" w:rsidRPr="004D7B3F" w:rsidRDefault="007771E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Atnaujinti teisėjų etikos kodekso praktinį vadovą</w:t>
            </w:r>
            <w:r w:rsidR="00962B44" w:rsidRPr="004D7B3F">
              <w:rPr>
                <w:rFonts w:ascii="Arial" w:eastAsia="Calibri" w:hAnsi="Arial" w:cs="Arial"/>
                <w:szCs w:val="24"/>
                <w:lang w:eastAsia="lt-LT"/>
              </w:rPr>
              <w:t>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4C6" w14:textId="181BBD0F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</w:t>
            </w:r>
            <w:r w:rsidR="00ED3A69" w:rsidRPr="004D7B3F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-12-31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E4D3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Teisėjų etikos ir drausmės komisija, AS, KS</w:t>
            </w:r>
          </w:p>
          <w:p w14:paraId="7E4444C5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3CC5" w14:textId="77777777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Atnaujintas teisėjų etikos kodekso praktinis vadovas.</w:t>
            </w:r>
          </w:p>
        </w:tc>
      </w:tr>
    </w:tbl>
    <w:p w14:paraId="661890EB" w14:textId="77777777" w:rsidR="00962B44" w:rsidRPr="004D7B3F" w:rsidRDefault="00962B44" w:rsidP="00962B44">
      <w:pPr>
        <w:rPr>
          <w:rFonts w:ascii="Arial" w:hAnsi="Arial" w:cs="Arial"/>
          <w:szCs w:val="24"/>
        </w:rPr>
      </w:pPr>
    </w:p>
    <w:p w14:paraId="577C6255" w14:textId="77777777" w:rsidR="00962B44" w:rsidRPr="004D7B3F" w:rsidRDefault="00962B44" w:rsidP="00962B44">
      <w:pPr>
        <w:spacing w:after="160"/>
        <w:rPr>
          <w:rFonts w:ascii="Arial" w:eastAsia="Calibri" w:hAnsi="Arial" w:cs="Arial"/>
          <w:szCs w:val="24"/>
          <w:lang w:eastAsia="lt-LT"/>
        </w:rPr>
      </w:pPr>
      <w:r w:rsidRPr="004D7B3F">
        <w:rPr>
          <w:rFonts w:ascii="Arial" w:eastAsia="Calibri" w:hAnsi="Arial" w:cs="Arial"/>
          <w:szCs w:val="24"/>
          <w:lang w:eastAsia="lt-LT"/>
        </w:rPr>
        <w:br w:type="page"/>
      </w:r>
    </w:p>
    <w:p w14:paraId="59D54459" w14:textId="77777777" w:rsidR="00962B44" w:rsidRPr="004D7B3F" w:rsidRDefault="00962B44" w:rsidP="00962B44">
      <w:pPr>
        <w:rPr>
          <w:rFonts w:ascii="Arial" w:hAnsi="Arial" w:cs="Arial"/>
          <w:szCs w:val="24"/>
        </w:rPr>
      </w:pPr>
    </w:p>
    <w:tbl>
      <w:tblPr>
        <w:tblW w:w="1459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206"/>
        <w:gridCol w:w="1630"/>
        <w:gridCol w:w="2303"/>
        <w:gridCol w:w="6893"/>
      </w:tblGrid>
      <w:tr w:rsidR="00962B44" w:rsidRPr="004D7B3F" w14:paraId="108804B3" w14:textId="77777777" w:rsidTr="00011F30">
        <w:trPr>
          <w:trHeight w:val="535"/>
        </w:trPr>
        <w:tc>
          <w:tcPr>
            <w:tcW w:w="14597" w:type="dxa"/>
            <w:gridSpan w:val="5"/>
            <w:shd w:val="clear" w:color="auto" w:fill="D9E2F3" w:themeFill="accent1" w:themeFillTint="33"/>
            <w:vAlign w:val="center"/>
          </w:tcPr>
          <w:p w14:paraId="65ABF2A1" w14:textId="7B055F80" w:rsidR="00962B44" w:rsidRPr="004D7B3F" w:rsidRDefault="00962B44" w:rsidP="00011F30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b/>
                <w:bCs/>
                <w:color w:val="000000"/>
                <w:szCs w:val="24"/>
                <w:lang w:eastAsia="lt-LT"/>
              </w:rPr>
              <w:t xml:space="preserve">3 uždavinys – </w:t>
            </w:r>
            <w:r w:rsidRPr="004D7B3F">
              <w:rPr>
                <w:rFonts w:ascii="Arial" w:eastAsia="Calibri" w:hAnsi="Arial" w:cs="Arial"/>
                <w:b/>
                <w:bCs/>
                <w:szCs w:val="24"/>
                <w:lang w:eastAsia="lt-LT"/>
              </w:rPr>
              <w:t>korupcijos prevencijos veiklos koordinavimas</w:t>
            </w:r>
          </w:p>
        </w:tc>
      </w:tr>
      <w:tr w:rsidR="00962B44" w:rsidRPr="004D7B3F" w14:paraId="262005EB" w14:textId="77777777" w:rsidTr="00011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0451" w14:textId="1D36413C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22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8798" w14:textId="77777777" w:rsidR="00962B44" w:rsidRPr="004D7B3F" w:rsidRDefault="00962B44" w:rsidP="00011F30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Parengti neteisėto poveikio rizikų valdymo metodiką.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A8D7" w14:textId="62A0F64E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</w:t>
            </w:r>
            <w:r w:rsidR="001109DE" w:rsidRPr="004D7B3F">
              <w:rPr>
                <w:rFonts w:ascii="Arial" w:hAnsi="Arial" w:cs="Arial"/>
                <w:szCs w:val="24"/>
                <w:lang w:eastAsia="lt-LT"/>
              </w:rPr>
              <w:t>4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-12-31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F2AF" w14:textId="044C62FD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TT, CS</w:t>
            </w:r>
          </w:p>
          <w:p w14:paraId="2880EE5B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  <w:p w14:paraId="7544D72C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A313" w14:textId="77777777" w:rsidR="00962B44" w:rsidRPr="004D7B3F" w:rsidRDefault="00962B44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Parengta neteisėto poveikio rizikų valdymo metodika.</w:t>
            </w:r>
          </w:p>
        </w:tc>
      </w:tr>
      <w:tr w:rsidR="00962B44" w:rsidRPr="004D7B3F" w14:paraId="3971B8C9" w14:textId="77777777" w:rsidTr="00011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BF25" w14:textId="44E422AD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23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BFD0" w14:textId="77777777" w:rsidR="00962B44" w:rsidRPr="004D7B3F" w:rsidRDefault="00962B44" w:rsidP="00011F30">
            <w:pPr>
              <w:keepNext/>
              <w:keepLines/>
              <w:tabs>
                <w:tab w:val="left" w:pos="1950"/>
              </w:tabs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Teikti metodinę pagalbą teismams korupcijai atsparios aplinkos kūrimo srityje.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7271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nuolat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37C3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CS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FE19" w14:textId="77777777" w:rsidR="00962B44" w:rsidRPr="004D7B3F" w:rsidRDefault="00962B44" w:rsidP="00011F30">
            <w:pPr>
              <w:tabs>
                <w:tab w:val="left" w:pos="1134"/>
              </w:tabs>
              <w:jc w:val="both"/>
              <w:textAlignment w:val="baseline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Esant poreikiui teismams teikiamos konsultacijos ir rengiamos metodinės priemonės korupcijai atsparios aplinkos kūrimo klausimais.</w:t>
            </w:r>
          </w:p>
        </w:tc>
      </w:tr>
      <w:tr w:rsidR="001109DE" w:rsidRPr="004D7B3F" w14:paraId="12D04EF7" w14:textId="77777777" w:rsidTr="00011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EC80" w14:textId="3603FC3C" w:rsidR="001109DE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24</w:t>
            </w:r>
            <w:r w:rsidR="001109DE" w:rsidRPr="004D7B3F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D8B9" w14:textId="673AC2CE" w:rsidR="001109DE" w:rsidRPr="004D7B3F" w:rsidRDefault="001109DE" w:rsidP="00011F30">
            <w:pPr>
              <w:keepNext/>
              <w:keepLines/>
              <w:tabs>
                <w:tab w:val="left" w:pos="1950"/>
              </w:tabs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Organizuoti centrinio už korupcijai atsparios aplinkos kūrimą Lietuvos teismuose atsakingo subjekto susitikimus su teismų atstovais</w:t>
            </w:r>
            <w:r w:rsidR="00072631" w:rsidRPr="004D7B3F">
              <w:rPr>
                <w:rFonts w:ascii="Arial" w:eastAsia="Calibri" w:hAnsi="Arial" w:cs="Arial"/>
                <w:szCs w:val="24"/>
                <w:lang w:eastAsia="lt-LT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EC19" w14:textId="0398D1D0" w:rsidR="001109DE" w:rsidRPr="004D7B3F" w:rsidRDefault="007771E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2024-12-31 – </w:t>
            </w:r>
            <w:r w:rsidR="001109DE" w:rsidRPr="004D7B3F">
              <w:rPr>
                <w:rFonts w:ascii="Arial" w:hAnsi="Arial" w:cs="Arial"/>
                <w:szCs w:val="24"/>
                <w:lang w:eastAsia="lt-LT"/>
              </w:rPr>
              <w:t>2025-12-31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271" w14:textId="764C0F6D" w:rsidR="001109DE" w:rsidRPr="004D7B3F" w:rsidRDefault="001109DE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CS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4088" w14:textId="16B7AFAF" w:rsidR="001109DE" w:rsidRPr="004D7B3F" w:rsidRDefault="001109DE" w:rsidP="00011F30">
            <w:pPr>
              <w:tabs>
                <w:tab w:val="left" w:pos="1134"/>
              </w:tabs>
              <w:jc w:val="both"/>
              <w:textAlignment w:val="baseline"/>
              <w:rPr>
                <w:rFonts w:ascii="Arial" w:eastAsia="Calibri" w:hAnsi="Arial" w:cs="Arial"/>
                <w:szCs w:val="24"/>
                <w:lang w:val="fr-FR"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Per metus suorganizuoti ne mažiau kaip 2 susitikimai aktualiomis temomis.</w:t>
            </w:r>
          </w:p>
        </w:tc>
      </w:tr>
      <w:tr w:rsidR="00962B44" w:rsidRPr="004D7B3F" w14:paraId="756B7EAC" w14:textId="77777777" w:rsidTr="00011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B73B" w14:textId="044CA4AF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25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45D3" w14:textId="4D2EEAD8" w:rsidR="00962B44" w:rsidRPr="004D7B3F" w:rsidRDefault="00BC0789" w:rsidP="00011F30">
            <w:pPr>
              <w:keepNext/>
              <w:keepLines/>
              <w:tabs>
                <w:tab w:val="left" w:pos="1950"/>
              </w:tabs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Atnaujinti teismų sistemos intranetą</w:t>
            </w:r>
            <w:r w:rsid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, užtikrinant</w:t>
            </w:r>
            <w:r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 xml:space="preserve"> </w:t>
            </w:r>
            <w:r w:rsid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 xml:space="preserve">efektyvią </w:t>
            </w:r>
            <w:r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informacijos apie korupcij</w:t>
            </w:r>
            <w:r w:rsid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ai</w:t>
            </w:r>
            <w:r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 xml:space="preserve"> </w:t>
            </w:r>
            <w:r w:rsid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atsparios aplinkos Lietuvos teismuose kūrimą sklaidą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7F01" w14:textId="594DABC9" w:rsidR="00962B44" w:rsidRPr="004D7B3F" w:rsidRDefault="00072631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2024-12-31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0A8E" w14:textId="247E91AD" w:rsidR="00962B44" w:rsidRPr="004D7B3F" w:rsidRDefault="00072631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KS, </w:t>
            </w:r>
            <w:r w:rsidR="003D47EB" w:rsidRPr="004D7B3F">
              <w:rPr>
                <w:rFonts w:ascii="Arial" w:hAnsi="Arial" w:cs="Arial"/>
                <w:szCs w:val="24"/>
                <w:lang w:eastAsia="lt-LT"/>
              </w:rPr>
              <w:t>ITS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9E1D" w14:textId="18B1231C" w:rsidR="00962B44" w:rsidRPr="004D7B3F" w:rsidRDefault="00072631" w:rsidP="00011F30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Atnaujintas teismų sistemos vidinis intranetas</w:t>
            </w:r>
            <w:r w:rsidR="009007C4"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, kuriame, be kita ko, pateikiama informacija teismuose dirbantiems asmenims kaip ir kur pranešti past</w:t>
            </w:r>
            <w:r w:rsidR="00BC0789"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e</w:t>
            </w:r>
            <w:r w:rsidR="009007C4"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 xml:space="preserve">bėjus korupcijos atvejus teisme, pateikiama aktuali informacija apie korupcijos apraiškų valdymo priemones, kaupiama ir talpinama mokymų medžiaga, teikiamos konsultacijos. </w:t>
            </w:r>
          </w:p>
        </w:tc>
      </w:tr>
      <w:tr w:rsidR="00962B44" w:rsidRPr="004D7B3F" w14:paraId="59D1717B" w14:textId="77777777" w:rsidTr="00011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78E8" w14:textId="694DB8C0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26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2FD4" w14:textId="77777777" w:rsidR="00962B44" w:rsidRPr="004D7B3F" w:rsidRDefault="00962B44" w:rsidP="00011F30">
            <w:pPr>
              <w:keepNext/>
              <w:keepLines/>
              <w:tabs>
                <w:tab w:val="left" w:pos="1950"/>
              </w:tabs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</w:pPr>
            <w:r w:rsidRPr="004D7B3F">
              <w:rPr>
                <w:rFonts w:ascii="Arial" w:eastAsia="Calibri" w:hAnsi="Arial" w:cs="Arial"/>
                <w:color w:val="000000"/>
                <w:szCs w:val="24"/>
                <w:lang w:eastAsia="lt-LT"/>
              </w:rPr>
              <w:t>Užtikrinti atsparumo korupcijai lygio nustatymo atlikimą.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9FCC" w14:textId="4F7AAF82" w:rsidR="00962B44" w:rsidRPr="004D7B3F" w:rsidRDefault="001109DE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Ne vėliau kaip po pusės metų nuo Vyriausybės patvirtintos metodikos įsigaliojimo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312D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CS</w:t>
            </w:r>
          </w:p>
          <w:p w14:paraId="56D64C02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  <w:p w14:paraId="762EDF8F" w14:textId="77777777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744C" w14:textId="77777777" w:rsidR="00962B44" w:rsidRPr="004D7B3F" w:rsidRDefault="00962B44" w:rsidP="00011F30">
            <w:pPr>
              <w:jc w:val="both"/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Kartą per metus atliktas</w:t>
            </w:r>
            <w:r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 xml:space="preserve"> teismų sistemos institucijų atsparumo korupcijai lygio nustatymas.</w:t>
            </w:r>
          </w:p>
        </w:tc>
      </w:tr>
      <w:tr w:rsidR="00962B44" w:rsidRPr="004D7B3F" w14:paraId="00F0E084" w14:textId="77777777" w:rsidTr="00011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6ED9" w14:textId="57CE849D" w:rsidR="00962B44" w:rsidRPr="004D7B3F" w:rsidRDefault="00963ACC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lastRenderedPageBreak/>
              <w:t>27</w:t>
            </w:r>
            <w:r w:rsidR="00962B44" w:rsidRPr="004D7B3F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5BA4" w14:textId="54B26B81" w:rsidR="00962B44" w:rsidRPr="004D7B3F" w:rsidRDefault="00072631" w:rsidP="00011F30">
            <w:pPr>
              <w:keepNext/>
              <w:keepLines/>
              <w:tabs>
                <w:tab w:val="left" w:pos="1950"/>
              </w:tabs>
              <w:rPr>
                <w:rFonts w:ascii="Arial" w:eastAsia="Calibri" w:hAnsi="Arial" w:cs="Arial"/>
                <w:color w:val="000000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Parengti teismų sistemos vidinės komunikacijos strategiją</w:t>
            </w:r>
            <w:r w:rsidR="00BC0789" w:rsidRPr="004D7B3F">
              <w:rPr>
                <w:rFonts w:ascii="Arial" w:eastAsia="Calibri" w:hAnsi="Arial" w:cs="Arial"/>
                <w:szCs w:val="24"/>
                <w:lang w:eastAsia="lt-LT"/>
              </w:rPr>
              <w:t>, numatant joje pranešimų apie galim</w:t>
            </w:r>
            <w:r w:rsidR="004D7B3F">
              <w:rPr>
                <w:rFonts w:ascii="Arial" w:eastAsia="Calibri" w:hAnsi="Arial" w:cs="Arial"/>
                <w:szCs w:val="24"/>
                <w:lang w:eastAsia="lt-LT"/>
              </w:rPr>
              <w:t xml:space="preserve">as korupcijos apraiškas Lietuvos teismuose </w:t>
            </w:r>
            <w:r w:rsidR="00BC0789" w:rsidRPr="004D7B3F">
              <w:rPr>
                <w:rFonts w:ascii="Arial" w:eastAsia="Calibri" w:hAnsi="Arial" w:cs="Arial"/>
                <w:szCs w:val="24"/>
                <w:lang w:eastAsia="lt-LT"/>
              </w:rPr>
              <w:t>tvarką</w:t>
            </w: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7022" w14:textId="4691A846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>202</w:t>
            </w:r>
            <w:r w:rsidR="00072631" w:rsidRPr="004D7B3F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D7B3F">
              <w:rPr>
                <w:rFonts w:ascii="Arial" w:hAnsi="Arial" w:cs="Arial"/>
                <w:szCs w:val="24"/>
                <w:lang w:eastAsia="lt-LT"/>
              </w:rPr>
              <w:t>-12-31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7BC0" w14:textId="176FA838" w:rsidR="00962B44" w:rsidRPr="004D7B3F" w:rsidRDefault="00962B44" w:rsidP="00011F3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D7B3F">
              <w:rPr>
                <w:rFonts w:ascii="Arial" w:hAnsi="Arial" w:cs="Arial"/>
                <w:szCs w:val="24"/>
                <w:lang w:eastAsia="lt-LT"/>
              </w:rPr>
              <w:t xml:space="preserve">TT, </w:t>
            </w:r>
            <w:r w:rsidR="007771E4" w:rsidRPr="004D7B3F">
              <w:rPr>
                <w:rFonts w:ascii="Arial" w:hAnsi="Arial" w:cs="Arial"/>
                <w:szCs w:val="24"/>
                <w:lang w:eastAsia="lt-LT"/>
              </w:rPr>
              <w:t xml:space="preserve">TT Komunikacijos komitetas, </w:t>
            </w:r>
            <w:r w:rsidR="00072631" w:rsidRPr="004D7B3F">
              <w:rPr>
                <w:rFonts w:ascii="Arial" w:hAnsi="Arial" w:cs="Arial"/>
                <w:szCs w:val="24"/>
                <w:lang w:eastAsia="lt-LT"/>
              </w:rPr>
              <w:t>KS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65D1" w14:textId="705A75FA" w:rsidR="00962B44" w:rsidRPr="004D7B3F" w:rsidRDefault="00072631" w:rsidP="00011F30">
            <w:pPr>
              <w:jc w:val="both"/>
              <w:rPr>
                <w:rFonts w:ascii="Arial" w:eastAsia="Calibri" w:hAnsi="Arial" w:cs="Arial"/>
                <w:szCs w:val="24"/>
                <w:lang w:eastAsia="lt-LT"/>
              </w:rPr>
            </w:pPr>
            <w:r w:rsidRPr="004D7B3F">
              <w:rPr>
                <w:rFonts w:ascii="Arial" w:eastAsia="Calibri" w:hAnsi="Arial" w:cs="Arial"/>
                <w:szCs w:val="24"/>
                <w:lang w:eastAsia="lt-LT"/>
              </w:rPr>
              <w:t>Parengta teismų sistemos vidinės komunikacijos strategija</w:t>
            </w:r>
            <w:r w:rsidR="00962B44" w:rsidRPr="004D7B3F">
              <w:rPr>
                <w:rFonts w:ascii="Arial" w:eastAsia="Calibri" w:hAnsi="Arial" w:cs="Arial"/>
                <w:szCs w:val="24"/>
                <w:shd w:val="clear" w:color="auto" w:fill="FFFFFF"/>
                <w:lang w:eastAsia="lt-LT"/>
              </w:rPr>
              <w:t>.</w:t>
            </w:r>
          </w:p>
        </w:tc>
      </w:tr>
    </w:tbl>
    <w:p w14:paraId="33E1D669" w14:textId="77777777" w:rsidR="00962B44" w:rsidRPr="004D7B3F" w:rsidRDefault="00962B44" w:rsidP="00962B44">
      <w:pPr>
        <w:rPr>
          <w:rFonts w:ascii="Arial" w:hAnsi="Arial" w:cs="Arial"/>
          <w:szCs w:val="24"/>
        </w:rPr>
      </w:pPr>
    </w:p>
    <w:p w14:paraId="79EB454C" w14:textId="77777777" w:rsidR="00962B44" w:rsidRPr="004D7B3F" w:rsidRDefault="00962B44" w:rsidP="00962B44">
      <w:pPr>
        <w:jc w:val="center"/>
        <w:rPr>
          <w:rFonts w:ascii="Arial" w:hAnsi="Arial" w:cs="Arial"/>
          <w:color w:val="000000"/>
          <w:szCs w:val="24"/>
          <w:lang w:eastAsia="lt-LT"/>
        </w:rPr>
      </w:pPr>
      <w:r w:rsidRPr="004D7B3F">
        <w:rPr>
          <w:rFonts w:ascii="Arial" w:eastAsia="Calibri" w:hAnsi="Arial" w:cs="Arial"/>
          <w:szCs w:val="24"/>
          <w:lang w:val="en-US" w:eastAsia="lt-LT"/>
        </w:rPr>
        <w:t>__________________</w:t>
      </w:r>
    </w:p>
    <w:p w14:paraId="79AD4967" w14:textId="77777777" w:rsidR="00625508" w:rsidRPr="004D7B3F" w:rsidRDefault="00625508">
      <w:pPr>
        <w:rPr>
          <w:rFonts w:ascii="Arial" w:hAnsi="Arial" w:cs="Arial"/>
          <w:szCs w:val="24"/>
        </w:rPr>
      </w:pPr>
    </w:p>
    <w:sectPr w:rsidR="00625508" w:rsidRPr="004D7B3F" w:rsidSect="00962B44">
      <w:pgSz w:w="16838" w:h="11906" w:orient="landscape"/>
      <w:pgMar w:top="1701" w:right="851" w:bottom="567" w:left="1134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F0FD5" w14:textId="77777777" w:rsidR="001A0DDC" w:rsidRDefault="001A0DDC" w:rsidP="00962B44">
      <w:r>
        <w:separator/>
      </w:r>
    </w:p>
  </w:endnote>
  <w:endnote w:type="continuationSeparator" w:id="0">
    <w:p w14:paraId="399FB45A" w14:textId="77777777" w:rsidR="001A0DDC" w:rsidRDefault="001A0DDC" w:rsidP="0096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D123" w14:textId="77777777" w:rsidR="00962B44" w:rsidRDefault="00962B44">
    <w:pP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EC6F8" w14:textId="77777777" w:rsidR="00962B44" w:rsidRDefault="00962B44">
    <w:pP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65C3D" w14:textId="77777777" w:rsidR="00962B44" w:rsidRDefault="00962B44">
    <w:pP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77A30" w14:textId="77777777" w:rsidR="001A0DDC" w:rsidRDefault="001A0DDC" w:rsidP="00962B44">
      <w:r>
        <w:separator/>
      </w:r>
    </w:p>
  </w:footnote>
  <w:footnote w:type="continuationSeparator" w:id="0">
    <w:p w14:paraId="7D0263D2" w14:textId="77777777" w:rsidR="001A0DDC" w:rsidRDefault="001A0DDC" w:rsidP="0096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173DD" w14:textId="77777777" w:rsidR="00962B44" w:rsidRDefault="00962B44">
    <w:pP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744A3" w14:textId="77777777" w:rsidR="00962B44" w:rsidRDefault="00962B44">
    <w:pPr>
      <w:tabs>
        <w:tab w:val="center" w:pos="4819"/>
        <w:tab w:val="right" w:pos="9638"/>
      </w:tabs>
      <w:jc w:val="center"/>
      <w:rPr>
        <w:rFonts w:ascii="Calibri" w:eastAsia="Calibri" w:hAnsi="Calibri" w:cs="Calibri"/>
        <w:sz w:val="22"/>
        <w:szCs w:val="22"/>
        <w:lang w:eastAsia="lt-LT"/>
      </w:rPr>
    </w:pPr>
    <w:r>
      <w:rPr>
        <w:rFonts w:ascii="Calibri" w:eastAsia="Calibri" w:hAnsi="Calibri" w:cs="Calibri"/>
        <w:sz w:val="22"/>
        <w:szCs w:val="22"/>
        <w:lang w:eastAsia="lt-LT"/>
      </w:rPr>
      <w:fldChar w:fldCharType="begin"/>
    </w:r>
    <w:r>
      <w:rPr>
        <w:rFonts w:ascii="Calibri" w:eastAsia="Calibri" w:hAnsi="Calibri" w:cs="Calibri"/>
        <w:sz w:val="22"/>
        <w:szCs w:val="22"/>
        <w:lang w:eastAsia="lt-LT"/>
      </w:rPr>
      <w:instrText xml:space="preserve"> PAGE   \* MERGEFORMAT </w:instrText>
    </w:r>
    <w:r>
      <w:rPr>
        <w:rFonts w:ascii="Calibri" w:eastAsia="Calibri" w:hAnsi="Calibri" w:cs="Calibri"/>
        <w:sz w:val="22"/>
        <w:szCs w:val="22"/>
        <w:lang w:eastAsia="lt-LT"/>
      </w:rPr>
      <w:fldChar w:fldCharType="separate"/>
    </w:r>
    <w:r>
      <w:rPr>
        <w:rFonts w:ascii="Calibri" w:eastAsia="Calibri" w:hAnsi="Calibri" w:cs="Calibri"/>
        <w:noProof/>
        <w:sz w:val="22"/>
        <w:szCs w:val="22"/>
        <w:lang w:eastAsia="lt-LT"/>
      </w:rPr>
      <w:t>2</w:t>
    </w:r>
    <w:r>
      <w:rPr>
        <w:rFonts w:ascii="Calibri" w:eastAsia="Calibri" w:hAnsi="Calibri" w:cs="Calibri"/>
        <w:sz w:val="22"/>
        <w:szCs w:val="22"/>
        <w:lang w:eastAsia="lt-LT"/>
      </w:rPr>
      <w:fldChar w:fldCharType="end"/>
    </w:r>
  </w:p>
  <w:p w14:paraId="5C4101B9" w14:textId="77777777" w:rsidR="00962B44" w:rsidRDefault="00962B44">
    <w:pP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3BA5C" w14:textId="77777777" w:rsidR="00962B44" w:rsidRDefault="00962B44">
    <w:pP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44"/>
    <w:rsid w:val="000337D2"/>
    <w:rsid w:val="00052E67"/>
    <w:rsid w:val="00072631"/>
    <w:rsid w:val="00076002"/>
    <w:rsid w:val="000861AB"/>
    <w:rsid w:val="001109DE"/>
    <w:rsid w:val="001117B1"/>
    <w:rsid w:val="001A0DDC"/>
    <w:rsid w:val="001F41EC"/>
    <w:rsid w:val="0034765E"/>
    <w:rsid w:val="00353075"/>
    <w:rsid w:val="003C18C6"/>
    <w:rsid w:val="003D47EB"/>
    <w:rsid w:val="00483E4C"/>
    <w:rsid w:val="004C5787"/>
    <w:rsid w:val="004D7B3F"/>
    <w:rsid w:val="005C6C9C"/>
    <w:rsid w:val="005D4009"/>
    <w:rsid w:val="00625508"/>
    <w:rsid w:val="00631D94"/>
    <w:rsid w:val="0064365A"/>
    <w:rsid w:val="006A25B4"/>
    <w:rsid w:val="006B2E5B"/>
    <w:rsid w:val="006E26C8"/>
    <w:rsid w:val="00705DF9"/>
    <w:rsid w:val="00711848"/>
    <w:rsid w:val="007368BC"/>
    <w:rsid w:val="0076057B"/>
    <w:rsid w:val="007627D3"/>
    <w:rsid w:val="00763AFB"/>
    <w:rsid w:val="0076572F"/>
    <w:rsid w:val="007771E4"/>
    <w:rsid w:val="007874A6"/>
    <w:rsid w:val="00790CF8"/>
    <w:rsid w:val="007B5845"/>
    <w:rsid w:val="00821B7D"/>
    <w:rsid w:val="00865B6F"/>
    <w:rsid w:val="008B61CD"/>
    <w:rsid w:val="009007C4"/>
    <w:rsid w:val="00921360"/>
    <w:rsid w:val="009225FE"/>
    <w:rsid w:val="009241B0"/>
    <w:rsid w:val="00962B44"/>
    <w:rsid w:val="00963ACC"/>
    <w:rsid w:val="00993609"/>
    <w:rsid w:val="009A25EE"/>
    <w:rsid w:val="009E28E7"/>
    <w:rsid w:val="009F5F43"/>
    <w:rsid w:val="00A203A6"/>
    <w:rsid w:val="00A52D81"/>
    <w:rsid w:val="00A9717C"/>
    <w:rsid w:val="00AB1A7D"/>
    <w:rsid w:val="00AF546E"/>
    <w:rsid w:val="00B2645D"/>
    <w:rsid w:val="00B305F6"/>
    <w:rsid w:val="00B51752"/>
    <w:rsid w:val="00B85CAE"/>
    <w:rsid w:val="00BB75F6"/>
    <w:rsid w:val="00BC0789"/>
    <w:rsid w:val="00CE2A1E"/>
    <w:rsid w:val="00D021AF"/>
    <w:rsid w:val="00D540EE"/>
    <w:rsid w:val="00D72EA9"/>
    <w:rsid w:val="00DE6E8C"/>
    <w:rsid w:val="00E2084B"/>
    <w:rsid w:val="00E52347"/>
    <w:rsid w:val="00EA5B18"/>
    <w:rsid w:val="00ED3A69"/>
    <w:rsid w:val="00EF4D4C"/>
    <w:rsid w:val="00F74382"/>
    <w:rsid w:val="00F81928"/>
    <w:rsid w:val="00F873E3"/>
    <w:rsid w:val="00F9020C"/>
    <w:rsid w:val="00FC76F9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116E"/>
  <w15:chartTrackingRefBased/>
  <w15:docId w15:val="{B22EB658-93E6-45FD-8FDF-C1DE371A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760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6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0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0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00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9B04-85A3-47B6-BCEF-9EB8F8CB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7977</Words>
  <Characters>4548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Bagdžius</dc:creator>
  <cp:keywords/>
  <dc:description/>
  <cp:lastModifiedBy>Jolita Lingė</cp:lastModifiedBy>
  <cp:revision>4</cp:revision>
  <dcterms:created xsi:type="dcterms:W3CDTF">2024-06-20T06:32:00Z</dcterms:created>
  <dcterms:modified xsi:type="dcterms:W3CDTF">2024-06-20T10:04:00Z</dcterms:modified>
</cp:coreProperties>
</file>