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5632F" w14:paraId="5F8900CE" w14:textId="77777777" w:rsidTr="00F5632F">
        <w:trPr>
          <w:trHeight w:val="103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F5632F" w:rsidRPr="00C91E01" w14:paraId="4E2A94C0" w14:textId="77777777">
              <w:trPr>
                <w:trHeight w:val="1035"/>
                <w:tblCellSpacing w:w="0" w:type="dxa"/>
              </w:trPr>
              <w:tc>
                <w:tcPr>
                  <w:tcW w:w="9000" w:type="dxa"/>
                  <w:vAlign w:val="center"/>
                </w:tcPr>
                <w:p w14:paraId="26F633B6" w14:textId="77777777" w:rsidR="00F5632F" w:rsidRPr="00C91E01" w:rsidRDefault="00F5632F">
                  <w:pPr>
                    <w:spacing w:before="100" w:beforeAutospacing="1" w:after="100" w:afterAutospacing="1"/>
                    <w:jc w:val="center"/>
                    <w:rPr>
                      <w:b/>
                      <w:bCs/>
                      <w:sz w:val="32"/>
                      <w:szCs w:val="32"/>
                      <w:lang w:eastAsia="lt-LT"/>
                    </w:rPr>
                  </w:pPr>
                  <w:r w:rsidRPr="00C91E01">
                    <w:rPr>
                      <w:rFonts w:ascii="Arial" w:hAnsi="Arial" w:cs="Arial"/>
                      <w:b/>
                      <w:bCs/>
                      <w:color w:val="023246"/>
                      <w:sz w:val="32"/>
                      <w:szCs w:val="32"/>
                      <w:lang w:eastAsia="lt-LT"/>
                    </w:rPr>
                    <w:t>Viešojo sektoriaus buhalterija ir finansai 2024–2025 m.: pakeitimai, perspektyvos ir galimybės</w:t>
                  </w:r>
                </w:p>
              </w:tc>
            </w:tr>
          </w:tbl>
          <w:p w14:paraId="5299561A" w14:textId="77777777" w:rsidR="00F5632F" w:rsidRPr="00C91E01" w:rsidRDefault="00F5632F">
            <w:pPr>
              <w:rPr>
                <w:rFonts w:ascii="Times New Roman" w:eastAsia="Times New Roman" w:hAnsi="Times New Roman" w:cs="Times New Roman"/>
                <w:sz w:val="32"/>
                <w:szCs w:val="32"/>
                <w:lang w:eastAsia="lt-LT"/>
              </w:rPr>
            </w:pPr>
          </w:p>
        </w:tc>
      </w:tr>
      <w:tr w:rsidR="00F5632F" w14:paraId="1D3E2A7D" w14:textId="77777777" w:rsidTr="00F5632F">
        <w:trPr>
          <w:trHeight w:val="619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F5632F" w14:paraId="23C728ED" w14:textId="77777777">
              <w:trPr>
                <w:trHeight w:val="6195"/>
                <w:tblCellSpacing w:w="0" w:type="dxa"/>
              </w:trPr>
              <w:tc>
                <w:tcPr>
                  <w:tcW w:w="9000" w:type="dxa"/>
                  <w:vAlign w:val="center"/>
                </w:tcPr>
                <w:p w14:paraId="25F0C51D" w14:textId="77777777" w:rsidR="00F5632F" w:rsidRPr="00C91E01" w:rsidRDefault="00F5632F">
                  <w:pPr>
                    <w:spacing w:before="300" w:after="100" w:afterAutospacing="1"/>
                    <w:rPr>
                      <w:rFonts w:ascii="Arial" w:hAnsi="Arial" w:cs="Arial"/>
                      <w:b/>
                      <w:bCs/>
                      <w:color w:val="023246"/>
                      <w:sz w:val="32"/>
                      <w:szCs w:val="32"/>
                      <w:lang w:eastAsia="lt-LT"/>
                    </w:rPr>
                  </w:pPr>
                  <w:r w:rsidRPr="00C91E01">
                    <w:rPr>
                      <w:rFonts w:ascii="Arial" w:hAnsi="Arial" w:cs="Arial"/>
                      <w:b/>
                      <w:bCs/>
                      <w:color w:val="023246"/>
                      <w:sz w:val="32"/>
                      <w:szCs w:val="32"/>
                      <w:lang w:eastAsia="lt-LT"/>
                    </w:rPr>
                    <w:t>Pranešimus skaito</w:t>
                  </w:r>
                </w:p>
                <w:p w14:paraId="20C6C10E" w14:textId="77777777" w:rsidR="00F5632F" w:rsidRDefault="00F5632F">
                  <w:pPr>
                    <w:rPr>
                      <w:rFonts w:ascii="Arial" w:hAnsi="Arial" w:cs="Arial"/>
                      <w:sz w:val="24"/>
                      <w:szCs w:val="24"/>
                      <w:lang w:eastAsia="lt-LT"/>
                    </w:rPr>
                  </w:pPr>
                  <w:r>
                    <w:rPr>
                      <w:rFonts w:ascii="Arial" w:hAnsi="Arial" w:cs="Arial"/>
                      <w:b/>
                      <w:bCs/>
                      <w:sz w:val="24"/>
                      <w:szCs w:val="24"/>
                      <w:u w:val="single"/>
                      <w:lang w:eastAsia="lt-LT"/>
                    </w:rPr>
                    <w:t>Aistė Gelusevičiūtė</w:t>
                  </w:r>
                  <w:r>
                    <w:rPr>
                      <w:rFonts w:ascii="Arial" w:hAnsi="Arial" w:cs="Arial"/>
                      <w:sz w:val="24"/>
                      <w:szCs w:val="24"/>
                      <w:lang w:eastAsia="lt-LT"/>
                    </w:rPr>
                    <w:t xml:space="preserve"> – finansų magistrė, LR finansų ministerijos Atskaitomybės, audito, turto vertinimo ir nemokumo politikos departamento Atskaitomybės ir apskaitos metodologijos skyriaus patarėja.</w:t>
                  </w:r>
                </w:p>
                <w:p w14:paraId="03E8EF8F" w14:textId="77777777" w:rsidR="00F5632F" w:rsidRDefault="00F5632F">
                  <w:pPr>
                    <w:rPr>
                      <w:rFonts w:ascii="Arial" w:hAnsi="Arial" w:cs="Arial"/>
                      <w:sz w:val="24"/>
                      <w:szCs w:val="24"/>
                      <w:lang w:eastAsia="lt-LT"/>
                    </w:rPr>
                  </w:pPr>
                  <w:r>
                    <w:rPr>
                      <w:rFonts w:ascii="Arial" w:hAnsi="Arial" w:cs="Arial"/>
                      <w:b/>
                      <w:bCs/>
                      <w:sz w:val="24"/>
                      <w:szCs w:val="24"/>
                      <w:u w:val="single"/>
                      <w:lang w:eastAsia="lt-LT"/>
                    </w:rPr>
                    <w:t>Rasa Kislovskienė</w:t>
                  </w:r>
                  <w:r>
                    <w:rPr>
                      <w:rFonts w:ascii="Arial" w:hAnsi="Arial" w:cs="Arial"/>
                      <w:sz w:val="24"/>
                      <w:szCs w:val="24"/>
                      <w:lang w:eastAsia="lt-LT"/>
                    </w:rPr>
                    <w:t xml:space="preserve"> – veiklos audito magistras, vidaus auditoriaus kvalifikacija,   daugiau nei  15 metų finansinio audito  ir vidaus audito patirtis viešajame sektoriuje. Vidaus auditorių asociacijos valdybos pirmininkė, Audito komiteto narė, Vidaus audito skyriaus vadovė, Mykolo Romerio universiteto Viešojo valdymo ir verslo fakulteto lektorė.</w:t>
                  </w:r>
                </w:p>
                <w:p w14:paraId="1A3B00A4" w14:textId="77777777" w:rsidR="00F5632F" w:rsidRDefault="00F5632F">
                  <w:pPr>
                    <w:rPr>
                      <w:rFonts w:ascii="Arial" w:hAnsi="Arial" w:cs="Arial"/>
                      <w:sz w:val="24"/>
                      <w:szCs w:val="24"/>
                      <w:lang w:eastAsia="lt-LT"/>
                    </w:rPr>
                  </w:pPr>
                  <w:r>
                    <w:rPr>
                      <w:rFonts w:ascii="Arial" w:hAnsi="Arial" w:cs="Arial"/>
                      <w:b/>
                      <w:bCs/>
                      <w:sz w:val="24"/>
                      <w:szCs w:val="24"/>
                      <w:u w:val="single"/>
                      <w:lang w:eastAsia="lt-LT"/>
                    </w:rPr>
                    <w:t>Dr. Irma Kamarauskienė</w:t>
                  </w:r>
                  <w:r>
                    <w:rPr>
                      <w:rFonts w:ascii="Arial" w:hAnsi="Arial" w:cs="Arial"/>
                      <w:sz w:val="24"/>
                      <w:szCs w:val="24"/>
                      <w:lang w:eastAsia="lt-LT"/>
                    </w:rPr>
                    <w:t xml:space="preserve"> turi ilgametę praktinę nepriklausomo auditoriaus ir vidaus auditoriaus patirtį. Ji yra dirbusi ekonomikos, finansų direktore, vykdomąja direktore didelėse įmonėse ir vienoje iš didžiausių šalies įmonių grupių. Nepriklausomo auditoriaus kvalifikacija, vidaus auditoriaus kvalifikacija, buhalterė profesionalė, verslo konsultantė. Mokslų daktarė. Vilniaus universiteto Ekonomikos ir verslo administravimo fakulteto dėstytoja.</w:t>
                  </w:r>
                </w:p>
                <w:p w14:paraId="64945630" w14:textId="77777777" w:rsidR="00F5632F" w:rsidRDefault="00F5632F">
                  <w:pPr>
                    <w:rPr>
                      <w:rFonts w:ascii="Arial" w:hAnsi="Arial" w:cs="Arial"/>
                      <w:sz w:val="24"/>
                      <w:szCs w:val="24"/>
                      <w:lang w:eastAsia="lt-LT"/>
                    </w:rPr>
                  </w:pPr>
                  <w:r>
                    <w:rPr>
                      <w:rFonts w:ascii="Arial" w:hAnsi="Arial" w:cs="Arial"/>
                      <w:b/>
                      <w:bCs/>
                      <w:sz w:val="24"/>
                      <w:szCs w:val="24"/>
                      <w:u w:val="single"/>
                      <w:lang w:eastAsia="lt-LT"/>
                    </w:rPr>
                    <w:t>Danutė Stepanauskienė</w:t>
                  </w:r>
                  <w:r>
                    <w:rPr>
                      <w:rFonts w:ascii="Arial" w:hAnsi="Arial" w:cs="Arial"/>
                      <w:sz w:val="24"/>
                      <w:szCs w:val="24"/>
                      <w:lang w:eastAsia="lt-LT"/>
                    </w:rPr>
                    <w:t xml:space="preserve"> - Vilniaus universiteto Matematikos ir informatikos fakultete įgijo taikomosios matematikos specialybę, nuo 2004 m. dirba buhalterinį darbą biudžetinėse įstaigose. Šiuo metu dirba vyriausiąja buhaltere. Danutė Stepanauskienė yra sukaupusi ilgametę patirtį programavimo, projektavimo, finansų valdymo, turto valdymo, strateginio planavimo, buhalterinės apskaitos srityse. Lektorė nuo 2006 m. veda seminarus biudžetinių įstaigų buhalterinės apskaitos, turto ir finansų valdymo, finansų kontrolės, inventorizacijos, biudžeto ir finansinės atskaitomybės, apskaitos politikos, duomenų įkėlimo į VSAKIS temomis.</w:t>
                  </w:r>
                </w:p>
                <w:p w14:paraId="29BB5BA3" w14:textId="77777777" w:rsidR="00F5632F" w:rsidRDefault="00F5632F">
                  <w:pPr>
                    <w:rPr>
                      <w:rFonts w:ascii="Arial" w:hAnsi="Arial" w:cs="Arial"/>
                      <w:sz w:val="24"/>
                      <w:szCs w:val="24"/>
                      <w:lang w:eastAsia="lt-LT"/>
                    </w:rPr>
                  </w:pPr>
                  <w:r>
                    <w:rPr>
                      <w:rFonts w:ascii="Arial" w:hAnsi="Arial" w:cs="Arial"/>
                      <w:b/>
                      <w:bCs/>
                      <w:sz w:val="24"/>
                      <w:szCs w:val="24"/>
                      <w:u w:val="single"/>
                      <w:lang w:eastAsia="lt-LT"/>
                    </w:rPr>
                    <w:t>Jevgenija Ešvovičiūtė</w:t>
                  </w:r>
                  <w:r>
                    <w:rPr>
                      <w:rFonts w:ascii="Arial" w:hAnsi="Arial" w:cs="Arial"/>
                      <w:sz w:val="24"/>
                      <w:szCs w:val="24"/>
                      <w:lang w:eastAsia="lt-LT"/>
                    </w:rPr>
                    <w:t xml:space="preserve"> - mokymų projekto laisvakede.lt įkūrėja, HR konsultantė ir lektorė, turinti 10 metų patirtį personalo valdymo srityje. Jevgenija konsultuoja organizacijas ir veda mokymus efektyvios komunikacijos, personalo valdymo, komandos formavimo, vadovavimo ir kitomis temomis.</w:t>
                  </w:r>
                </w:p>
                <w:p w14:paraId="13B73AC8" w14:textId="77777777" w:rsidR="00F5632F" w:rsidRPr="00C91E01" w:rsidRDefault="00F5632F">
                  <w:pPr>
                    <w:spacing w:before="300" w:after="100" w:afterAutospacing="1"/>
                    <w:rPr>
                      <w:rFonts w:ascii="Arial" w:hAnsi="Arial" w:cs="Arial"/>
                      <w:b/>
                      <w:bCs/>
                      <w:color w:val="023246"/>
                      <w:sz w:val="32"/>
                      <w:szCs w:val="32"/>
                      <w:lang w:eastAsia="lt-LT"/>
                    </w:rPr>
                  </w:pPr>
                  <w:r w:rsidRPr="00C91E01">
                    <w:rPr>
                      <w:rFonts w:ascii="Arial" w:hAnsi="Arial" w:cs="Arial"/>
                      <w:b/>
                      <w:bCs/>
                      <w:color w:val="023246"/>
                      <w:sz w:val="32"/>
                      <w:szCs w:val="32"/>
                      <w:lang w:eastAsia="lt-LT"/>
                    </w:rPr>
                    <w:t>Programa</w:t>
                  </w:r>
                </w:p>
                <w:p w14:paraId="7756D7D4"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Viešojo sektoriaus atskaitomybė: pakeitimai, dokumentacija ir galimybės. Duomenų įkėlimas į VSAKIS: svarbiausios nuostatos. </w:t>
                  </w:r>
                  <w:r>
                    <w:rPr>
                      <w:rFonts w:ascii="Arial" w:hAnsi="Arial" w:cs="Arial"/>
                      <w:sz w:val="24"/>
                      <w:szCs w:val="24"/>
                      <w:lang w:eastAsia="lt-LT"/>
                    </w:rPr>
                    <w:t>Pranešėja</w:t>
                  </w:r>
                  <w:r>
                    <w:rPr>
                      <w:rFonts w:ascii="Arial" w:hAnsi="Arial" w:cs="Arial"/>
                      <w:b/>
                      <w:bCs/>
                      <w:sz w:val="24"/>
                      <w:szCs w:val="24"/>
                      <w:lang w:eastAsia="lt-LT"/>
                    </w:rPr>
                    <w:t> – Aistė Gelusevičiūtė </w:t>
                  </w:r>
                  <w:r>
                    <w:rPr>
                      <w:rFonts w:ascii="Arial" w:hAnsi="Arial" w:cs="Arial"/>
                      <w:sz w:val="24"/>
                      <w:szCs w:val="24"/>
                      <w:lang w:eastAsia="lt-LT"/>
                    </w:rPr>
                    <w:t>(09:00–10.00 val.)</w:t>
                  </w:r>
                </w:p>
                <w:p w14:paraId="59A2E3AA" w14:textId="77777777" w:rsidR="00F5632F" w:rsidRDefault="00F5632F">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keitėsi reguliavimas, kas svarbiausia? Dalijamės gerąja praktika;</w:t>
                  </w:r>
                </w:p>
                <w:p w14:paraId="5904D024" w14:textId="77777777" w:rsidR="00F5632F" w:rsidRDefault="00F5632F">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Dažniausiai daromos klaidos rengiant finansinę atskaitomybę: ką daryti, jei visi suprantame skirtingai?</w:t>
                  </w:r>
                </w:p>
                <w:p w14:paraId="28B1D7AF" w14:textId="77777777" w:rsidR="00F5632F" w:rsidRDefault="00F5632F">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Duomenų įkėlimas į VSAKIS: darbų sąrašas, kurį turime atlikti.</w:t>
                  </w:r>
                </w:p>
                <w:p w14:paraId="49AC2FE9"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Turto apskaita: visi atsakymai į svarbiausius klausimus. </w:t>
                  </w:r>
                  <w:r>
                    <w:rPr>
                      <w:rFonts w:ascii="Arial" w:hAnsi="Arial" w:cs="Arial"/>
                      <w:sz w:val="24"/>
                      <w:szCs w:val="24"/>
                      <w:lang w:eastAsia="lt-LT"/>
                    </w:rPr>
                    <w:t>Pranešėja</w:t>
                  </w:r>
                  <w:r>
                    <w:rPr>
                      <w:rFonts w:ascii="Arial" w:hAnsi="Arial" w:cs="Arial"/>
                      <w:b/>
                      <w:bCs/>
                      <w:sz w:val="24"/>
                      <w:szCs w:val="24"/>
                      <w:lang w:eastAsia="lt-LT"/>
                    </w:rPr>
                    <w:t> – Aistė Gelusevičiūtė </w:t>
                  </w:r>
                  <w:r>
                    <w:rPr>
                      <w:rFonts w:ascii="Arial" w:hAnsi="Arial" w:cs="Arial"/>
                      <w:sz w:val="24"/>
                      <w:szCs w:val="24"/>
                      <w:lang w:eastAsia="lt-LT"/>
                    </w:rPr>
                    <w:t>(10:00–11.00 val.)</w:t>
                  </w:r>
                </w:p>
                <w:p w14:paraId="6DB6E797" w14:textId="77777777" w:rsidR="00F5632F" w:rsidRDefault="00F5632F">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Turto apskaita: standartų pakeitimai, išaiškinimai ir rekomendacijos;</w:t>
                  </w:r>
                </w:p>
                <w:p w14:paraId="1CDF85EB" w14:textId="77777777" w:rsidR="00F5632F" w:rsidRDefault="00F5632F">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Probleminiai turto apskaitos klausimai;</w:t>
                  </w:r>
                </w:p>
                <w:p w14:paraId="462137CD" w14:textId="77777777" w:rsidR="00F5632F" w:rsidRDefault="00F5632F">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lastRenderedPageBreak/>
                    <w:t> Kokias klaidas darome ir kaip jų išvengti? Praktiniai patarimai.</w:t>
                  </w:r>
                </w:p>
                <w:p w14:paraId="03668C7E"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Strateginis planavimas viešajame sektoriuje: pakeitimai, praktika ir iššūkiai, kuriuos turime įveikti. </w:t>
                  </w:r>
                  <w:r>
                    <w:rPr>
                      <w:rFonts w:ascii="Arial" w:hAnsi="Arial" w:cs="Arial"/>
                      <w:sz w:val="24"/>
                      <w:szCs w:val="24"/>
                      <w:lang w:eastAsia="lt-LT"/>
                    </w:rPr>
                    <w:t>Pranešėja</w:t>
                  </w:r>
                  <w:r>
                    <w:rPr>
                      <w:rFonts w:ascii="Arial" w:hAnsi="Arial" w:cs="Arial"/>
                      <w:b/>
                      <w:bCs/>
                      <w:sz w:val="24"/>
                      <w:szCs w:val="24"/>
                      <w:lang w:eastAsia="lt-LT"/>
                    </w:rPr>
                    <w:t> – Irma Kamarauskienė </w:t>
                  </w:r>
                  <w:r>
                    <w:rPr>
                      <w:rFonts w:ascii="Arial" w:hAnsi="Arial" w:cs="Arial"/>
                      <w:sz w:val="24"/>
                      <w:szCs w:val="24"/>
                      <w:lang w:eastAsia="lt-LT"/>
                    </w:rPr>
                    <w:t>(11:15–12.15 val.)</w:t>
                  </w:r>
                </w:p>
                <w:p w14:paraId="10286929" w14:textId="77777777" w:rsidR="00F5632F" w:rsidRDefault="00F5632F">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Nauja strateginio valdymo metodika nuo 2024-08-20;</w:t>
                  </w:r>
                </w:p>
                <w:p w14:paraId="795703E3" w14:textId="77777777" w:rsidR="00F5632F" w:rsidRDefault="00F5632F">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Viešojo sektoriaus strateginio valdymo ypatumai. Teisinis reglamentavimas. Planavimo dokumentų sistemos modelis: planavimo procesas, planavimo dokumentų sistema;</w:t>
                  </w:r>
                </w:p>
                <w:p w14:paraId="1A3D0BEF" w14:textId="77777777" w:rsidR="00F5632F" w:rsidRDefault="00F5632F">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Stebėsenos sistema strateginio planavimo procese, atsiskaitymas už rezultatus, pažangos vertinimas.</w:t>
                  </w:r>
                </w:p>
                <w:p w14:paraId="32FF9C07"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Inventorizacija viešajame sektoriuje: kaip viską atlikti paprasčiau? </w:t>
                  </w:r>
                  <w:r>
                    <w:rPr>
                      <w:rFonts w:ascii="Arial" w:hAnsi="Arial" w:cs="Arial"/>
                      <w:sz w:val="24"/>
                      <w:szCs w:val="24"/>
                      <w:lang w:eastAsia="lt-LT"/>
                    </w:rPr>
                    <w:t>Pranešėja</w:t>
                  </w:r>
                  <w:r>
                    <w:rPr>
                      <w:rFonts w:ascii="Arial" w:hAnsi="Arial" w:cs="Arial"/>
                      <w:b/>
                      <w:bCs/>
                      <w:sz w:val="24"/>
                      <w:szCs w:val="24"/>
                      <w:lang w:eastAsia="lt-LT"/>
                    </w:rPr>
                    <w:t> – Danutė Stepanauskienė </w:t>
                  </w:r>
                  <w:r>
                    <w:rPr>
                      <w:rFonts w:ascii="Arial" w:hAnsi="Arial" w:cs="Arial"/>
                      <w:sz w:val="24"/>
                      <w:szCs w:val="24"/>
                      <w:lang w:eastAsia="lt-LT"/>
                    </w:rPr>
                    <w:t>(13.15–14.15 val.)</w:t>
                  </w:r>
                </w:p>
                <w:p w14:paraId="131187F8" w14:textId="77777777" w:rsidR="00F5632F" w:rsidRDefault="00F5632F">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Inventorizacijos reglamentavimas: pakeitimai, praktika, rekomendacijos;</w:t>
                  </w:r>
                </w:p>
                <w:p w14:paraId="2299FD40" w14:textId="77777777" w:rsidR="00F5632F" w:rsidRDefault="00F5632F">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Turto inventorizacijos atlikimo tvarka ir dokumentacija;</w:t>
                  </w:r>
                </w:p>
                <w:p w14:paraId="08955705" w14:textId="77777777" w:rsidR="00F5632F" w:rsidRDefault="00F5632F">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viską atlikti paprasčiau?</w:t>
                  </w:r>
                </w:p>
                <w:p w14:paraId="64381B54"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Vidaus ir finansų kontrolė: ką turime pasikeisti ir kas planuojama? </w:t>
                  </w:r>
                  <w:r>
                    <w:rPr>
                      <w:rFonts w:ascii="Arial" w:hAnsi="Arial" w:cs="Arial"/>
                      <w:sz w:val="24"/>
                      <w:szCs w:val="24"/>
                      <w:lang w:eastAsia="lt-LT"/>
                    </w:rPr>
                    <w:t>Pranešėja</w:t>
                  </w:r>
                  <w:r>
                    <w:rPr>
                      <w:rFonts w:ascii="Arial" w:hAnsi="Arial" w:cs="Arial"/>
                      <w:b/>
                      <w:bCs/>
                      <w:sz w:val="24"/>
                      <w:szCs w:val="24"/>
                      <w:lang w:eastAsia="lt-LT"/>
                    </w:rPr>
                    <w:t> – Rasa Kislovskienė </w:t>
                  </w:r>
                  <w:r>
                    <w:rPr>
                      <w:rFonts w:ascii="Arial" w:hAnsi="Arial" w:cs="Arial"/>
                      <w:sz w:val="24"/>
                      <w:szCs w:val="24"/>
                      <w:lang w:eastAsia="lt-LT"/>
                    </w:rPr>
                    <w:t>(14:15–15.00 val.)</w:t>
                  </w:r>
                </w:p>
                <w:p w14:paraId="577D4E6A" w14:textId="77777777" w:rsidR="00F5632F" w:rsidRDefault="00F5632F">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Vidaus ir finansų kontrolės korekcijos, kurias turėtume pasidaryti;</w:t>
                  </w:r>
                </w:p>
                <w:p w14:paraId="7D361DBC" w14:textId="77777777" w:rsidR="00F5632F" w:rsidRDefault="00F5632F">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Procedūros, atsakingi asmenys, atsakomybė;</w:t>
                  </w:r>
                </w:p>
                <w:p w14:paraId="201F9E59" w14:textId="77777777" w:rsidR="00F5632F" w:rsidRDefault="00F5632F">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Praktiniai patarimai.</w:t>
                  </w:r>
                </w:p>
                <w:p w14:paraId="780A8948" w14:textId="77777777" w:rsidR="00F5632F" w:rsidRDefault="00F5632F">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Finansininko darbo krūvio valdymas: efektyvus laiko planavimas. </w:t>
                  </w:r>
                  <w:r>
                    <w:rPr>
                      <w:rFonts w:ascii="Arial" w:hAnsi="Arial" w:cs="Arial"/>
                      <w:sz w:val="24"/>
                      <w:szCs w:val="24"/>
                      <w:lang w:eastAsia="lt-LT"/>
                    </w:rPr>
                    <w:t>Pranešėja </w:t>
                  </w:r>
                  <w:r>
                    <w:rPr>
                      <w:rFonts w:ascii="Arial" w:hAnsi="Arial" w:cs="Arial"/>
                      <w:b/>
                      <w:bCs/>
                      <w:sz w:val="24"/>
                      <w:szCs w:val="24"/>
                      <w:lang w:eastAsia="lt-LT"/>
                    </w:rPr>
                    <w:t>– Jevgenija Ešvovičiūtė </w:t>
                  </w:r>
                  <w:r>
                    <w:rPr>
                      <w:rFonts w:ascii="Arial" w:hAnsi="Arial" w:cs="Arial"/>
                      <w:sz w:val="24"/>
                      <w:szCs w:val="24"/>
                      <w:lang w:eastAsia="lt-LT"/>
                    </w:rPr>
                    <w:t> (15:00–15.45 val.)</w:t>
                  </w:r>
                </w:p>
                <w:p w14:paraId="47417DE6" w14:textId="77777777" w:rsidR="00F5632F" w:rsidRDefault="00F5632F">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Dažniausios darbo krūvio valdymo problemos, kurias patiriame;</w:t>
                  </w:r>
                </w:p>
                <w:p w14:paraId="3687CC61" w14:textId="77777777" w:rsidR="00F5632F" w:rsidRDefault="00F5632F">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Maksimalaus darbingumo palaikymo principai. Kaip išvengti perdegimo?</w:t>
                  </w:r>
                </w:p>
                <w:p w14:paraId="12B86754" w14:textId="77777777" w:rsidR="00F5632F" w:rsidRDefault="00F5632F">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Prioritetai, kategorijos ir darbų sąrašai, kuriuos verta turėti.</w:t>
                  </w:r>
                </w:p>
                <w:p w14:paraId="4760BCEF" w14:textId="77777777" w:rsidR="00F5632F" w:rsidRDefault="00F5632F">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Dienotvarkė</w:t>
                  </w:r>
                </w:p>
                <w:p w14:paraId="653CF83C" w14:textId="77777777" w:rsidR="00F5632F" w:rsidRDefault="00F5632F">
                  <w:pPr>
                    <w:rPr>
                      <w:rFonts w:ascii="Arial" w:hAnsi="Arial" w:cs="Arial"/>
                      <w:sz w:val="24"/>
                      <w:szCs w:val="24"/>
                      <w:lang w:eastAsia="lt-LT"/>
                    </w:rPr>
                  </w:pPr>
                  <w:r>
                    <w:rPr>
                      <w:rFonts w:ascii="Arial" w:hAnsi="Arial" w:cs="Arial"/>
                      <w:sz w:val="24"/>
                      <w:szCs w:val="24"/>
                      <w:lang w:eastAsia="lt-LT"/>
                    </w:rPr>
                    <w:t>09:00 Konferencijos pradžia</w:t>
                  </w:r>
                </w:p>
                <w:p w14:paraId="6F0C06B6" w14:textId="77777777" w:rsidR="00F5632F" w:rsidRDefault="00F5632F">
                  <w:pPr>
                    <w:rPr>
                      <w:rFonts w:ascii="Arial" w:hAnsi="Arial" w:cs="Arial"/>
                      <w:sz w:val="24"/>
                      <w:szCs w:val="24"/>
                      <w:lang w:eastAsia="lt-LT"/>
                    </w:rPr>
                  </w:pPr>
                  <w:r>
                    <w:rPr>
                      <w:rFonts w:ascii="Arial" w:hAnsi="Arial" w:cs="Arial"/>
                      <w:sz w:val="24"/>
                      <w:szCs w:val="24"/>
                      <w:lang w:eastAsia="lt-LT"/>
                    </w:rPr>
                    <w:t>11:00 — 11:15 Pertraukėlė</w:t>
                  </w:r>
                </w:p>
                <w:p w14:paraId="3B6A6A0E" w14:textId="77777777" w:rsidR="00F5632F" w:rsidRDefault="00F5632F">
                  <w:pPr>
                    <w:rPr>
                      <w:rFonts w:ascii="Arial" w:hAnsi="Arial" w:cs="Arial"/>
                      <w:sz w:val="24"/>
                      <w:szCs w:val="24"/>
                      <w:lang w:eastAsia="lt-LT"/>
                    </w:rPr>
                  </w:pPr>
                  <w:r>
                    <w:rPr>
                      <w:rFonts w:ascii="Arial" w:hAnsi="Arial" w:cs="Arial"/>
                      <w:sz w:val="24"/>
                      <w:szCs w:val="24"/>
                      <w:lang w:eastAsia="lt-LT"/>
                    </w:rPr>
                    <w:t>12:15 — 13:15 Pertrauka</w:t>
                  </w:r>
                </w:p>
                <w:p w14:paraId="7C737153" w14:textId="77777777" w:rsidR="00F5632F" w:rsidRDefault="00F5632F">
                  <w:pPr>
                    <w:rPr>
                      <w:rFonts w:ascii="Arial" w:hAnsi="Arial" w:cs="Arial"/>
                      <w:sz w:val="24"/>
                      <w:szCs w:val="24"/>
                      <w:lang w:eastAsia="lt-LT"/>
                    </w:rPr>
                  </w:pPr>
                  <w:r>
                    <w:rPr>
                      <w:rFonts w:ascii="Arial" w:hAnsi="Arial" w:cs="Arial"/>
                      <w:sz w:val="24"/>
                      <w:szCs w:val="24"/>
                      <w:lang w:eastAsia="lt-LT"/>
                    </w:rPr>
                    <w:t>15:45 Konferencijos pabaiga</w:t>
                  </w:r>
                </w:p>
                <w:p w14:paraId="73CF7FF9" w14:textId="77777777" w:rsidR="00F5632F" w:rsidRDefault="00F5632F">
                  <w:pPr>
                    <w:rPr>
                      <w:sz w:val="24"/>
                      <w:szCs w:val="24"/>
                      <w:lang w:eastAsia="lt-LT"/>
                    </w:rPr>
                  </w:pPr>
                </w:p>
                <w:p w14:paraId="7A6D795A" w14:textId="77777777" w:rsidR="00F5632F" w:rsidRDefault="00F5632F">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Trukmė</w:t>
                  </w:r>
                </w:p>
                <w:p w14:paraId="54D56250" w14:textId="77777777" w:rsidR="00F5632F" w:rsidRDefault="00F5632F">
                  <w:pPr>
                    <w:spacing w:before="100" w:beforeAutospacing="1" w:after="100" w:afterAutospacing="1"/>
                    <w:rPr>
                      <w:rFonts w:ascii="Arial" w:hAnsi="Arial" w:cs="Arial"/>
                      <w:b/>
                      <w:bCs/>
                      <w:sz w:val="27"/>
                      <w:szCs w:val="27"/>
                      <w:lang w:eastAsia="lt-LT"/>
                    </w:rPr>
                  </w:pPr>
                  <w:r>
                    <w:rPr>
                      <w:rFonts w:ascii="Arial" w:hAnsi="Arial" w:cs="Arial"/>
                      <w:b/>
                      <w:bCs/>
                      <w:sz w:val="27"/>
                      <w:szCs w:val="27"/>
                      <w:lang w:eastAsia="lt-LT"/>
                    </w:rPr>
                    <w:t>7 akad. val.</w:t>
                  </w:r>
                </w:p>
                <w:p w14:paraId="19297134" w14:textId="77777777" w:rsidR="00F5632F" w:rsidRDefault="00F5632F">
                  <w:pPr>
                    <w:spacing w:after="225"/>
                    <w:rPr>
                      <w:rFonts w:ascii="Arial" w:hAnsi="Arial" w:cs="Arial"/>
                      <w:b/>
                      <w:bCs/>
                      <w:color w:val="023246"/>
                      <w:sz w:val="36"/>
                      <w:szCs w:val="36"/>
                      <w:lang w:eastAsia="lt-LT"/>
                    </w:rPr>
                  </w:pPr>
                  <w:r>
                    <w:rPr>
                      <w:rFonts w:ascii="Arial" w:hAnsi="Arial" w:cs="Arial"/>
                      <w:b/>
                      <w:bCs/>
                      <w:color w:val="023246"/>
                      <w:sz w:val="36"/>
                      <w:szCs w:val="36"/>
                      <w:lang w:eastAsia="lt-LT"/>
                    </w:rPr>
                    <w:t>Mokymai vyks:</w:t>
                  </w:r>
                </w:p>
                <w:p w14:paraId="282B64CF" w14:textId="68448690" w:rsidR="00F5632F" w:rsidRDefault="00F5632F" w:rsidP="00C91E01">
                  <w:pPr>
                    <w:rPr>
                      <w:rFonts w:ascii="Arial" w:hAnsi="Arial" w:cs="Arial"/>
                      <w:sz w:val="24"/>
                      <w:szCs w:val="24"/>
                      <w:lang w:eastAsia="lt-LT"/>
                    </w:rPr>
                  </w:pPr>
                  <w:r>
                    <w:rPr>
                      <w:rFonts w:ascii="Arial" w:hAnsi="Arial" w:cs="Arial"/>
                      <w:b/>
                      <w:bCs/>
                      <w:sz w:val="24"/>
                      <w:szCs w:val="24"/>
                      <w:lang w:eastAsia="lt-LT"/>
                    </w:rPr>
                    <w:t>Lapkričio 20 d.</w:t>
                  </w:r>
                  <w:r>
                    <w:rPr>
                      <w:rFonts w:ascii="Arial" w:hAnsi="Arial" w:cs="Arial"/>
                      <w:sz w:val="24"/>
                      <w:szCs w:val="24"/>
                      <w:lang w:eastAsia="lt-LT"/>
                    </w:rPr>
                    <w:t> Nuotoliniai mokymai</w:t>
                  </w:r>
                </w:p>
              </w:tc>
            </w:tr>
          </w:tbl>
          <w:p w14:paraId="2A79C9C4" w14:textId="77777777" w:rsidR="00F5632F" w:rsidRDefault="00F5632F">
            <w:pPr>
              <w:rPr>
                <w:sz w:val="24"/>
                <w:szCs w:val="24"/>
                <w:lang w:eastAsia="lt-LT"/>
              </w:rPr>
            </w:pPr>
          </w:p>
        </w:tc>
      </w:tr>
    </w:tbl>
    <w:p w14:paraId="7A912E44" w14:textId="77777777" w:rsidR="00C970C2" w:rsidRDefault="00C970C2"/>
    <w:sectPr w:rsidR="00C970C2" w:rsidSect="00C91E01">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D58A4"/>
    <w:multiLevelType w:val="multilevel"/>
    <w:tmpl w:val="C6D2E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E57F7"/>
    <w:multiLevelType w:val="multilevel"/>
    <w:tmpl w:val="CE0C4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71767"/>
    <w:multiLevelType w:val="multilevel"/>
    <w:tmpl w:val="DA7EA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557AC"/>
    <w:multiLevelType w:val="multilevel"/>
    <w:tmpl w:val="2E025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80649"/>
    <w:multiLevelType w:val="multilevel"/>
    <w:tmpl w:val="8A58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87200"/>
    <w:multiLevelType w:val="multilevel"/>
    <w:tmpl w:val="6DEA4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5041472">
    <w:abstractNumId w:val="0"/>
  </w:num>
  <w:num w:numId="2" w16cid:durableId="1591622492">
    <w:abstractNumId w:val="2"/>
  </w:num>
  <w:num w:numId="3" w16cid:durableId="1884519275">
    <w:abstractNumId w:val="3"/>
  </w:num>
  <w:num w:numId="4" w16cid:durableId="1456019180">
    <w:abstractNumId w:val="1"/>
  </w:num>
  <w:num w:numId="5" w16cid:durableId="1360278731">
    <w:abstractNumId w:val="4"/>
  </w:num>
  <w:num w:numId="6" w16cid:durableId="418214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2F"/>
    <w:rsid w:val="000F636D"/>
    <w:rsid w:val="003249CE"/>
    <w:rsid w:val="00A01F73"/>
    <w:rsid w:val="00C91E01"/>
    <w:rsid w:val="00C970C2"/>
    <w:rsid w:val="00F56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FDE0"/>
  <w15:chartTrackingRefBased/>
  <w15:docId w15:val="{63E79C90-5D3D-451A-8D59-9A258301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32F"/>
    <w:pPr>
      <w:spacing w:after="0" w:line="240" w:lineRule="auto"/>
    </w:pPr>
    <w:rPr>
      <w:rFonts w:ascii="Aptos" w:hAnsi="Aptos" w:cs="Calibri"/>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39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2701</Words>
  <Characters>1540</Characters>
  <Application>Microsoft Office Word</Application>
  <DocSecurity>0</DocSecurity>
  <Lines>12</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ms.licencijos2022.2@gmail.com</dc:creator>
  <cp:keywords/>
  <dc:description/>
  <cp:lastModifiedBy>ms.licencijos2022.2@gmail.com</cp:lastModifiedBy>
  <cp:revision>2</cp:revision>
  <dcterms:created xsi:type="dcterms:W3CDTF">2024-10-14T07:07:00Z</dcterms:created>
  <dcterms:modified xsi:type="dcterms:W3CDTF">2024-10-22T08:21:00Z</dcterms:modified>
</cp:coreProperties>
</file>