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B4B92" w14:textId="3FD5FB77" w:rsidR="0050583D" w:rsidRPr="00F363E1" w:rsidRDefault="0050583D">
      <w:pPr>
        <w:tabs>
          <w:tab w:val="left" w:pos="6521"/>
        </w:tabs>
        <w:ind w:firstLine="6521"/>
        <w:jc w:val="right"/>
        <w:rPr>
          <w:rFonts w:ascii="Arial" w:eastAsia="Calibri" w:hAnsi="Arial" w:cs="Arial"/>
          <w:b/>
          <w:szCs w:val="24"/>
          <w:lang w:eastAsia="lt-LT"/>
        </w:rPr>
      </w:pPr>
    </w:p>
    <w:p w14:paraId="63326CF5" w14:textId="0B84E1F0" w:rsidR="0050583D" w:rsidRPr="00F363E1" w:rsidRDefault="00C813ED">
      <w:pPr>
        <w:jc w:val="center"/>
        <w:rPr>
          <w:rFonts w:ascii="Arial" w:eastAsia="Calibri" w:hAnsi="Arial" w:cs="Arial"/>
          <w:szCs w:val="24"/>
          <w:lang w:eastAsia="lt-LT"/>
        </w:rPr>
      </w:pPr>
      <w:r w:rsidRPr="00F363E1">
        <w:rPr>
          <w:rFonts w:ascii="Arial" w:hAnsi="Arial" w:cs="Arial"/>
          <w:noProof/>
          <w:szCs w:val="24"/>
          <w:lang w:eastAsia="lt-LT"/>
        </w:rPr>
        <w:drawing>
          <wp:inline distT="0" distB="0" distL="0" distR="0" wp14:anchorId="03DC633F" wp14:editId="38D81E1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208AEC51" w14:textId="77777777" w:rsidR="0050583D" w:rsidRPr="00F363E1" w:rsidRDefault="00C813ED">
      <w:pPr>
        <w:jc w:val="center"/>
        <w:rPr>
          <w:rFonts w:ascii="Arial" w:eastAsia="Calibri" w:hAnsi="Arial" w:cs="Arial"/>
          <w:b/>
          <w:szCs w:val="24"/>
        </w:rPr>
      </w:pPr>
      <w:r w:rsidRPr="00F363E1">
        <w:rPr>
          <w:rFonts w:ascii="Arial" w:eastAsia="Calibri" w:hAnsi="Arial" w:cs="Arial"/>
          <w:b/>
          <w:szCs w:val="24"/>
        </w:rPr>
        <w:t>TEISĖJŲ TARYBA</w:t>
      </w:r>
    </w:p>
    <w:p w14:paraId="0C9895D4" w14:textId="77777777" w:rsidR="0050583D" w:rsidRPr="00F363E1" w:rsidRDefault="00C813ED">
      <w:pPr>
        <w:jc w:val="center"/>
        <w:rPr>
          <w:rFonts w:ascii="Arial" w:eastAsia="Calibri" w:hAnsi="Arial" w:cs="Arial"/>
          <w:b/>
          <w:szCs w:val="24"/>
        </w:rPr>
      </w:pPr>
      <w:r w:rsidRPr="00F363E1">
        <w:rPr>
          <w:rFonts w:ascii="Arial" w:eastAsia="Calibri" w:hAnsi="Arial" w:cs="Arial"/>
          <w:b/>
          <w:szCs w:val="24"/>
        </w:rPr>
        <w:t>NUTARIMAS</w:t>
      </w:r>
    </w:p>
    <w:p w14:paraId="54B8948C" w14:textId="74B3BB12" w:rsidR="0050583D" w:rsidRPr="00F363E1" w:rsidRDefault="00C813ED">
      <w:pPr>
        <w:jc w:val="center"/>
        <w:rPr>
          <w:rFonts w:ascii="Arial" w:eastAsia="Calibri" w:hAnsi="Arial" w:cs="Arial"/>
          <w:b/>
          <w:szCs w:val="24"/>
        </w:rPr>
      </w:pPr>
      <w:r w:rsidRPr="00F363E1">
        <w:rPr>
          <w:rFonts w:ascii="Arial" w:eastAsia="Calibri" w:hAnsi="Arial" w:cs="Arial"/>
          <w:b/>
          <w:szCs w:val="24"/>
        </w:rPr>
        <w:t>DĖL ESMINIŲ KRITERIJŲ 202</w:t>
      </w:r>
      <w:r w:rsidR="00AB2729" w:rsidRPr="00F363E1">
        <w:rPr>
          <w:rFonts w:ascii="Arial" w:eastAsia="Calibri" w:hAnsi="Arial" w:cs="Arial"/>
          <w:b/>
          <w:szCs w:val="24"/>
        </w:rPr>
        <w:t>5</w:t>
      </w:r>
      <w:r w:rsidRPr="00F363E1">
        <w:rPr>
          <w:rFonts w:ascii="Arial" w:hAnsi="Arial" w:cs="Arial"/>
          <w:szCs w:val="24"/>
        </w:rPr>
        <w:t>–</w:t>
      </w:r>
      <w:r w:rsidRPr="00F363E1">
        <w:rPr>
          <w:rFonts w:ascii="Arial" w:eastAsia="Calibri" w:hAnsi="Arial" w:cs="Arial"/>
          <w:b/>
          <w:szCs w:val="24"/>
        </w:rPr>
        <w:t>202</w:t>
      </w:r>
      <w:r w:rsidR="00AB2729" w:rsidRPr="00F363E1">
        <w:rPr>
          <w:rFonts w:ascii="Arial" w:eastAsia="Calibri" w:hAnsi="Arial" w:cs="Arial"/>
          <w:b/>
          <w:szCs w:val="24"/>
        </w:rPr>
        <w:t>6</w:t>
      </w:r>
      <w:r w:rsidRPr="00F363E1">
        <w:rPr>
          <w:rFonts w:ascii="Arial" w:eastAsia="Calibri" w:hAnsi="Arial" w:cs="Arial"/>
          <w:b/>
          <w:szCs w:val="24"/>
        </w:rPr>
        <w:t xml:space="preserve"> METŲ PLANINIAMS KOMPLEKSINIAMS PATIKRINIMAMS ATLIKTI PATVIRTINIMO</w:t>
      </w:r>
      <w:r w:rsidRPr="00F363E1">
        <w:rPr>
          <w:rFonts w:ascii="Arial" w:eastAsia="Calibri" w:hAnsi="Arial" w:cs="Arial"/>
          <w:b/>
          <w:caps/>
          <w:szCs w:val="24"/>
        </w:rPr>
        <w:t xml:space="preserve"> </w:t>
      </w:r>
    </w:p>
    <w:p w14:paraId="482790FB" w14:textId="77777777" w:rsidR="0050583D" w:rsidRPr="00F363E1" w:rsidRDefault="0050583D">
      <w:pPr>
        <w:jc w:val="center"/>
        <w:rPr>
          <w:rFonts w:ascii="Arial" w:eastAsia="Calibri" w:hAnsi="Arial" w:cs="Arial"/>
          <w:szCs w:val="24"/>
          <w:lang w:eastAsia="lt-LT"/>
        </w:rPr>
      </w:pPr>
    </w:p>
    <w:p w14:paraId="30F1CA05" w14:textId="72F1B8F5" w:rsidR="0050583D" w:rsidRPr="00F363E1" w:rsidRDefault="00C813ED">
      <w:pPr>
        <w:jc w:val="center"/>
        <w:rPr>
          <w:rFonts w:ascii="Arial" w:eastAsia="Calibri" w:hAnsi="Arial" w:cs="Arial"/>
          <w:szCs w:val="24"/>
          <w:lang w:eastAsia="lt-LT"/>
        </w:rPr>
      </w:pPr>
      <w:r w:rsidRPr="00F363E1">
        <w:rPr>
          <w:rFonts w:ascii="Arial" w:eastAsia="Calibri" w:hAnsi="Arial" w:cs="Arial"/>
          <w:szCs w:val="24"/>
          <w:lang w:eastAsia="lt-LT"/>
        </w:rPr>
        <w:t>202</w:t>
      </w:r>
      <w:r w:rsidR="00AB2729" w:rsidRPr="00F363E1">
        <w:rPr>
          <w:rFonts w:ascii="Arial" w:eastAsia="Calibri" w:hAnsi="Arial" w:cs="Arial"/>
          <w:szCs w:val="24"/>
          <w:lang w:eastAsia="lt-LT"/>
        </w:rPr>
        <w:t>4</w:t>
      </w:r>
      <w:r w:rsidRPr="00F363E1">
        <w:rPr>
          <w:rFonts w:ascii="Arial" w:eastAsia="Calibri" w:hAnsi="Arial" w:cs="Arial"/>
          <w:szCs w:val="24"/>
          <w:lang w:eastAsia="lt-LT"/>
        </w:rPr>
        <w:t xml:space="preserve"> m. </w:t>
      </w:r>
      <w:r w:rsidR="000B658F">
        <w:rPr>
          <w:rFonts w:ascii="Arial" w:eastAsia="Calibri" w:hAnsi="Arial" w:cs="Arial"/>
          <w:szCs w:val="24"/>
          <w:lang w:eastAsia="lt-LT"/>
        </w:rPr>
        <w:t>lapkričio</w:t>
      </w:r>
      <w:r w:rsidR="00AB2729" w:rsidRPr="00F363E1">
        <w:rPr>
          <w:rFonts w:ascii="Arial" w:eastAsia="Calibri" w:hAnsi="Arial" w:cs="Arial"/>
          <w:szCs w:val="24"/>
          <w:lang w:eastAsia="lt-LT"/>
        </w:rPr>
        <w:t xml:space="preserve"> </w:t>
      </w:r>
      <w:r w:rsidR="00B2024B">
        <w:rPr>
          <w:rFonts w:ascii="Arial" w:eastAsia="Calibri" w:hAnsi="Arial" w:cs="Arial"/>
          <w:szCs w:val="24"/>
          <w:lang w:eastAsia="lt-LT"/>
        </w:rPr>
        <w:t>29</w:t>
      </w:r>
      <w:r w:rsidRPr="00F363E1">
        <w:rPr>
          <w:rFonts w:ascii="Arial" w:eastAsia="Calibri" w:hAnsi="Arial" w:cs="Arial"/>
          <w:szCs w:val="24"/>
          <w:lang w:eastAsia="lt-LT"/>
        </w:rPr>
        <w:t xml:space="preserve"> d. Nr. 13P</w:t>
      </w:r>
      <w:r w:rsidR="00377FD9" w:rsidRPr="00F363E1">
        <w:rPr>
          <w:rFonts w:ascii="Arial" w:eastAsia="Calibri" w:hAnsi="Arial" w:cs="Arial"/>
          <w:szCs w:val="24"/>
          <w:lang w:eastAsia="lt-LT"/>
        </w:rPr>
        <w:t>-</w:t>
      </w:r>
      <w:r w:rsidR="00377FD9">
        <w:rPr>
          <w:rFonts w:ascii="Arial" w:eastAsia="Calibri" w:hAnsi="Arial" w:cs="Arial"/>
          <w:szCs w:val="24"/>
          <w:lang w:eastAsia="lt-LT"/>
        </w:rPr>
        <w:t>189</w:t>
      </w:r>
      <w:r w:rsidRPr="00F363E1">
        <w:rPr>
          <w:rFonts w:ascii="Arial" w:eastAsia="Calibri" w:hAnsi="Arial" w:cs="Arial"/>
          <w:szCs w:val="24"/>
          <w:lang w:eastAsia="lt-LT"/>
        </w:rPr>
        <w:t>-(7.1.2.)</w:t>
      </w:r>
    </w:p>
    <w:p w14:paraId="46DFFDAE" w14:textId="77777777" w:rsidR="0050583D" w:rsidRPr="00F363E1" w:rsidRDefault="00C813ED">
      <w:pPr>
        <w:jc w:val="center"/>
        <w:rPr>
          <w:rFonts w:ascii="Arial" w:eastAsia="Calibri" w:hAnsi="Arial" w:cs="Arial"/>
          <w:szCs w:val="24"/>
          <w:lang w:eastAsia="lt-LT"/>
        </w:rPr>
      </w:pPr>
      <w:r w:rsidRPr="00F363E1">
        <w:rPr>
          <w:rFonts w:ascii="Arial" w:eastAsia="Calibri" w:hAnsi="Arial" w:cs="Arial"/>
          <w:szCs w:val="24"/>
          <w:lang w:eastAsia="lt-LT"/>
        </w:rPr>
        <w:t>Vilnius</w:t>
      </w:r>
    </w:p>
    <w:p w14:paraId="1A13CA37" w14:textId="77777777" w:rsidR="0050583D" w:rsidRPr="00F363E1" w:rsidRDefault="0050583D">
      <w:pPr>
        <w:rPr>
          <w:rFonts w:ascii="Arial" w:hAnsi="Arial" w:cs="Arial"/>
          <w:szCs w:val="24"/>
        </w:rPr>
      </w:pPr>
    </w:p>
    <w:p w14:paraId="46655C83" w14:textId="77777777" w:rsidR="0050583D" w:rsidRPr="00F363E1" w:rsidRDefault="00C813ED" w:rsidP="00AB2729">
      <w:pPr>
        <w:ind w:firstLine="567"/>
        <w:jc w:val="both"/>
        <w:rPr>
          <w:rFonts w:ascii="Arial" w:hAnsi="Arial" w:cs="Arial"/>
          <w:szCs w:val="24"/>
        </w:rPr>
      </w:pPr>
      <w:r w:rsidRPr="00F363E1">
        <w:rPr>
          <w:rFonts w:ascii="Arial" w:hAnsi="Arial" w:cs="Arial"/>
          <w:szCs w:val="24"/>
        </w:rPr>
        <w:t>Vadovaudamasi Lietuvos Respublikos teismų įstatymo 120 straipsnio 1 dalies 27 punktu ir Administravimo teismuose nuostatų, patvirtintų Teisėjų tarybos 2015 m. gruodžio 18 d. nutarimu Nr. 13P-157-(7.1.2) „Dėl Administravimo teismuose nuostatų patvirtinimo“, 24 punktu, Teisėjų taryba</w:t>
      </w:r>
    </w:p>
    <w:p w14:paraId="044156D5" w14:textId="5CD7C7D8" w:rsidR="0050583D" w:rsidRPr="00F363E1" w:rsidRDefault="00C813ED" w:rsidP="00AF0F00">
      <w:pPr>
        <w:ind w:firstLine="567"/>
        <w:jc w:val="both"/>
        <w:rPr>
          <w:rFonts w:ascii="Arial" w:hAnsi="Arial" w:cs="Arial"/>
          <w:szCs w:val="24"/>
        </w:rPr>
      </w:pPr>
      <w:r w:rsidRPr="00F363E1">
        <w:rPr>
          <w:rFonts w:ascii="Arial" w:hAnsi="Arial" w:cs="Arial"/>
          <w:szCs w:val="24"/>
        </w:rPr>
        <w:t>n u t a r i a:</w:t>
      </w:r>
    </w:p>
    <w:p w14:paraId="59ACDB5B" w14:textId="521B238A" w:rsidR="0050583D" w:rsidRPr="00F363E1" w:rsidRDefault="00C813ED">
      <w:pPr>
        <w:tabs>
          <w:tab w:val="left" w:pos="567"/>
          <w:tab w:val="left" w:pos="709"/>
        </w:tabs>
        <w:ind w:firstLine="567"/>
        <w:jc w:val="both"/>
        <w:rPr>
          <w:rFonts w:ascii="Arial" w:hAnsi="Arial" w:cs="Arial"/>
          <w:szCs w:val="24"/>
        </w:rPr>
      </w:pPr>
      <w:r w:rsidRPr="00F363E1">
        <w:rPr>
          <w:rFonts w:ascii="Arial" w:hAnsi="Arial" w:cs="Arial"/>
          <w:szCs w:val="24"/>
        </w:rPr>
        <w:t>Patvirtinti Esminius kriterijus 202</w:t>
      </w:r>
      <w:r w:rsidR="00AB2729" w:rsidRPr="00F363E1">
        <w:rPr>
          <w:rFonts w:ascii="Arial" w:hAnsi="Arial" w:cs="Arial"/>
          <w:szCs w:val="24"/>
        </w:rPr>
        <w:t>5</w:t>
      </w:r>
      <w:r w:rsidRPr="00F363E1">
        <w:rPr>
          <w:rFonts w:ascii="Arial" w:hAnsi="Arial" w:cs="Arial"/>
          <w:szCs w:val="24"/>
        </w:rPr>
        <w:t>–202</w:t>
      </w:r>
      <w:r w:rsidR="00AB2729" w:rsidRPr="00F363E1">
        <w:rPr>
          <w:rFonts w:ascii="Arial" w:hAnsi="Arial" w:cs="Arial"/>
          <w:szCs w:val="24"/>
        </w:rPr>
        <w:t>6</w:t>
      </w:r>
      <w:r w:rsidRPr="00F363E1">
        <w:rPr>
          <w:rFonts w:ascii="Arial" w:hAnsi="Arial" w:cs="Arial"/>
          <w:szCs w:val="24"/>
        </w:rPr>
        <w:t xml:space="preserve"> metų planiniams kompleksiniams patikrinimams atlikti (pridedama).</w:t>
      </w:r>
    </w:p>
    <w:p w14:paraId="576811D1" w14:textId="6589398F" w:rsidR="0050583D" w:rsidRPr="00F363E1" w:rsidRDefault="0050583D">
      <w:pPr>
        <w:tabs>
          <w:tab w:val="left" w:pos="851"/>
        </w:tabs>
        <w:ind w:right="-82" w:firstLine="567"/>
        <w:jc w:val="both"/>
        <w:rPr>
          <w:rFonts w:ascii="Arial" w:hAnsi="Arial" w:cs="Arial"/>
          <w:szCs w:val="24"/>
        </w:rPr>
      </w:pPr>
    </w:p>
    <w:p w14:paraId="5C721E6E" w14:textId="210648FD" w:rsidR="0050583D" w:rsidRPr="00F363E1" w:rsidRDefault="0050583D">
      <w:pPr>
        <w:tabs>
          <w:tab w:val="left" w:pos="851"/>
        </w:tabs>
        <w:ind w:right="-82" w:firstLine="567"/>
        <w:jc w:val="both"/>
        <w:rPr>
          <w:rFonts w:ascii="Arial" w:hAnsi="Arial" w:cs="Arial"/>
          <w:szCs w:val="24"/>
        </w:rPr>
      </w:pPr>
    </w:p>
    <w:p w14:paraId="092AE263" w14:textId="77777777" w:rsidR="0050583D" w:rsidRPr="00F363E1" w:rsidRDefault="0050583D">
      <w:pPr>
        <w:tabs>
          <w:tab w:val="left" w:pos="851"/>
        </w:tabs>
        <w:ind w:right="-82" w:firstLine="567"/>
        <w:jc w:val="both"/>
        <w:rPr>
          <w:rFonts w:ascii="Arial" w:hAnsi="Arial" w:cs="Arial"/>
          <w:szCs w:val="24"/>
        </w:rPr>
      </w:pPr>
    </w:p>
    <w:tbl>
      <w:tblPr>
        <w:tblW w:w="9797" w:type="dxa"/>
        <w:tblLayout w:type="fixed"/>
        <w:tblLook w:val="04A0" w:firstRow="1" w:lastRow="0" w:firstColumn="1" w:lastColumn="0" w:noHBand="0" w:noVBand="1"/>
      </w:tblPr>
      <w:tblGrid>
        <w:gridCol w:w="6912"/>
        <w:gridCol w:w="2885"/>
      </w:tblGrid>
      <w:tr w:rsidR="00B2024B" w:rsidRPr="00BD00C5" w14:paraId="77870BE9" w14:textId="77777777" w:rsidTr="001E080E">
        <w:tc>
          <w:tcPr>
            <w:tcW w:w="6911" w:type="dxa"/>
          </w:tcPr>
          <w:p w14:paraId="5A57960A" w14:textId="77777777" w:rsidR="00B2024B" w:rsidRPr="00BD00C5" w:rsidRDefault="00B2024B" w:rsidP="001E080E">
            <w:pPr>
              <w:rPr>
                <w:color w:val="000000"/>
                <w:szCs w:val="24"/>
              </w:rPr>
            </w:pPr>
            <w:r w:rsidRPr="00BD00C5">
              <w:rPr>
                <w:rFonts w:ascii="Arial" w:hAnsi="Arial"/>
                <w:color w:val="000000"/>
                <w:szCs w:val="24"/>
              </w:rPr>
              <w:t>Pirmininkė</w:t>
            </w:r>
          </w:p>
          <w:p w14:paraId="6D23E46F" w14:textId="77777777" w:rsidR="00B2024B" w:rsidRPr="00BD00C5" w:rsidRDefault="00B2024B" w:rsidP="001E080E">
            <w:pPr>
              <w:rPr>
                <w:rFonts w:ascii="Arial" w:hAnsi="Arial"/>
                <w:color w:val="000000"/>
                <w:szCs w:val="24"/>
              </w:rPr>
            </w:pPr>
          </w:p>
        </w:tc>
        <w:tc>
          <w:tcPr>
            <w:tcW w:w="2885" w:type="dxa"/>
          </w:tcPr>
          <w:p w14:paraId="14FF5842" w14:textId="77777777" w:rsidR="00B2024B" w:rsidRDefault="00B2024B" w:rsidP="001E080E">
            <w:pPr>
              <w:rPr>
                <w:rFonts w:ascii="Arial" w:hAnsi="Arial"/>
                <w:color w:val="000000"/>
                <w:szCs w:val="24"/>
              </w:rPr>
            </w:pPr>
            <w:r w:rsidRPr="00BD00C5">
              <w:rPr>
                <w:rFonts w:ascii="Arial" w:hAnsi="Arial"/>
                <w:color w:val="000000"/>
                <w:szCs w:val="24"/>
              </w:rPr>
              <w:t>Danguolė Bublienė</w:t>
            </w:r>
          </w:p>
          <w:p w14:paraId="3E316A20" w14:textId="77777777" w:rsidR="00B2024B" w:rsidRPr="00BD00C5" w:rsidRDefault="00B2024B" w:rsidP="001E080E">
            <w:pPr>
              <w:rPr>
                <w:rFonts w:ascii="Arial" w:hAnsi="Arial"/>
                <w:color w:val="000000"/>
                <w:szCs w:val="24"/>
              </w:rPr>
            </w:pPr>
          </w:p>
          <w:p w14:paraId="22E99F0A" w14:textId="77777777" w:rsidR="00B2024B" w:rsidRPr="00BD00C5" w:rsidRDefault="00B2024B" w:rsidP="001E080E">
            <w:pPr>
              <w:rPr>
                <w:rFonts w:ascii="Arial" w:hAnsi="Arial" w:cs="Arial"/>
                <w:color w:val="000000"/>
                <w:szCs w:val="24"/>
              </w:rPr>
            </w:pPr>
          </w:p>
        </w:tc>
      </w:tr>
      <w:tr w:rsidR="00B2024B" w:rsidRPr="00BD00C5" w14:paraId="04EBF507" w14:textId="77777777" w:rsidTr="001E080E">
        <w:tc>
          <w:tcPr>
            <w:tcW w:w="6911" w:type="dxa"/>
          </w:tcPr>
          <w:p w14:paraId="12E0DC37" w14:textId="77777777" w:rsidR="00B2024B" w:rsidRPr="00F91BEF" w:rsidRDefault="00B2024B" w:rsidP="001E080E">
            <w:pPr>
              <w:pStyle w:val="Tekstas"/>
              <w:ind w:firstLine="0"/>
              <w:rPr>
                <w:szCs w:val="24"/>
              </w:rPr>
            </w:pPr>
            <w:r w:rsidRPr="00F91BEF">
              <w:rPr>
                <w:rFonts w:ascii="Arial" w:hAnsi="Arial"/>
                <w:szCs w:val="24"/>
              </w:rPr>
              <w:t>Sekretorė</w:t>
            </w:r>
          </w:p>
        </w:tc>
        <w:tc>
          <w:tcPr>
            <w:tcW w:w="2885" w:type="dxa"/>
          </w:tcPr>
          <w:p w14:paraId="576CD31D" w14:textId="77777777" w:rsidR="00B2024B" w:rsidRPr="00BD00C5" w:rsidRDefault="00B2024B" w:rsidP="001E080E">
            <w:pPr>
              <w:rPr>
                <w:szCs w:val="24"/>
              </w:rPr>
            </w:pPr>
            <w:r w:rsidRPr="00BD00C5">
              <w:rPr>
                <w:rFonts w:ascii="Arial" w:hAnsi="Arial"/>
                <w:color w:val="000000"/>
                <w:szCs w:val="24"/>
              </w:rPr>
              <w:t>Viktorija Šelmienė</w:t>
            </w:r>
          </w:p>
        </w:tc>
      </w:tr>
    </w:tbl>
    <w:p w14:paraId="06BAE944" w14:textId="77777777" w:rsidR="00C813ED" w:rsidRPr="00F363E1" w:rsidRDefault="00C813ED">
      <w:pPr>
        <w:keepNext/>
        <w:ind w:left="5103" w:right="707"/>
        <w:rPr>
          <w:rFonts w:ascii="Arial" w:hAnsi="Arial" w:cs="Arial"/>
          <w:szCs w:val="24"/>
        </w:rPr>
        <w:sectPr w:rsidR="00C813ED" w:rsidRPr="00F363E1">
          <w:headerReference w:type="default" r:id="rId8"/>
          <w:pgSz w:w="11906" w:h="16838"/>
          <w:pgMar w:top="1134" w:right="567" w:bottom="1134" w:left="1701" w:header="283" w:footer="283" w:gutter="0"/>
          <w:cols w:space="1296"/>
          <w:docGrid w:linePitch="360"/>
        </w:sectPr>
      </w:pPr>
    </w:p>
    <w:p w14:paraId="335052B5" w14:textId="612FED99" w:rsidR="0050583D" w:rsidRPr="00F363E1" w:rsidRDefault="00C813ED">
      <w:pPr>
        <w:keepNext/>
        <w:ind w:left="5103" w:right="707"/>
        <w:rPr>
          <w:rFonts w:ascii="Arial" w:hAnsi="Arial" w:cs="Arial"/>
          <w:bCs/>
          <w:caps/>
          <w:szCs w:val="24"/>
        </w:rPr>
      </w:pPr>
      <w:r w:rsidRPr="00F363E1">
        <w:rPr>
          <w:rFonts w:ascii="Arial" w:hAnsi="Arial" w:cs="Arial"/>
          <w:bCs/>
          <w:caps/>
          <w:szCs w:val="24"/>
        </w:rPr>
        <w:lastRenderedPageBreak/>
        <w:t>PATVIRTINTA</w:t>
      </w:r>
    </w:p>
    <w:p w14:paraId="2B81AB3E" w14:textId="66E1B029" w:rsidR="0050583D" w:rsidRPr="00F363E1" w:rsidRDefault="00C813ED">
      <w:pPr>
        <w:ind w:left="5103"/>
        <w:rPr>
          <w:rFonts w:ascii="Arial" w:hAnsi="Arial" w:cs="Arial"/>
          <w:szCs w:val="24"/>
        </w:rPr>
      </w:pPr>
      <w:r w:rsidRPr="00F363E1">
        <w:rPr>
          <w:rFonts w:ascii="Arial" w:hAnsi="Arial" w:cs="Arial"/>
          <w:szCs w:val="24"/>
        </w:rPr>
        <w:t>Teisėjų tarybos 202</w:t>
      </w:r>
      <w:r w:rsidR="00AB2729" w:rsidRPr="00F363E1">
        <w:rPr>
          <w:rFonts w:ascii="Arial" w:hAnsi="Arial" w:cs="Arial"/>
          <w:szCs w:val="24"/>
        </w:rPr>
        <w:t>4</w:t>
      </w:r>
      <w:r w:rsidRPr="00F363E1">
        <w:rPr>
          <w:rFonts w:ascii="Arial" w:hAnsi="Arial" w:cs="Arial"/>
          <w:szCs w:val="24"/>
        </w:rPr>
        <w:t xml:space="preserve"> m. </w:t>
      </w:r>
      <w:r w:rsidR="000B658F">
        <w:rPr>
          <w:rFonts w:ascii="Arial" w:hAnsi="Arial" w:cs="Arial"/>
          <w:szCs w:val="24"/>
        </w:rPr>
        <w:t>lapkričio</w:t>
      </w:r>
      <w:r w:rsidRPr="00F363E1">
        <w:rPr>
          <w:rFonts w:ascii="Arial" w:hAnsi="Arial" w:cs="Arial"/>
          <w:szCs w:val="24"/>
        </w:rPr>
        <w:t xml:space="preserve"> </w:t>
      </w:r>
      <w:r w:rsidR="00B2024B">
        <w:rPr>
          <w:rFonts w:ascii="Arial" w:hAnsi="Arial" w:cs="Arial"/>
          <w:szCs w:val="24"/>
        </w:rPr>
        <w:t>29</w:t>
      </w:r>
      <w:r w:rsidRPr="00F363E1">
        <w:rPr>
          <w:rFonts w:ascii="Arial" w:hAnsi="Arial" w:cs="Arial"/>
          <w:szCs w:val="24"/>
        </w:rPr>
        <w:t xml:space="preserve"> d. </w:t>
      </w:r>
    </w:p>
    <w:p w14:paraId="2893456D" w14:textId="700CF510" w:rsidR="0050583D" w:rsidRPr="00F363E1" w:rsidRDefault="00C813ED">
      <w:pPr>
        <w:ind w:left="5103"/>
        <w:rPr>
          <w:rFonts w:ascii="Arial" w:hAnsi="Arial" w:cs="Arial"/>
          <w:szCs w:val="24"/>
        </w:rPr>
      </w:pPr>
      <w:r w:rsidRPr="00F363E1">
        <w:rPr>
          <w:rFonts w:ascii="Arial" w:hAnsi="Arial" w:cs="Arial"/>
          <w:szCs w:val="24"/>
        </w:rPr>
        <w:t>nutarimu Nr. 13P</w:t>
      </w:r>
      <w:r w:rsidR="00377FD9" w:rsidRPr="00F363E1">
        <w:rPr>
          <w:rFonts w:ascii="Arial" w:hAnsi="Arial" w:cs="Arial"/>
          <w:szCs w:val="24"/>
        </w:rPr>
        <w:t>-</w:t>
      </w:r>
      <w:r w:rsidR="00377FD9">
        <w:rPr>
          <w:rFonts w:ascii="Arial" w:hAnsi="Arial" w:cs="Arial"/>
          <w:szCs w:val="24"/>
        </w:rPr>
        <w:t>189</w:t>
      </w:r>
      <w:r w:rsidRPr="00F363E1">
        <w:rPr>
          <w:rFonts w:ascii="Arial" w:hAnsi="Arial" w:cs="Arial"/>
          <w:szCs w:val="24"/>
        </w:rPr>
        <w:t>-(7.1.2.)</w:t>
      </w:r>
    </w:p>
    <w:p w14:paraId="34DB24E7" w14:textId="77777777" w:rsidR="0050583D" w:rsidRPr="00F363E1" w:rsidRDefault="0050583D">
      <w:pPr>
        <w:ind w:firstLine="709"/>
        <w:jc w:val="center"/>
        <w:rPr>
          <w:rFonts w:ascii="Arial" w:hAnsi="Arial" w:cs="Arial"/>
          <w:b/>
          <w:szCs w:val="24"/>
        </w:rPr>
      </w:pPr>
    </w:p>
    <w:p w14:paraId="236FD272" w14:textId="77777777" w:rsidR="008D67EC" w:rsidRPr="000C4190" w:rsidRDefault="008D67EC" w:rsidP="008D67EC">
      <w:pPr>
        <w:ind w:firstLine="709"/>
        <w:jc w:val="center"/>
        <w:rPr>
          <w:rFonts w:ascii="Arial" w:hAnsi="Arial" w:cs="Arial"/>
          <w:b/>
          <w:szCs w:val="24"/>
        </w:rPr>
      </w:pPr>
      <w:r w:rsidRPr="000C4190">
        <w:rPr>
          <w:rFonts w:ascii="Arial" w:hAnsi="Arial" w:cs="Arial"/>
          <w:b/>
          <w:szCs w:val="24"/>
        </w:rPr>
        <w:t>ESMINIAI KRITERIJAI 202</w:t>
      </w:r>
      <w:r w:rsidRPr="000C4190">
        <w:rPr>
          <w:rFonts w:ascii="Arial" w:hAnsi="Arial" w:cs="Arial"/>
          <w:b/>
          <w:szCs w:val="24"/>
          <w:lang w:val="fi-FI"/>
        </w:rPr>
        <w:t>5</w:t>
      </w:r>
      <w:r w:rsidRPr="000C4190">
        <w:rPr>
          <w:rFonts w:ascii="Arial" w:hAnsi="Arial" w:cs="Arial"/>
          <w:b/>
          <w:szCs w:val="24"/>
        </w:rPr>
        <w:t>–2026 METŲ PLANINIAMS KOMPLEKSINIAMS PATIKRINIMAMS ATLIKTI</w:t>
      </w:r>
    </w:p>
    <w:p w14:paraId="7158318C" w14:textId="77777777" w:rsidR="008D67EC" w:rsidRPr="000C4190" w:rsidRDefault="008D67EC" w:rsidP="008D67EC">
      <w:pPr>
        <w:jc w:val="both"/>
        <w:rPr>
          <w:rFonts w:ascii="Arial" w:hAnsi="Arial" w:cs="Arial"/>
          <w:b/>
          <w:szCs w:val="24"/>
        </w:rPr>
      </w:pPr>
    </w:p>
    <w:p w14:paraId="5F71B82D" w14:textId="77777777" w:rsidR="008D67EC" w:rsidRPr="000C4190" w:rsidRDefault="008D67EC" w:rsidP="008D67EC">
      <w:pPr>
        <w:ind w:firstLine="709"/>
        <w:jc w:val="both"/>
        <w:rPr>
          <w:rFonts w:ascii="Arial" w:hAnsi="Arial" w:cs="Arial"/>
          <w:b/>
          <w:szCs w:val="24"/>
        </w:rPr>
      </w:pPr>
      <w:r w:rsidRPr="000C4190">
        <w:rPr>
          <w:rFonts w:ascii="Arial" w:hAnsi="Arial" w:cs="Arial"/>
          <w:b/>
          <w:szCs w:val="24"/>
        </w:rPr>
        <w:t>1.</w:t>
      </w:r>
      <w:r w:rsidRPr="000C4190">
        <w:rPr>
          <w:rFonts w:ascii="Arial" w:hAnsi="Arial" w:cs="Arial"/>
          <w:b/>
          <w:szCs w:val="24"/>
        </w:rPr>
        <w:tab/>
        <w:t xml:space="preserve">Bylų administracinės priežiūros apimtis, vykdymo būdai ir priemonės </w:t>
      </w:r>
    </w:p>
    <w:p w14:paraId="28B37AFA" w14:textId="77777777" w:rsidR="008D67EC" w:rsidRPr="000C4190" w:rsidRDefault="008D67EC" w:rsidP="008D67EC">
      <w:pPr>
        <w:ind w:firstLine="709"/>
        <w:jc w:val="both"/>
        <w:rPr>
          <w:rFonts w:ascii="Arial" w:hAnsi="Arial" w:cs="Arial"/>
          <w:szCs w:val="24"/>
        </w:rPr>
      </w:pPr>
      <w:r w:rsidRPr="000C4190">
        <w:rPr>
          <w:rFonts w:ascii="Arial" w:hAnsi="Arial" w:cs="Arial"/>
          <w:szCs w:val="24"/>
        </w:rPr>
        <w:t xml:space="preserve">Tikrinant teismo pasirinktas bylų administracinės priežiūros apimtis, vykdymo būdus ir priemones, reikalinga įvertinti pagal šiuos parametrus sugeneruotas </w:t>
      </w:r>
      <w:r w:rsidRPr="000C4190">
        <w:rPr>
          <w:rFonts w:ascii="Arial" w:hAnsi="Arial" w:cs="Arial"/>
          <w:color w:val="000000"/>
        </w:rPr>
        <w:t xml:space="preserve">bylas:  </w:t>
      </w:r>
    </w:p>
    <w:p w14:paraId="0881A07D" w14:textId="77777777" w:rsidR="008D67EC" w:rsidRPr="000C4190" w:rsidRDefault="008D67EC" w:rsidP="008D67EC">
      <w:pPr>
        <w:ind w:firstLine="709"/>
        <w:jc w:val="both"/>
        <w:rPr>
          <w:rFonts w:ascii="Arial" w:hAnsi="Arial" w:cs="Arial"/>
          <w:szCs w:val="24"/>
        </w:rPr>
      </w:pPr>
      <w:r w:rsidRPr="000C4190">
        <w:rPr>
          <w:rFonts w:ascii="Arial" w:hAnsi="Arial" w:cs="Arial"/>
          <w:szCs w:val="24"/>
        </w:rPr>
        <w:t>1.1. Bylos, gautos daugiau nei prieš vienus metus (nurodant konkrečius metus), ir kurios dar neišnagrinėtos tikrinimo metu (galim</w:t>
      </w:r>
      <w:r w:rsidRPr="00D03C05">
        <w:rPr>
          <w:rFonts w:ascii="Arial" w:hAnsi="Arial" w:cs="Arial"/>
          <w:szCs w:val="24"/>
        </w:rPr>
        <w:t>iems</w:t>
      </w:r>
      <w:r w:rsidRPr="000C4190">
        <w:rPr>
          <w:rFonts w:ascii="Arial" w:hAnsi="Arial" w:cs="Arial"/>
          <w:szCs w:val="24"/>
        </w:rPr>
        <w:t xml:space="preserve"> bylų nagrinėjimo vilkinimo atvej</w:t>
      </w:r>
      <w:r w:rsidRPr="00D03C05">
        <w:rPr>
          <w:rFonts w:ascii="Arial" w:hAnsi="Arial" w:cs="Arial"/>
          <w:szCs w:val="24"/>
        </w:rPr>
        <w:t>ams</w:t>
      </w:r>
      <w:r w:rsidRPr="000C4190">
        <w:rPr>
          <w:rFonts w:ascii="Arial" w:hAnsi="Arial" w:cs="Arial"/>
          <w:szCs w:val="24"/>
        </w:rPr>
        <w:t xml:space="preserve"> išaiškin</w:t>
      </w:r>
      <w:r w:rsidRPr="00D03C05">
        <w:rPr>
          <w:rFonts w:ascii="Arial" w:hAnsi="Arial" w:cs="Arial"/>
          <w:szCs w:val="24"/>
        </w:rPr>
        <w:t>ti</w:t>
      </w:r>
      <w:r w:rsidRPr="000C4190">
        <w:rPr>
          <w:rFonts w:ascii="Arial" w:hAnsi="Arial" w:cs="Arial"/>
          <w:szCs w:val="24"/>
        </w:rPr>
        <w:t>);</w:t>
      </w:r>
    </w:p>
    <w:p w14:paraId="6FF6A2D0" w14:textId="77777777" w:rsidR="008D67EC" w:rsidRPr="00BC66F1" w:rsidRDefault="008D67EC" w:rsidP="008D67EC">
      <w:pPr>
        <w:ind w:firstLine="709"/>
        <w:jc w:val="both"/>
        <w:rPr>
          <w:rFonts w:ascii="Arial" w:hAnsi="Arial" w:cs="Arial"/>
          <w:szCs w:val="24"/>
        </w:rPr>
      </w:pPr>
      <w:r w:rsidRPr="00BC66F1">
        <w:rPr>
          <w:rFonts w:ascii="Arial" w:hAnsi="Arial" w:cs="Arial"/>
          <w:szCs w:val="24"/>
        </w:rPr>
        <w:t>1.2. Administracinių nusižengimų bylos ir baudžiamosios bylos, kuriose procesas nutrauktas, nes suėjo baudžiamosios atsakomybės senaties ar administracinės nuobaudos skyrimo terminai;</w:t>
      </w:r>
    </w:p>
    <w:p w14:paraId="63D109BC" w14:textId="77777777" w:rsidR="008D67EC" w:rsidRPr="000C4190" w:rsidRDefault="008D67EC" w:rsidP="008D67EC">
      <w:pPr>
        <w:ind w:firstLine="709"/>
        <w:jc w:val="both"/>
        <w:rPr>
          <w:rFonts w:ascii="Arial" w:hAnsi="Arial" w:cs="Arial"/>
          <w:szCs w:val="24"/>
        </w:rPr>
      </w:pPr>
      <w:r w:rsidRPr="000C4190">
        <w:rPr>
          <w:rFonts w:ascii="Arial" w:hAnsi="Arial" w:cs="Arial"/>
          <w:szCs w:val="24"/>
        </w:rPr>
        <w:t>1.</w:t>
      </w:r>
      <w:r>
        <w:rPr>
          <w:rFonts w:ascii="Arial" w:hAnsi="Arial" w:cs="Arial"/>
          <w:szCs w:val="24"/>
        </w:rPr>
        <w:t>3</w:t>
      </w:r>
      <w:r>
        <w:rPr>
          <w:rFonts w:ascii="Arial" w:hAnsi="Arial" w:cs="Arial"/>
          <w:b/>
          <w:bCs/>
          <w:szCs w:val="24"/>
        </w:rPr>
        <w:t xml:space="preserve">. </w:t>
      </w:r>
      <w:r w:rsidRPr="000C4190">
        <w:rPr>
          <w:rFonts w:ascii="Arial" w:hAnsi="Arial" w:cs="Arial"/>
          <w:szCs w:val="24"/>
        </w:rPr>
        <w:t>Bylų, kurių sutrumpintus išnagrinėjimo terminus nustato proceso bei kiti specialūs įstatymai, išnagrinėjimo termino laikymasis (pavyzdžiui: civilinės bylos dėl darbo teisinių santykių, dėl viešųjų pirkimų; baudžiamosios bylos, kuriose kaltinamieji ar nukentėjusieji yra nepilnamečiai, ikiteisminio tyrimo skundai dėl sulaikymo/suėmimo; administracinės bylos dėl užsieniečių teisinės padėties, dėl prieglobsčio, ir kt. Konkrečius bylų tipus ir kategorijas kiekvienas teismas nustato atsižvelgdamas į teismo specifiką bei teisės aktais nustatytą kompetenciją).</w:t>
      </w:r>
    </w:p>
    <w:p w14:paraId="656F5B05" w14:textId="77777777" w:rsidR="008D67EC" w:rsidRPr="000C4190" w:rsidRDefault="008D67EC" w:rsidP="008D67EC">
      <w:pPr>
        <w:jc w:val="both"/>
        <w:rPr>
          <w:rFonts w:ascii="Arial" w:hAnsi="Arial" w:cs="Arial"/>
          <w:szCs w:val="24"/>
        </w:rPr>
      </w:pPr>
    </w:p>
    <w:p w14:paraId="7C03B3F7" w14:textId="77777777" w:rsidR="008D67EC" w:rsidRPr="000C4190" w:rsidRDefault="008D67EC" w:rsidP="008D67EC">
      <w:pPr>
        <w:tabs>
          <w:tab w:val="left" w:pos="1276"/>
        </w:tabs>
        <w:ind w:firstLine="709"/>
        <w:jc w:val="both"/>
        <w:rPr>
          <w:rFonts w:ascii="Arial" w:hAnsi="Arial" w:cs="Arial"/>
          <w:b/>
          <w:szCs w:val="24"/>
        </w:rPr>
      </w:pPr>
      <w:r w:rsidRPr="000C4190">
        <w:rPr>
          <w:rFonts w:ascii="Arial" w:hAnsi="Arial" w:cs="Arial"/>
          <w:b/>
          <w:szCs w:val="24"/>
        </w:rPr>
        <w:t>2.</w:t>
      </w:r>
      <w:r w:rsidRPr="000C4190">
        <w:rPr>
          <w:rFonts w:ascii="Arial" w:hAnsi="Arial" w:cs="Arial"/>
          <w:b/>
          <w:szCs w:val="24"/>
        </w:rPr>
        <w:tab/>
        <w:t>Bylų paruošimas teisminiam nagrinėjimui, nagrinėjimo kokybė ir proceso operatyvumas</w:t>
      </w:r>
      <w:r w:rsidRPr="000C4190">
        <w:rPr>
          <w:rFonts w:ascii="Arial" w:hAnsi="Arial" w:cs="Arial"/>
          <w:szCs w:val="24"/>
        </w:rPr>
        <w:t xml:space="preserve"> </w:t>
      </w:r>
    </w:p>
    <w:p w14:paraId="351C132D"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Tikrinant, kaip laikomasi bylų paruošimo teisminiam nagrinėjimui, nagrinėjimo kokybės ir proceso operatyvumo reikalavimų, reikalinga įvertinti tokius aspektus:</w:t>
      </w:r>
    </w:p>
    <w:p w14:paraId="11187659" w14:textId="77777777" w:rsidR="008D67EC" w:rsidRDefault="008D67EC" w:rsidP="008D67EC">
      <w:pPr>
        <w:tabs>
          <w:tab w:val="left" w:pos="1276"/>
        </w:tabs>
        <w:ind w:firstLine="709"/>
        <w:jc w:val="both"/>
        <w:rPr>
          <w:rFonts w:ascii="Arial" w:hAnsi="Arial" w:cs="Arial"/>
          <w:szCs w:val="24"/>
        </w:rPr>
      </w:pPr>
      <w:r w:rsidRPr="000C4190">
        <w:rPr>
          <w:rFonts w:ascii="Arial" w:hAnsi="Arial" w:cs="Arial"/>
          <w:szCs w:val="24"/>
        </w:rPr>
        <w:t>2.1.</w:t>
      </w:r>
      <w:r w:rsidRPr="000C4190">
        <w:rPr>
          <w:rFonts w:ascii="Arial" w:hAnsi="Arial" w:cs="Arial"/>
          <w:szCs w:val="24"/>
        </w:rPr>
        <w:tab/>
        <w:t>Informavimo apie teismo posėdžius bei teismo procesinio dokumento kopijos/nuorašo išsiuntimo (įteikimo) proceso įstatymuose nustatyta tvarka laikymasis;</w:t>
      </w:r>
    </w:p>
    <w:p w14:paraId="7280F55E" w14:textId="77777777" w:rsidR="008D67EC" w:rsidRPr="00D03C05" w:rsidRDefault="008D67EC" w:rsidP="008D67EC">
      <w:pPr>
        <w:tabs>
          <w:tab w:val="left" w:pos="1276"/>
        </w:tabs>
        <w:ind w:firstLine="709"/>
        <w:jc w:val="both"/>
        <w:rPr>
          <w:rFonts w:ascii="Arial" w:hAnsi="Arial" w:cs="Arial"/>
          <w:szCs w:val="24"/>
        </w:rPr>
      </w:pPr>
      <w:bookmarkStart w:id="0" w:name="_Hlk181789364"/>
      <w:r w:rsidRPr="00D03C05">
        <w:rPr>
          <w:rFonts w:ascii="Arial" w:hAnsi="Arial" w:cs="Arial"/>
          <w:szCs w:val="24"/>
        </w:rPr>
        <w:t>2.2. Informacinių pažymų surašymo, laikantis nustatytos tvarkos ir terminų, patikrinimas</w:t>
      </w:r>
      <w:bookmarkEnd w:id="0"/>
      <w:r w:rsidRPr="00D03C05">
        <w:rPr>
          <w:rFonts w:ascii="Arial" w:hAnsi="Arial" w:cs="Arial"/>
          <w:szCs w:val="24"/>
        </w:rPr>
        <w:t>;</w:t>
      </w:r>
    </w:p>
    <w:p w14:paraId="58520A76" w14:textId="77777777" w:rsidR="008D67EC" w:rsidRPr="00D03C05" w:rsidRDefault="008D67EC" w:rsidP="008D67EC">
      <w:pPr>
        <w:tabs>
          <w:tab w:val="left" w:pos="1260"/>
        </w:tabs>
        <w:ind w:firstLine="709"/>
        <w:jc w:val="both"/>
        <w:rPr>
          <w:rFonts w:ascii="Arial" w:hAnsi="Arial" w:cs="Arial"/>
          <w:szCs w:val="24"/>
        </w:rPr>
      </w:pPr>
      <w:r w:rsidRPr="00D03C05">
        <w:rPr>
          <w:rFonts w:ascii="Arial" w:hAnsi="Arial" w:cs="Arial"/>
          <w:szCs w:val="24"/>
        </w:rPr>
        <w:t>2.3. Sustabdytų bylų eigos kontrolė;</w:t>
      </w:r>
    </w:p>
    <w:p w14:paraId="5E683FAF" w14:textId="77777777" w:rsidR="008D67EC" w:rsidRPr="00D03C05" w:rsidRDefault="008D67EC" w:rsidP="008D67EC">
      <w:pPr>
        <w:tabs>
          <w:tab w:val="left" w:pos="1260"/>
        </w:tabs>
        <w:ind w:firstLine="709"/>
        <w:jc w:val="both"/>
        <w:rPr>
          <w:rFonts w:ascii="Arial" w:hAnsi="Arial" w:cs="Arial"/>
          <w:szCs w:val="24"/>
        </w:rPr>
      </w:pPr>
      <w:r w:rsidRPr="00D03C05">
        <w:rPr>
          <w:rFonts w:ascii="Arial" w:hAnsi="Arial" w:cs="Arial"/>
          <w:szCs w:val="24"/>
        </w:rPr>
        <w:t>2.4. Bylų nagrinėjimo atidėjimo ir pertraukos paskelbimo praktikos (vilkinimo, aplaidumo) vertinimas;</w:t>
      </w:r>
    </w:p>
    <w:p w14:paraId="60600F36" w14:textId="77777777" w:rsidR="008D67EC" w:rsidRPr="00D03C05" w:rsidRDefault="008D67EC" w:rsidP="008D67EC">
      <w:pPr>
        <w:tabs>
          <w:tab w:val="left" w:pos="1260"/>
        </w:tabs>
        <w:ind w:firstLine="709"/>
        <w:jc w:val="both"/>
        <w:rPr>
          <w:rFonts w:ascii="Arial" w:hAnsi="Arial" w:cs="Arial"/>
          <w:szCs w:val="24"/>
        </w:rPr>
      </w:pPr>
      <w:r w:rsidRPr="00D03C05">
        <w:rPr>
          <w:rFonts w:ascii="Arial" w:hAnsi="Arial" w:cs="Arial"/>
          <w:szCs w:val="24"/>
        </w:rPr>
        <w:t xml:space="preserve">2.5. </w:t>
      </w:r>
      <w:bookmarkStart w:id="1" w:name="_Hlk181788187"/>
      <w:r w:rsidRPr="00D03C05">
        <w:rPr>
          <w:rFonts w:ascii="Arial" w:hAnsi="Arial" w:cs="Arial"/>
          <w:szCs w:val="24"/>
        </w:rPr>
        <w:t>Procesinių sprendimų surašymo, paskelbimo perkėlimo ar atidėjimo praktikos vertinimas</w:t>
      </w:r>
      <w:bookmarkEnd w:id="1"/>
      <w:r w:rsidRPr="00D03C05">
        <w:rPr>
          <w:rFonts w:ascii="Arial" w:hAnsi="Arial" w:cs="Arial"/>
          <w:szCs w:val="24"/>
        </w:rPr>
        <w:t>;</w:t>
      </w:r>
    </w:p>
    <w:p w14:paraId="5A3A31E9" w14:textId="6EFA40C2" w:rsidR="008D67EC" w:rsidRPr="00D03C05" w:rsidRDefault="008D67EC" w:rsidP="008D67EC">
      <w:pPr>
        <w:tabs>
          <w:tab w:val="left" w:pos="1260"/>
        </w:tabs>
        <w:ind w:firstLine="709"/>
        <w:jc w:val="both"/>
        <w:rPr>
          <w:rFonts w:ascii="Arial" w:hAnsi="Arial" w:cs="Arial"/>
          <w:szCs w:val="24"/>
        </w:rPr>
      </w:pPr>
      <w:r w:rsidRPr="00D03C05">
        <w:rPr>
          <w:rFonts w:ascii="Arial" w:hAnsi="Arial" w:cs="Arial"/>
          <w:szCs w:val="24"/>
        </w:rPr>
        <w:t>2.</w:t>
      </w:r>
      <w:r w:rsidR="009D4A1F">
        <w:rPr>
          <w:rFonts w:ascii="Arial" w:hAnsi="Arial" w:cs="Arial"/>
          <w:szCs w:val="24"/>
        </w:rPr>
        <w:t>6</w:t>
      </w:r>
      <w:r w:rsidRPr="00D03C05">
        <w:rPr>
          <w:rFonts w:ascii="Arial" w:hAnsi="Arial" w:cs="Arial"/>
          <w:szCs w:val="24"/>
        </w:rPr>
        <w:t xml:space="preserve">. </w:t>
      </w:r>
      <w:bookmarkStart w:id="2" w:name="_Hlk181787881"/>
      <w:r w:rsidRPr="00D03C05">
        <w:rPr>
          <w:rFonts w:ascii="Arial" w:hAnsi="Arial" w:cs="Arial"/>
          <w:szCs w:val="24"/>
        </w:rPr>
        <w:t>Baudžiamųjų bylų pripažinimo pirmo lygio greičiau nagrinėtinomis bylomis praktikos vertinimas</w:t>
      </w:r>
      <w:bookmarkEnd w:id="2"/>
      <w:r w:rsidRPr="00D03C05">
        <w:rPr>
          <w:rFonts w:ascii="Arial" w:hAnsi="Arial" w:cs="Arial"/>
          <w:szCs w:val="24"/>
        </w:rPr>
        <w:t>.</w:t>
      </w:r>
    </w:p>
    <w:p w14:paraId="05998ECA" w14:textId="77777777" w:rsidR="008D67EC" w:rsidRPr="000C4190" w:rsidRDefault="008D67EC" w:rsidP="008D67EC">
      <w:pPr>
        <w:tabs>
          <w:tab w:val="left" w:pos="1276"/>
        </w:tabs>
        <w:jc w:val="both"/>
        <w:rPr>
          <w:rFonts w:ascii="Arial" w:hAnsi="Arial" w:cs="Arial"/>
          <w:szCs w:val="24"/>
        </w:rPr>
      </w:pPr>
    </w:p>
    <w:p w14:paraId="6F07985F" w14:textId="77777777" w:rsidR="008D67EC" w:rsidRPr="000C4190" w:rsidRDefault="008D67EC" w:rsidP="008D67EC">
      <w:pPr>
        <w:tabs>
          <w:tab w:val="left" w:pos="1276"/>
        </w:tabs>
        <w:ind w:firstLine="709"/>
        <w:jc w:val="both"/>
        <w:rPr>
          <w:rFonts w:ascii="Arial" w:hAnsi="Arial" w:cs="Arial"/>
          <w:b/>
          <w:szCs w:val="24"/>
        </w:rPr>
      </w:pPr>
      <w:r w:rsidRPr="000C4190">
        <w:rPr>
          <w:rFonts w:ascii="Arial" w:hAnsi="Arial" w:cs="Arial"/>
          <w:b/>
          <w:szCs w:val="24"/>
        </w:rPr>
        <w:t>3.</w:t>
      </w:r>
      <w:r w:rsidRPr="000C4190">
        <w:rPr>
          <w:rFonts w:ascii="Arial" w:hAnsi="Arial" w:cs="Arial"/>
          <w:b/>
          <w:szCs w:val="24"/>
        </w:rPr>
        <w:tab/>
        <w:t xml:space="preserve">Bylų nagrinėjimo organizavimas </w:t>
      </w:r>
    </w:p>
    <w:p w14:paraId="116D6F2C"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Vertinant, ar bylų nagrinėjimo proceso valdymas teisme yra organizuojamas tinkamai, reikalinga atkreipti dėmesį į tokius aspektus:</w:t>
      </w:r>
    </w:p>
    <w:p w14:paraId="2E4EABCC"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3.1. Bylų paskirstymo tvarkos įvertinimas (ar nustatyta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14:paraId="1B218F86" w14:textId="77777777" w:rsidR="008D67EC" w:rsidRDefault="008D67EC" w:rsidP="008D67EC">
      <w:pPr>
        <w:tabs>
          <w:tab w:val="left" w:pos="1276"/>
        </w:tabs>
        <w:ind w:firstLine="709"/>
        <w:jc w:val="both"/>
        <w:rPr>
          <w:rFonts w:ascii="Arial" w:hAnsi="Arial" w:cs="Arial"/>
          <w:szCs w:val="24"/>
        </w:rPr>
      </w:pPr>
      <w:r w:rsidRPr="000C4190">
        <w:rPr>
          <w:rFonts w:ascii="Arial" w:hAnsi="Arial" w:cs="Arial"/>
          <w:szCs w:val="24"/>
        </w:rPr>
        <w:t xml:space="preserve">3.2. </w:t>
      </w:r>
      <w:r w:rsidRPr="000C4190">
        <w:rPr>
          <w:rFonts w:ascii="Arial" w:hAnsi="Arial" w:cs="Arial"/>
          <w:bCs/>
          <w:szCs w:val="24"/>
        </w:rPr>
        <w:t xml:space="preserve">Bylų paskirstymo tvarkos laikymasis (ar bylas išnagrinėja tie teisėjai, kurie buvo paskirti naudojantis LITEKO bylų skirstymo moduliu, bylų paskyrimo rankiniu būdu priežastys, termino nuo bylos gavimo teisme iki teisėjo paskyrimo įvertinimas, teisėjo panaikinimo (pašalinimo) iš bylos kortelės, požymio „Privalo nagrinėti“, priežasties „Dėl </w:t>
      </w:r>
      <w:r w:rsidRPr="000C4190">
        <w:rPr>
          <w:rFonts w:ascii="Arial" w:hAnsi="Arial" w:cs="Arial"/>
          <w:bCs/>
          <w:szCs w:val="24"/>
        </w:rPr>
        <w:lastRenderedPageBreak/>
        <w:t>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Pr="000C4190">
        <w:rPr>
          <w:rFonts w:ascii="Arial" w:hAnsi="Arial" w:cs="Arial"/>
          <w:szCs w:val="24"/>
        </w:rPr>
        <w:t xml:space="preserve"> </w:t>
      </w:r>
    </w:p>
    <w:p w14:paraId="718BB60F" w14:textId="77777777" w:rsidR="008D67EC" w:rsidRPr="00D03C05" w:rsidRDefault="008D67EC" w:rsidP="008D67EC">
      <w:pPr>
        <w:tabs>
          <w:tab w:val="left" w:pos="1276"/>
        </w:tabs>
        <w:ind w:firstLine="709"/>
        <w:jc w:val="both"/>
        <w:rPr>
          <w:rFonts w:ascii="Arial" w:hAnsi="Arial" w:cs="Arial"/>
          <w:szCs w:val="24"/>
        </w:rPr>
      </w:pPr>
      <w:r w:rsidRPr="00D03C05">
        <w:rPr>
          <w:rFonts w:ascii="Arial" w:hAnsi="Arial" w:cs="Arial"/>
          <w:szCs w:val="24"/>
        </w:rPr>
        <w:t xml:space="preserve">3.3. </w:t>
      </w:r>
      <w:bookmarkStart w:id="3" w:name="_Hlk181787595"/>
      <w:r w:rsidRPr="00D03C05">
        <w:rPr>
          <w:rFonts w:ascii="Arial" w:hAnsi="Arial" w:cs="Arial"/>
          <w:szCs w:val="24"/>
        </w:rPr>
        <w:t>Teisėjų specializacijos nustatymo tvarkos ir jos laikymosi skiriant teisėjus į specializacijas įvertinimas</w:t>
      </w:r>
      <w:bookmarkEnd w:id="3"/>
      <w:r w:rsidRPr="00D03C05">
        <w:rPr>
          <w:rFonts w:ascii="Arial" w:hAnsi="Arial" w:cs="Arial"/>
          <w:szCs w:val="24"/>
        </w:rPr>
        <w:t>;</w:t>
      </w:r>
    </w:p>
    <w:p w14:paraId="17D44800" w14:textId="77777777" w:rsidR="008D67EC" w:rsidRPr="00D03C05" w:rsidRDefault="008D67EC" w:rsidP="008D67EC">
      <w:pPr>
        <w:tabs>
          <w:tab w:val="left" w:pos="1276"/>
        </w:tabs>
        <w:ind w:firstLine="720"/>
        <w:jc w:val="both"/>
        <w:rPr>
          <w:rFonts w:ascii="Arial" w:hAnsi="Arial" w:cs="Arial"/>
          <w:szCs w:val="24"/>
        </w:rPr>
      </w:pPr>
      <w:r w:rsidRPr="000C4190">
        <w:rPr>
          <w:rFonts w:ascii="Arial" w:hAnsi="Arial" w:cs="Arial"/>
          <w:szCs w:val="24"/>
        </w:rPr>
        <w:t>3.</w:t>
      </w:r>
      <w:r w:rsidRPr="00D03C05">
        <w:rPr>
          <w:rFonts w:ascii="Arial" w:hAnsi="Arial" w:cs="Arial"/>
          <w:szCs w:val="24"/>
        </w:rPr>
        <w:t>4. Ankstesniuose patikrinimo aktuose nustatytų teismo veiklos, organizuojant bylų nagrinėjimą, trūkumų šalinimas;</w:t>
      </w:r>
    </w:p>
    <w:p w14:paraId="45DAE6DD" w14:textId="77777777" w:rsidR="008D67EC" w:rsidRPr="000C4190" w:rsidRDefault="008D67EC" w:rsidP="008D67EC">
      <w:pPr>
        <w:tabs>
          <w:tab w:val="left" w:pos="1276"/>
        </w:tabs>
        <w:ind w:firstLine="709"/>
        <w:jc w:val="both"/>
        <w:rPr>
          <w:rFonts w:ascii="Arial" w:hAnsi="Arial" w:cs="Arial"/>
          <w:szCs w:val="24"/>
        </w:rPr>
      </w:pPr>
      <w:r w:rsidRPr="00D03C05">
        <w:rPr>
          <w:rFonts w:ascii="Arial" w:hAnsi="Arial" w:cs="Arial"/>
          <w:szCs w:val="24"/>
        </w:rPr>
        <w:t>3.5.</w:t>
      </w:r>
      <w:r w:rsidRPr="000C4190">
        <w:rPr>
          <w:rFonts w:ascii="Arial" w:hAnsi="Arial" w:cs="Arial"/>
          <w:szCs w:val="24"/>
        </w:rPr>
        <w:t xml:space="preserve"> Tinkamos teismo posėdžių vedimo kultūros, nešališkumo, oficialios kalbos, pagarbos proceso dalyviams ir kitų Teisėjų etikos kodekso reikalavimų laikymosi analizė bei aptarimas.</w:t>
      </w:r>
    </w:p>
    <w:p w14:paraId="79D79555" w14:textId="77777777" w:rsidR="008D67EC" w:rsidRPr="000C4190" w:rsidRDefault="008D67EC" w:rsidP="008D67EC">
      <w:pPr>
        <w:tabs>
          <w:tab w:val="left" w:pos="1276"/>
        </w:tabs>
        <w:jc w:val="both"/>
        <w:rPr>
          <w:rFonts w:ascii="Arial" w:hAnsi="Arial" w:cs="Arial"/>
          <w:b/>
          <w:szCs w:val="24"/>
        </w:rPr>
      </w:pPr>
    </w:p>
    <w:p w14:paraId="5E88D10B" w14:textId="77777777" w:rsidR="008D67EC" w:rsidRPr="000C4190" w:rsidRDefault="008D67EC" w:rsidP="008D67EC">
      <w:pPr>
        <w:tabs>
          <w:tab w:val="left" w:pos="1276"/>
        </w:tabs>
        <w:ind w:firstLine="709"/>
        <w:jc w:val="both"/>
        <w:rPr>
          <w:rFonts w:ascii="Arial" w:hAnsi="Arial" w:cs="Arial"/>
          <w:b/>
          <w:szCs w:val="24"/>
        </w:rPr>
      </w:pPr>
      <w:r w:rsidRPr="000C4190">
        <w:rPr>
          <w:rFonts w:ascii="Arial" w:hAnsi="Arial" w:cs="Arial"/>
          <w:b/>
          <w:szCs w:val="24"/>
        </w:rPr>
        <w:t>4.</w:t>
      </w:r>
      <w:r w:rsidRPr="000C4190">
        <w:rPr>
          <w:rFonts w:ascii="Arial" w:hAnsi="Arial" w:cs="Arial"/>
          <w:b/>
          <w:szCs w:val="24"/>
        </w:rPr>
        <w:tab/>
        <w:t>Darbas su Lietuvos teismų informacine sistema LITEKO</w:t>
      </w:r>
    </w:p>
    <w:p w14:paraId="41C873E1"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Tikrinant, kaip laikomasi darbo su LITEKO sistema reikalavimų, reikalinga įvertinti tokius aspektus:</w:t>
      </w:r>
    </w:p>
    <w:p w14:paraId="42125342"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4.1. Duomenų į LITEKO sistemą suvedimas, laikantis nustatytos tvarkos ir terminų, įskaitant neviešų duomenų tvarkymo LITEKO įvertinimą;</w:t>
      </w:r>
    </w:p>
    <w:p w14:paraId="5410E09E"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 xml:space="preserve">4.2. Bylų ir procesinių sprendimų kategorijų klasifikatorių LITEKO sistemoje pildymo tinkamumas; </w:t>
      </w:r>
    </w:p>
    <w:p w14:paraId="2685FED7"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4.3. Žyminio mokesčio apskaitos taisyklių laikymasis dirbant LITEKO, įskaitant tų c</w:t>
      </w:r>
      <w:r w:rsidRPr="000C4190">
        <w:rPr>
          <w:rFonts w:ascii="Arial" w:hAnsi="Arial" w:cs="Arial"/>
          <w:bCs/>
          <w:szCs w:val="24"/>
        </w:rPr>
        <w:t>ivilinių ir administracinių bylų,</w:t>
      </w:r>
      <w:r w:rsidRPr="000C4190">
        <w:rPr>
          <w:rFonts w:ascii="Arial" w:hAnsi="Arial" w:cs="Arial"/>
          <w:b/>
          <w:szCs w:val="24"/>
        </w:rPr>
        <w:t xml:space="preserve"> </w:t>
      </w:r>
      <w:r w:rsidRPr="000C4190">
        <w:rPr>
          <w:rFonts w:ascii="Arial" w:hAnsi="Arial" w:cs="Arial"/>
          <w:szCs w:val="24"/>
        </w:rPr>
        <w:t>kuriose neatliktas žyminio mokesčio sudengimas ir neįvesta priežastis, kad nuo žyminio mokesčio sumokėjimo šalis atleista ar mokėjimas atidėtas, patikrinimą;</w:t>
      </w:r>
    </w:p>
    <w:p w14:paraId="7D8E5817" w14:textId="77777777" w:rsidR="008D67EC" w:rsidRPr="00D03C05" w:rsidRDefault="008D67EC" w:rsidP="008D67EC">
      <w:pPr>
        <w:tabs>
          <w:tab w:val="left" w:pos="1276"/>
        </w:tabs>
        <w:ind w:firstLine="709"/>
        <w:jc w:val="both"/>
        <w:rPr>
          <w:rFonts w:ascii="Arial" w:hAnsi="Arial" w:cs="Arial"/>
          <w:szCs w:val="24"/>
          <w:lang w:eastAsia="lt-LT" w:bidi="lt-LT"/>
        </w:rPr>
      </w:pPr>
      <w:r w:rsidRPr="000C4190">
        <w:rPr>
          <w:rFonts w:ascii="Arial" w:hAnsi="Arial" w:cs="Arial"/>
          <w:szCs w:val="24"/>
        </w:rPr>
        <w:t xml:space="preserve">4.4. Atskirų tipų bei konkrečių </w:t>
      </w:r>
      <w:r w:rsidRPr="000C4190">
        <w:rPr>
          <w:rFonts w:ascii="Arial" w:hAnsi="Arial" w:cs="Arial"/>
          <w:bCs/>
          <w:szCs w:val="24"/>
        </w:rPr>
        <w:t>kategorijų bylų registravimo praktikos įvertinimas</w:t>
      </w:r>
      <w:r w:rsidRPr="000C4190">
        <w:rPr>
          <w:rFonts w:ascii="Arial" w:hAnsi="Arial" w:cs="Arial"/>
          <w:b/>
          <w:szCs w:val="24"/>
        </w:rPr>
        <w:t xml:space="preserve"> (</w:t>
      </w:r>
      <w:r w:rsidRPr="000C4190">
        <w:rPr>
          <w:rFonts w:ascii="Arial" w:hAnsi="Arial" w:cs="Arial"/>
          <w:szCs w:val="24"/>
          <w:lang w:eastAsia="lt-LT" w:bidi="lt-LT"/>
        </w:rPr>
        <w:t>bylų atitikties bylų numerių šablonams patikrinimas</w:t>
      </w:r>
      <w:r w:rsidRPr="00D03C05">
        <w:rPr>
          <w:rFonts w:ascii="Arial" w:hAnsi="Arial" w:cs="Arial"/>
          <w:szCs w:val="24"/>
          <w:lang w:eastAsia="lt-LT" w:bidi="lt-LT"/>
        </w:rPr>
        <w:t>);</w:t>
      </w:r>
    </w:p>
    <w:p w14:paraId="58D67053" w14:textId="77777777" w:rsidR="008D67EC" w:rsidRPr="00D03C05" w:rsidRDefault="008D67EC" w:rsidP="008D67EC">
      <w:pPr>
        <w:tabs>
          <w:tab w:val="left" w:pos="1276"/>
        </w:tabs>
        <w:ind w:firstLine="709"/>
        <w:jc w:val="both"/>
        <w:rPr>
          <w:rFonts w:ascii="Arial" w:hAnsi="Arial" w:cs="Arial"/>
          <w:szCs w:val="24"/>
          <w:lang w:bidi="lt-LT"/>
        </w:rPr>
      </w:pPr>
      <w:r w:rsidRPr="00D03C05">
        <w:rPr>
          <w:rFonts w:ascii="Arial" w:hAnsi="Arial" w:cs="Arial"/>
          <w:szCs w:val="24"/>
          <w:lang w:bidi="lt-LT"/>
        </w:rPr>
        <w:t>4.5. Viešai skelbtinų procesinių dokumentų versijų parengimo ir įkėlimo į LITEKO terminų laikymasis.</w:t>
      </w:r>
    </w:p>
    <w:p w14:paraId="35A017AA" w14:textId="77777777" w:rsidR="008D67EC" w:rsidRPr="000C4190" w:rsidRDefault="008D67EC" w:rsidP="008D67EC">
      <w:pPr>
        <w:tabs>
          <w:tab w:val="left" w:pos="1276"/>
        </w:tabs>
        <w:jc w:val="both"/>
        <w:rPr>
          <w:rFonts w:ascii="Arial" w:hAnsi="Arial" w:cs="Arial"/>
          <w:b/>
          <w:szCs w:val="24"/>
        </w:rPr>
      </w:pPr>
    </w:p>
    <w:p w14:paraId="59B8A3BB" w14:textId="77777777" w:rsidR="008D67EC" w:rsidRPr="000C4190" w:rsidRDefault="008D67EC" w:rsidP="008D67EC">
      <w:pPr>
        <w:tabs>
          <w:tab w:val="left" w:pos="1276"/>
        </w:tabs>
        <w:ind w:firstLine="709"/>
        <w:jc w:val="both"/>
        <w:rPr>
          <w:rFonts w:ascii="Arial" w:hAnsi="Arial" w:cs="Arial"/>
          <w:b/>
          <w:szCs w:val="24"/>
        </w:rPr>
      </w:pPr>
      <w:r w:rsidRPr="000C4190">
        <w:rPr>
          <w:rFonts w:ascii="Arial" w:hAnsi="Arial" w:cs="Arial"/>
          <w:b/>
          <w:szCs w:val="24"/>
        </w:rPr>
        <w:t>5.</w:t>
      </w:r>
      <w:r w:rsidRPr="000C4190">
        <w:rPr>
          <w:rFonts w:ascii="Arial" w:hAnsi="Arial" w:cs="Arial"/>
          <w:b/>
          <w:szCs w:val="24"/>
        </w:rPr>
        <w:tab/>
        <w:t>Kitas teismo veiklos organizavimas</w:t>
      </w:r>
    </w:p>
    <w:p w14:paraId="1B6E2802"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Tikrinant teismo vidinį ir išorinį administravimą, reikalinga įvertinti ir tokius aspektus:</w:t>
      </w:r>
    </w:p>
    <w:p w14:paraId="6C019DDB"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5.1.</w:t>
      </w:r>
      <w:r w:rsidRPr="000C4190">
        <w:rPr>
          <w:rFonts w:ascii="Arial" w:hAnsi="Arial" w:cs="Arial"/>
          <w:szCs w:val="24"/>
        </w:rPr>
        <w:tab/>
        <w:t>Teismo, teismo rūmų, teisėjų darbo krūvių analizė, siekiant laiku sureguliuoti tolygų krūvio pasiskirstymą tarp teismo rūmų ir mažinti jo netolygumą;</w:t>
      </w:r>
    </w:p>
    <w:p w14:paraId="1511BF31"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5.2.</w:t>
      </w:r>
      <w:r w:rsidRPr="000C4190">
        <w:rPr>
          <w:rFonts w:ascii="Arial" w:hAnsi="Arial" w:cs="Arial"/>
          <w:szCs w:val="24"/>
        </w:rPr>
        <w:tab/>
        <w:t>Bylų srautų pokyčių teisme vertinimas ir reagavimas peržiūrint teismo teisėjų bei personalo darbo organizavimą;</w:t>
      </w:r>
    </w:p>
    <w:p w14:paraId="64E06C2D" w14:textId="77777777" w:rsidR="008D67EC" w:rsidRPr="000C4190" w:rsidRDefault="008D67EC" w:rsidP="008D67EC">
      <w:pPr>
        <w:tabs>
          <w:tab w:val="left" w:pos="1276"/>
        </w:tabs>
        <w:ind w:firstLine="709"/>
        <w:jc w:val="both"/>
        <w:rPr>
          <w:rFonts w:ascii="Arial" w:hAnsi="Arial" w:cs="Arial"/>
          <w:szCs w:val="24"/>
        </w:rPr>
      </w:pPr>
      <w:r w:rsidRPr="000C4190">
        <w:rPr>
          <w:rFonts w:ascii="Arial" w:hAnsi="Arial" w:cs="Arial"/>
          <w:szCs w:val="24"/>
        </w:rPr>
        <w:t>5.3.</w:t>
      </w:r>
      <w:r w:rsidRPr="000C4190">
        <w:rPr>
          <w:rFonts w:ascii="Arial" w:hAnsi="Arial" w:cs="Arial"/>
          <w:szCs w:val="24"/>
        </w:rPr>
        <w:tab/>
        <w:t>Teismo darbuotojų naudojamų procesinių ir kitų dokumentų siuntimo būdų (paštu, per e-pristatymą, per LITEKO) efektyvumo vertinimas, be kita ko, siekiant nustatyti, ar ekonomiškai naudojamos teismo lėšos;</w:t>
      </w:r>
    </w:p>
    <w:p w14:paraId="55BAF8AE" w14:textId="44DC31DB" w:rsidR="008D67EC" w:rsidRPr="00D03C05" w:rsidRDefault="008D67EC" w:rsidP="000146B4">
      <w:pPr>
        <w:tabs>
          <w:tab w:val="left" w:pos="1276"/>
        </w:tabs>
        <w:ind w:firstLine="709"/>
        <w:jc w:val="both"/>
        <w:rPr>
          <w:rFonts w:ascii="Arial" w:hAnsi="Arial" w:cs="Arial"/>
          <w:szCs w:val="24"/>
        </w:rPr>
      </w:pPr>
      <w:r w:rsidRPr="00D03C05">
        <w:rPr>
          <w:rFonts w:ascii="Arial" w:hAnsi="Arial" w:cs="Arial"/>
          <w:szCs w:val="24"/>
        </w:rPr>
        <w:t xml:space="preserve">5.4. </w:t>
      </w:r>
      <w:bookmarkStart w:id="4" w:name="_Hlk181787283"/>
      <w:r w:rsidRPr="00D03C05">
        <w:rPr>
          <w:rFonts w:ascii="Arial" w:hAnsi="Arial" w:cs="Arial"/>
          <w:szCs w:val="24"/>
        </w:rPr>
        <w:t>Teisėjų ir kitų teismo darbuotojų, kuriems pagal Viešųjų ir privačių interesų derinimo įstatymą privaloma deklaruoti privačius interesus, viešųjų ir privačių interesų deklaracijų pateikimo patikrinimas</w:t>
      </w:r>
      <w:bookmarkEnd w:id="4"/>
      <w:r w:rsidRPr="00D03C05">
        <w:rPr>
          <w:rFonts w:ascii="Arial" w:hAnsi="Arial" w:cs="Arial"/>
          <w:szCs w:val="24"/>
        </w:rPr>
        <w:t>.</w:t>
      </w:r>
    </w:p>
    <w:p w14:paraId="00E31550" w14:textId="77777777" w:rsidR="008D67EC" w:rsidRPr="000C4190" w:rsidRDefault="008D67EC" w:rsidP="008D67EC">
      <w:pPr>
        <w:tabs>
          <w:tab w:val="left" w:pos="1276"/>
        </w:tabs>
        <w:jc w:val="center"/>
        <w:rPr>
          <w:rFonts w:ascii="Arial" w:hAnsi="Arial" w:cs="Arial"/>
          <w:szCs w:val="24"/>
        </w:rPr>
      </w:pPr>
      <w:r w:rsidRPr="000C4190">
        <w:rPr>
          <w:rFonts w:ascii="Arial" w:hAnsi="Arial" w:cs="Arial"/>
          <w:szCs w:val="24"/>
        </w:rPr>
        <w:t>_______________</w:t>
      </w:r>
    </w:p>
    <w:p w14:paraId="0944706C" w14:textId="3F68D10B" w:rsidR="0050583D" w:rsidRPr="00F363E1" w:rsidRDefault="0050583D" w:rsidP="00C813ED">
      <w:pPr>
        <w:tabs>
          <w:tab w:val="left" w:pos="1276"/>
        </w:tabs>
        <w:jc w:val="center"/>
        <w:rPr>
          <w:rFonts w:ascii="Arial" w:hAnsi="Arial" w:cs="Arial"/>
          <w:szCs w:val="24"/>
        </w:rPr>
      </w:pPr>
    </w:p>
    <w:sectPr w:rsidR="0050583D" w:rsidRPr="00F363E1" w:rsidSect="00C813ED">
      <w:pgSz w:w="11906" w:h="16838"/>
      <w:pgMar w:top="1134" w:right="567" w:bottom="1134" w:left="1701" w:header="283"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56AC6" w14:textId="77777777" w:rsidR="004375B9" w:rsidRDefault="004375B9">
      <w:r>
        <w:separator/>
      </w:r>
    </w:p>
  </w:endnote>
  <w:endnote w:type="continuationSeparator" w:id="0">
    <w:p w14:paraId="30C50BA0" w14:textId="77777777" w:rsidR="004375B9" w:rsidRDefault="0043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02BB" w14:textId="77777777" w:rsidR="004375B9" w:rsidRDefault="004375B9">
      <w:r>
        <w:separator/>
      </w:r>
    </w:p>
  </w:footnote>
  <w:footnote w:type="continuationSeparator" w:id="0">
    <w:p w14:paraId="325ABC81" w14:textId="77777777" w:rsidR="004375B9" w:rsidRDefault="0043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7F74" w14:textId="59D10AAE" w:rsidR="00C813ED" w:rsidRPr="004E0A05" w:rsidRDefault="00C813ED" w:rsidP="004E0A05">
    <w:pPr>
      <w:pStyle w:val="Antrats"/>
      <w:jc w:val="right"/>
      <w:rPr>
        <w:b/>
        <w:bCs/>
      </w:rPr>
    </w:pPr>
  </w:p>
  <w:p w14:paraId="40D44090" w14:textId="7B2FF5B3" w:rsidR="00C813ED" w:rsidRPr="004E0A05" w:rsidRDefault="00063967" w:rsidP="004E0A05">
    <w:pPr>
      <w:pStyle w:val="Antrats"/>
      <w:tabs>
        <w:tab w:val="clear" w:pos="4819"/>
        <w:tab w:val="clear" w:pos="9638"/>
        <w:tab w:val="left" w:pos="8140"/>
      </w:tabs>
      <w:jc w:val="right"/>
      <w:rPr>
        <w:b/>
        <w:bCs/>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7E"/>
    <w:rsid w:val="000146B4"/>
    <w:rsid w:val="00063967"/>
    <w:rsid w:val="000810B9"/>
    <w:rsid w:val="00082D2F"/>
    <w:rsid w:val="000B658F"/>
    <w:rsid w:val="000C50BD"/>
    <w:rsid w:val="001235D3"/>
    <w:rsid w:val="0014051A"/>
    <w:rsid w:val="00167F3F"/>
    <w:rsid w:val="002B5444"/>
    <w:rsid w:val="002D60FE"/>
    <w:rsid w:val="00352C02"/>
    <w:rsid w:val="00352C6F"/>
    <w:rsid w:val="00374D55"/>
    <w:rsid w:val="00377FD9"/>
    <w:rsid w:val="003B137E"/>
    <w:rsid w:val="003F16F7"/>
    <w:rsid w:val="00412306"/>
    <w:rsid w:val="004336D4"/>
    <w:rsid w:val="004375B9"/>
    <w:rsid w:val="004466D1"/>
    <w:rsid w:val="00494742"/>
    <w:rsid w:val="004E0A05"/>
    <w:rsid w:val="0050583D"/>
    <w:rsid w:val="00585DCD"/>
    <w:rsid w:val="00597DE1"/>
    <w:rsid w:val="005A0B27"/>
    <w:rsid w:val="005A7838"/>
    <w:rsid w:val="00612C71"/>
    <w:rsid w:val="00623EAF"/>
    <w:rsid w:val="006B1E41"/>
    <w:rsid w:val="00837411"/>
    <w:rsid w:val="0089032C"/>
    <w:rsid w:val="008D67EC"/>
    <w:rsid w:val="009571FA"/>
    <w:rsid w:val="009D0A2F"/>
    <w:rsid w:val="009D4A1F"/>
    <w:rsid w:val="009E5B4C"/>
    <w:rsid w:val="00A52268"/>
    <w:rsid w:val="00AA0288"/>
    <w:rsid w:val="00AB2729"/>
    <w:rsid w:val="00AB3702"/>
    <w:rsid w:val="00AE35EE"/>
    <w:rsid w:val="00AF0F00"/>
    <w:rsid w:val="00B17904"/>
    <w:rsid w:val="00B2024B"/>
    <w:rsid w:val="00B35DB1"/>
    <w:rsid w:val="00B73C52"/>
    <w:rsid w:val="00B913D0"/>
    <w:rsid w:val="00BD16DF"/>
    <w:rsid w:val="00C813ED"/>
    <w:rsid w:val="00CA2344"/>
    <w:rsid w:val="00CB2D51"/>
    <w:rsid w:val="00CD23C9"/>
    <w:rsid w:val="00D1051A"/>
    <w:rsid w:val="00D7276D"/>
    <w:rsid w:val="00DA59C9"/>
    <w:rsid w:val="00DA66DE"/>
    <w:rsid w:val="00E539F7"/>
    <w:rsid w:val="00E63392"/>
    <w:rsid w:val="00E95331"/>
    <w:rsid w:val="00EB44FC"/>
    <w:rsid w:val="00EB50B5"/>
    <w:rsid w:val="00EB7AEB"/>
    <w:rsid w:val="00F363E1"/>
    <w:rsid w:val="00F437CA"/>
    <w:rsid w:val="00F87DA7"/>
    <w:rsid w:val="00FE78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31F1"/>
  <w15:chartTrackingRefBased/>
  <w15:docId w15:val="{C32ED4C7-6214-4BE2-A9FE-601A9839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13ED"/>
    <w:rPr>
      <w:color w:val="808080"/>
    </w:rPr>
  </w:style>
  <w:style w:type="paragraph" w:styleId="Antrats">
    <w:name w:val="header"/>
    <w:basedOn w:val="prastasis"/>
    <w:link w:val="AntratsDiagrama"/>
    <w:uiPriority w:val="99"/>
    <w:unhideWhenUsed/>
    <w:rsid w:val="00C813ED"/>
    <w:pPr>
      <w:tabs>
        <w:tab w:val="center" w:pos="4819"/>
        <w:tab w:val="right" w:pos="9638"/>
      </w:tabs>
    </w:pPr>
  </w:style>
  <w:style w:type="character" w:customStyle="1" w:styleId="AntratsDiagrama">
    <w:name w:val="Antraštės Diagrama"/>
    <w:basedOn w:val="Numatytasispastraiposriftas"/>
    <w:link w:val="Antrats"/>
    <w:uiPriority w:val="99"/>
    <w:rsid w:val="00C813ED"/>
  </w:style>
  <w:style w:type="paragraph" w:styleId="Porat">
    <w:name w:val="footer"/>
    <w:basedOn w:val="prastasis"/>
    <w:link w:val="PoratDiagrama"/>
    <w:unhideWhenUsed/>
    <w:rsid w:val="00C813ED"/>
    <w:pPr>
      <w:tabs>
        <w:tab w:val="center" w:pos="4819"/>
        <w:tab w:val="right" w:pos="9638"/>
      </w:tabs>
    </w:pPr>
  </w:style>
  <w:style w:type="character" w:customStyle="1" w:styleId="PoratDiagrama">
    <w:name w:val="Poraštė Diagrama"/>
    <w:basedOn w:val="Numatytasispastraiposriftas"/>
    <w:link w:val="Porat"/>
    <w:rsid w:val="00C813ED"/>
  </w:style>
  <w:style w:type="character" w:styleId="Komentaronuoroda">
    <w:name w:val="annotation reference"/>
    <w:basedOn w:val="Numatytasispastraiposriftas"/>
    <w:semiHidden/>
    <w:unhideWhenUsed/>
    <w:rsid w:val="00DA66DE"/>
    <w:rPr>
      <w:sz w:val="16"/>
      <w:szCs w:val="16"/>
    </w:rPr>
  </w:style>
  <w:style w:type="paragraph" w:styleId="Komentarotekstas">
    <w:name w:val="annotation text"/>
    <w:basedOn w:val="prastasis"/>
    <w:link w:val="KomentarotekstasDiagrama"/>
    <w:unhideWhenUsed/>
    <w:rsid w:val="00DA66DE"/>
    <w:rPr>
      <w:sz w:val="20"/>
    </w:rPr>
  </w:style>
  <w:style w:type="character" w:customStyle="1" w:styleId="KomentarotekstasDiagrama">
    <w:name w:val="Komentaro tekstas Diagrama"/>
    <w:basedOn w:val="Numatytasispastraiposriftas"/>
    <w:link w:val="Komentarotekstas"/>
    <w:rsid w:val="00DA66DE"/>
    <w:rPr>
      <w:sz w:val="20"/>
    </w:rPr>
  </w:style>
  <w:style w:type="paragraph" w:styleId="Komentarotema">
    <w:name w:val="annotation subject"/>
    <w:basedOn w:val="Komentarotekstas"/>
    <w:next w:val="Komentarotekstas"/>
    <w:link w:val="KomentarotemaDiagrama"/>
    <w:semiHidden/>
    <w:unhideWhenUsed/>
    <w:rsid w:val="00DA66DE"/>
    <w:rPr>
      <w:b/>
      <w:bCs/>
    </w:rPr>
  </w:style>
  <w:style w:type="character" w:customStyle="1" w:styleId="KomentarotemaDiagrama">
    <w:name w:val="Komentaro tema Diagrama"/>
    <w:basedOn w:val="KomentarotekstasDiagrama"/>
    <w:link w:val="Komentarotema"/>
    <w:semiHidden/>
    <w:rsid w:val="00DA66DE"/>
    <w:rPr>
      <w:b/>
      <w:bCs/>
      <w:sz w:val="20"/>
    </w:rPr>
  </w:style>
  <w:style w:type="paragraph" w:styleId="Pataisymai">
    <w:name w:val="Revision"/>
    <w:hidden/>
    <w:semiHidden/>
    <w:rsid w:val="001235D3"/>
  </w:style>
  <w:style w:type="paragraph" w:customStyle="1" w:styleId="Tekstas">
    <w:name w:val="Tekstas"/>
    <w:basedOn w:val="prastasis"/>
    <w:uiPriority w:val="99"/>
    <w:qFormat/>
    <w:rsid w:val="00B2024B"/>
    <w:pPr>
      <w:spacing w:before="40" w:after="40"/>
      <w:ind w:right="40" w:firstLine="1247"/>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587">
      <w:bodyDiv w:val="1"/>
      <w:marLeft w:val="0"/>
      <w:marRight w:val="0"/>
      <w:marTop w:val="0"/>
      <w:marBottom w:val="0"/>
      <w:divBdr>
        <w:top w:val="none" w:sz="0" w:space="0" w:color="auto"/>
        <w:left w:val="none" w:sz="0" w:space="0" w:color="auto"/>
        <w:bottom w:val="none" w:sz="0" w:space="0" w:color="auto"/>
        <w:right w:val="none" w:sz="0" w:space="0" w:color="auto"/>
      </w:divBdr>
    </w:div>
    <w:div w:id="2953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EF78-4669-46CA-97A9-9F9C0C3C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5632</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 Raugalaite</dc:creator>
  <cp:lastModifiedBy>Alina Dokutovičienė</cp:lastModifiedBy>
  <cp:revision>4</cp:revision>
  <cp:lastPrinted>2020-12-18T06:26:00Z</cp:lastPrinted>
  <dcterms:created xsi:type="dcterms:W3CDTF">2024-11-28T08:14:00Z</dcterms:created>
  <dcterms:modified xsi:type="dcterms:W3CDTF">2024-11-29T12:29:00Z</dcterms:modified>
</cp:coreProperties>
</file>