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EC49" w14:textId="2C5E9280" w:rsidR="0058259F" w:rsidRPr="00144534" w:rsidRDefault="0058259F">
      <w:pPr>
        <w:overflowPunct w:val="0"/>
        <w:spacing w:line="480" w:lineRule="auto"/>
        <w:jc w:val="center"/>
        <w:textAlignment w:val="baseline"/>
        <w:rPr>
          <w:b/>
          <w:szCs w:val="24"/>
        </w:rPr>
      </w:pPr>
      <w:r w:rsidRPr="00144534">
        <w:rPr>
          <w:noProof/>
          <w:lang w:eastAsia="lt-LT"/>
        </w:rPr>
        <w:drawing>
          <wp:inline distT="0" distB="0" distL="0" distR="0" wp14:anchorId="4326F425" wp14:editId="4870F965">
            <wp:extent cx="733425" cy="7620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1FEC6270" w14:textId="4AEF2F7F" w:rsidR="00911658" w:rsidRPr="00144534" w:rsidRDefault="00016E5C">
      <w:pPr>
        <w:overflowPunct w:val="0"/>
        <w:spacing w:line="480" w:lineRule="auto"/>
        <w:jc w:val="center"/>
        <w:textAlignment w:val="baseline"/>
        <w:rPr>
          <w:b/>
          <w:szCs w:val="24"/>
        </w:rPr>
      </w:pPr>
      <w:r w:rsidRPr="00144534">
        <w:rPr>
          <w:b/>
          <w:szCs w:val="24"/>
        </w:rPr>
        <w:t>TEISĖJŲ TARYBA</w:t>
      </w:r>
    </w:p>
    <w:p w14:paraId="0E71017A" w14:textId="77777777" w:rsidR="00CB6678" w:rsidRPr="00144534" w:rsidRDefault="00016E5C" w:rsidP="00CB6678">
      <w:pPr>
        <w:overflowPunct w:val="0"/>
        <w:jc w:val="center"/>
        <w:textAlignment w:val="baseline"/>
        <w:rPr>
          <w:b/>
          <w:szCs w:val="24"/>
        </w:rPr>
      </w:pPr>
      <w:r w:rsidRPr="00144534">
        <w:rPr>
          <w:b/>
          <w:szCs w:val="24"/>
        </w:rPr>
        <w:t>NUTARIMAS</w:t>
      </w:r>
    </w:p>
    <w:p w14:paraId="75AC6A2B" w14:textId="64D451F2" w:rsidR="00911658" w:rsidRPr="00144534" w:rsidRDefault="00016E5C" w:rsidP="00C07C0C">
      <w:pPr>
        <w:overflowPunct w:val="0"/>
        <w:jc w:val="center"/>
        <w:textAlignment w:val="baseline"/>
        <w:rPr>
          <w:b/>
          <w:szCs w:val="24"/>
        </w:rPr>
      </w:pPr>
      <w:r w:rsidRPr="00144534">
        <w:rPr>
          <w:b/>
          <w:szCs w:val="24"/>
        </w:rPr>
        <w:t xml:space="preserve">DĖL TEISĖJŲ TARYBOS </w:t>
      </w:r>
      <w:r w:rsidR="00C07C0C" w:rsidRPr="00144534">
        <w:rPr>
          <w:b/>
          <w:szCs w:val="24"/>
        </w:rPr>
        <w:t>201</w:t>
      </w:r>
      <w:r w:rsidR="00F34B70" w:rsidRPr="00144534">
        <w:rPr>
          <w:b/>
          <w:szCs w:val="24"/>
        </w:rPr>
        <w:t>8</w:t>
      </w:r>
      <w:r w:rsidR="00C07C0C" w:rsidRPr="00144534">
        <w:rPr>
          <w:b/>
          <w:szCs w:val="24"/>
        </w:rPr>
        <w:t xml:space="preserve"> M. </w:t>
      </w:r>
      <w:r w:rsidR="00F34B70" w:rsidRPr="00144534">
        <w:rPr>
          <w:b/>
          <w:szCs w:val="24"/>
        </w:rPr>
        <w:t>RUGPJŪČIO</w:t>
      </w:r>
      <w:r w:rsidR="00C07C0C" w:rsidRPr="00144534">
        <w:rPr>
          <w:b/>
          <w:szCs w:val="24"/>
        </w:rPr>
        <w:t xml:space="preserve"> </w:t>
      </w:r>
      <w:r w:rsidR="00F34B70" w:rsidRPr="00144534">
        <w:rPr>
          <w:b/>
          <w:szCs w:val="24"/>
        </w:rPr>
        <w:t>31</w:t>
      </w:r>
      <w:r w:rsidR="00C07C0C" w:rsidRPr="00144534">
        <w:rPr>
          <w:b/>
          <w:szCs w:val="24"/>
        </w:rPr>
        <w:t xml:space="preserve"> D. NUTARIMO NR. 13P-</w:t>
      </w:r>
      <w:r w:rsidR="00F34B70" w:rsidRPr="00144534">
        <w:rPr>
          <w:b/>
          <w:szCs w:val="24"/>
        </w:rPr>
        <w:t>80</w:t>
      </w:r>
      <w:r w:rsidR="00C07C0C" w:rsidRPr="00144534">
        <w:rPr>
          <w:b/>
          <w:szCs w:val="24"/>
        </w:rPr>
        <w:t xml:space="preserve">-(7.1.2) </w:t>
      </w:r>
      <w:r w:rsidRPr="00144534">
        <w:rPr>
          <w:b/>
          <w:szCs w:val="24"/>
        </w:rPr>
        <w:t>„</w:t>
      </w:r>
      <w:r w:rsidR="00310219" w:rsidRPr="00144534">
        <w:rPr>
          <w:b/>
          <w:bCs/>
          <w:szCs w:val="24"/>
        </w:rPr>
        <w:t xml:space="preserve">DĖL </w:t>
      </w:r>
      <w:r w:rsidR="00F34B70" w:rsidRPr="00144534">
        <w:rPr>
          <w:b/>
          <w:bCs/>
          <w:szCs w:val="24"/>
        </w:rPr>
        <w:t>ASMENS DUOMENŲ TVARKYMO TEISMUOSE TAISYKLIŲ</w:t>
      </w:r>
      <w:r w:rsidR="00310219" w:rsidRPr="00144534">
        <w:rPr>
          <w:b/>
          <w:bCs/>
          <w:szCs w:val="24"/>
        </w:rPr>
        <w:t xml:space="preserve"> PATVIRTINIMO</w:t>
      </w:r>
      <w:r w:rsidRPr="00144534">
        <w:rPr>
          <w:b/>
          <w:szCs w:val="24"/>
        </w:rPr>
        <w:t>“ PAKEITIMO</w:t>
      </w:r>
    </w:p>
    <w:p w14:paraId="7271DEEA" w14:textId="77777777" w:rsidR="00911658" w:rsidRPr="00144534" w:rsidRDefault="00911658">
      <w:pPr>
        <w:jc w:val="center"/>
        <w:rPr>
          <w:szCs w:val="24"/>
        </w:rPr>
      </w:pPr>
    </w:p>
    <w:p w14:paraId="1581BB69" w14:textId="15370E85" w:rsidR="00911658" w:rsidRPr="00144534" w:rsidRDefault="00016E5C">
      <w:pPr>
        <w:jc w:val="center"/>
        <w:rPr>
          <w:szCs w:val="24"/>
        </w:rPr>
      </w:pPr>
      <w:r w:rsidRPr="00144534">
        <w:rPr>
          <w:szCs w:val="24"/>
        </w:rPr>
        <w:t>202</w:t>
      </w:r>
      <w:r w:rsidR="00310219" w:rsidRPr="00144534">
        <w:rPr>
          <w:szCs w:val="24"/>
        </w:rPr>
        <w:t>5</w:t>
      </w:r>
      <w:r w:rsidRPr="00144534">
        <w:rPr>
          <w:szCs w:val="24"/>
        </w:rPr>
        <w:t xml:space="preserve"> m. </w:t>
      </w:r>
      <w:r w:rsidR="0058259F" w:rsidRPr="00144534">
        <w:rPr>
          <w:szCs w:val="24"/>
        </w:rPr>
        <w:t>rugpjūčio 29</w:t>
      </w:r>
      <w:r w:rsidR="00CB6678" w:rsidRPr="00144534">
        <w:rPr>
          <w:szCs w:val="24"/>
        </w:rPr>
        <w:t xml:space="preserve"> </w:t>
      </w:r>
      <w:r w:rsidRPr="00144534">
        <w:rPr>
          <w:szCs w:val="24"/>
        </w:rPr>
        <w:t>d. Nr. 13P-</w:t>
      </w:r>
      <w:r w:rsidR="00BF036D">
        <w:rPr>
          <w:szCs w:val="24"/>
        </w:rPr>
        <w:t>123</w:t>
      </w:r>
      <w:r w:rsidRPr="00144534">
        <w:rPr>
          <w:szCs w:val="24"/>
        </w:rPr>
        <w:t>-(7.1.2</w:t>
      </w:r>
      <w:r w:rsidR="00310219" w:rsidRPr="00144534">
        <w:rPr>
          <w:szCs w:val="24"/>
        </w:rPr>
        <w:t>.E</w:t>
      </w:r>
      <w:r w:rsidRPr="00144534">
        <w:rPr>
          <w:szCs w:val="24"/>
        </w:rPr>
        <w:t xml:space="preserve">)  </w:t>
      </w:r>
    </w:p>
    <w:p w14:paraId="2CFF5D20" w14:textId="77777777" w:rsidR="00911658" w:rsidRPr="00144534" w:rsidRDefault="00016E5C">
      <w:pPr>
        <w:jc w:val="center"/>
        <w:rPr>
          <w:szCs w:val="24"/>
        </w:rPr>
      </w:pPr>
      <w:r w:rsidRPr="00144534">
        <w:rPr>
          <w:szCs w:val="24"/>
        </w:rPr>
        <w:t>Vilnius</w:t>
      </w:r>
    </w:p>
    <w:p w14:paraId="5BA44E05" w14:textId="3FA702D6" w:rsidR="00911658" w:rsidRPr="00144534" w:rsidRDefault="00911658">
      <w:pPr>
        <w:rPr>
          <w:szCs w:val="24"/>
        </w:rPr>
      </w:pPr>
    </w:p>
    <w:p w14:paraId="27557472" w14:textId="77777777" w:rsidR="00C07C0C" w:rsidRPr="00144534" w:rsidRDefault="00016E5C" w:rsidP="00C07C0C">
      <w:pPr>
        <w:ind w:firstLine="709"/>
        <w:jc w:val="both"/>
        <w:rPr>
          <w:rFonts w:eastAsia="Calibri"/>
          <w:szCs w:val="24"/>
        </w:rPr>
      </w:pPr>
      <w:r w:rsidRPr="00144534">
        <w:rPr>
          <w:rFonts w:eastAsia="Calibri"/>
          <w:szCs w:val="24"/>
        </w:rPr>
        <w:t>Teisėjų taryba n u t a r i a:</w:t>
      </w:r>
    </w:p>
    <w:p w14:paraId="53539A43" w14:textId="1D63D295" w:rsidR="00C07C0C" w:rsidRPr="00144534" w:rsidRDefault="00016E5C" w:rsidP="00C07C0C">
      <w:pPr>
        <w:ind w:firstLine="709"/>
        <w:jc w:val="both"/>
        <w:rPr>
          <w:rFonts w:eastAsia="Calibri"/>
          <w:szCs w:val="24"/>
        </w:rPr>
      </w:pPr>
      <w:r w:rsidRPr="00144534">
        <w:rPr>
          <w:rFonts w:eastAsia="Calibri"/>
          <w:szCs w:val="24"/>
        </w:rPr>
        <w:t>Pakeisti</w:t>
      </w:r>
      <w:r w:rsidR="00CB6678" w:rsidRPr="00144534">
        <w:rPr>
          <w:rFonts w:eastAsia="Calibri"/>
          <w:szCs w:val="24"/>
        </w:rPr>
        <w:t xml:space="preserve"> </w:t>
      </w:r>
      <w:r w:rsidR="00F34B70" w:rsidRPr="00144534">
        <w:rPr>
          <w:rFonts w:eastAsia="Calibri"/>
          <w:szCs w:val="24"/>
        </w:rPr>
        <w:t>Asmens duomenų tvarkymo teismuose taisykles</w:t>
      </w:r>
      <w:r w:rsidR="00310219" w:rsidRPr="00144534">
        <w:rPr>
          <w:rFonts w:eastAsia="Calibri"/>
          <w:szCs w:val="24"/>
        </w:rPr>
        <w:t>, p</w:t>
      </w:r>
      <w:r w:rsidR="00C07C0C" w:rsidRPr="00144534">
        <w:rPr>
          <w:rFonts w:eastAsia="Calibri"/>
          <w:szCs w:val="24"/>
        </w:rPr>
        <w:t>atvirtint</w:t>
      </w:r>
      <w:r w:rsidR="00F34B70" w:rsidRPr="00144534">
        <w:rPr>
          <w:rFonts w:eastAsia="Calibri"/>
          <w:szCs w:val="24"/>
        </w:rPr>
        <w:t>as</w:t>
      </w:r>
      <w:r w:rsidR="00C07C0C" w:rsidRPr="00144534">
        <w:rPr>
          <w:rFonts w:eastAsia="Calibri"/>
          <w:szCs w:val="24"/>
        </w:rPr>
        <w:t xml:space="preserve"> Teisėjų tarybos 201</w:t>
      </w:r>
      <w:r w:rsidR="00F34B70" w:rsidRPr="00144534">
        <w:rPr>
          <w:rFonts w:eastAsia="Calibri"/>
          <w:szCs w:val="24"/>
        </w:rPr>
        <w:t>8</w:t>
      </w:r>
      <w:r w:rsidR="00C07C0C" w:rsidRPr="00144534">
        <w:rPr>
          <w:rFonts w:eastAsia="Calibri"/>
          <w:szCs w:val="24"/>
        </w:rPr>
        <w:t xml:space="preserve"> m. </w:t>
      </w:r>
      <w:r w:rsidR="00F34B70" w:rsidRPr="00144534">
        <w:rPr>
          <w:rFonts w:eastAsia="Calibri"/>
          <w:szCs w:val="24"/>
        </w:rPr>
        <w:t>rugpjūčio</w:t>
      </w:r>
      <w:r w:rsidR="00C07C0C" w:rsidRPr="00144534">
        <w:rPr>
          <w:rFonts w:eastAsia="Calibri"/>
          <w:szCs w:val="24"/>
        </w:rPr>
        <w:t xml:space="preserve"> </w:t>
      </w:r>
      <w:r w:rsidR="00F34B70" w:rsidRPr="00144534">
        <w:rPr>
          <w:rFonts w:eastAsia="Calibri"/>
          <w:szCs w:val="24"/>
        </w:rPr>
        <w:t>31</w:t>
      </w:r>
      <w:r w:rsidR="00C07C0C" w:rsidRPr="00144534">
        <w:rPr>
          <w:rFonts w:eastAsia="Calibri"/>
          <w:szCs w:val="24"/>
        </w:rPr>
        <w:t xml:space="preserve"> d. nutarimu Nr. 13P-</w:t>
      </w:r>
      <w:r w:rsidR="00F34B70" w:rsidRPr="00144534">
        <w:rPr>
          <w:rFonts w:eastAsia="Calibri"/>
          <w:szCs w:val="24"/>
        </w:rPr>
        <w:t>80</w:t>
      </w:r>
      <w:r w:rsidR="00C07C0C" w:rsidRPr="00144534">
        <w:rPr>
          <w:rFonts w:eastAsia="Calibri"/>
          <w:szCs w:val="24"/>
        </w:rPr>
        <w:t xml:space="preserve">-(7.1.2) „Dėl </w:t>
      </w:r>
      <w:r w:rsidR="00F34B70" w:rsidRPr="00144534">
        <w:rPr>
          <w:rFonts w:eastAsia="Calibri"/>
          <w:szCs w:val="24"/>
        </w:rPr>
        <w:t>Asmens duomenų tvarkymo teismuose taisyklių</w:t>
      </w:r>
      <w:r w:rsidR="00310219" w:rsidRPr="00144534">
        <w:rPr>
          <w:rFonts w:eastAsia="Calibri"/>
          <w:szCs w:val="24"/>
        </w:rPr>
        <w:t xml:space="preserve"> patvirtinimo“ </w:t>
      </w:r>
      <w:r w:rsidR="000F653C" w:rsidRPr="00144534">
        <w:rPr>
          <w:rFonts w:eastAsia="Calibri"/>
          <w:szCs w:val="24"/>
        </w:rPr>
        <w:t xml:space="preserve">(toliau – </w:t>
      </w:r>
      <w:r w:rsidR="00F34B70" w:rsidRPr="00144534">
        <w:rPr>
          <w:rFonts w:eastAsia="Calibri"/>
          <w:szCs w:val="24"/>
        </w:rPr>
        <w:t>Taisyklės</w:t>
      </w:r>
      <w:r w:rsidR="000F653C" w:rsidRPr="00144534">
        <w:rPr>
          <w:rFonts w:eastAsia="Calibri"/>
          <w:szCs w:val="24"/>
        </w:rPr>
        <w:t>)</w:t>
      </w:r>
      <w:r w:rsidR="00C07C0C" w:rsidRPr="00144534">
        <w:rPr>
          <w:rFonts w:eastAsia="Calibri"/>
          <w:szCs w:val="24"/>
        </w:rPr>
        <w:t>:</w:t>
      </w:r>
    </w:p>
    <w:p w14:paraId="1DC6E81D" w14:textId="3401B041" w:rsidR="006E6BFF" w:rsidRPr="00144534" w:rsidRDefault="006E6BFF" w:rsidP="00C07C0C">
      <w:pPr>
        <w:ind w:firstLine="709"/>
        <w:jc w:val="both"/>
        <w:rPr>
          <w:rFonts w:eastAsia="Calibri"/>
          <w:szCs w:val="24"/>
        </w:rPr>
      </w:pPr>
      <w:r w:rsidRPr="00144534">
        <w:rPr>
          <w:rFonts w:eastAsia="Calibri"/>
          <w:szCs w:val="24"/>
        </w:rPr>
        <w:t>1. Pakeisti Taisyklių 8.1 papunktį ir jį išdėstyti taip:</w:t>
      </w:r>
    </w:p>
    <w:p w14:paraId="63365689" w14:textId="49CC3187" w:rsidR="006E6BFF" w:rsidRPr="00144534" w:rsidRDefault="006E6BFF" w:rsidP="00C07C0C">
      <w:pPr>
        <w:ind w:firstLine="709"/>
        <w:jc w:val="both"/>
        <w:rPr>
          <w:rFonts w:eastAsia="Calibri"/>
          <w:szCs w:val="24"/>
        </w:rPr>
      </w:pPr>
      <w:r w:rsidRPr="00144534">
        <w:rPr>
          <w:rFonts w:eastAsia="Calibri"/>
          <w:szCs w:val="24"/>
        </w:rPr>
        <w:t xml:space="preserve">„8.1. </w:t>
      </w:r>
      <w:r w:rsidRPr="00144534">
        <w:rPr>
          <w:szCs w:val="24"/>
        </w:rPr>
        <w:t xml:space="preserve">teisingumo (teisminių įgaliojimų) vykdymo tikslais gali būti tvarkomi byloje dalyvaujančių asmenų ir kitų proceso dalyvių, taip pat kitų asmenų (ne proceso dalyvių) asmens duomenys (pateikiami proceso dalyvių procesiniuose dokumentuose, liudytojų parodymuose ir pan.): vardas (vardai), pavardė (pavardės), </w:t>
      </w:r>
      <w:r w:rsidRPr="00144534">
        <w:rPr>
          <w:szCs w:val="24"/>
          <w:lang w:eastAsia="lt-LT"/>
        </w:rPr>
        <w:t xml:space="preserve">asmens kodas, gimimo data, gyvenamoji vieta ir adresas korespondencijai, fizinio asmens tapatybę patvirtinančio dokumento duomenys, </w:t>
      </w:r>
      <w:r w:rsidRPr="00144534">
        <w:rPr>
          <w:szCs w:val="24"/>
        </w:rPr>
        <w:t xml:space="preserve">telefono numeris, elektroninio pašto adresas, </w:t>
      </w:r>
      <w:r w:rsidRPr="00144534">
        <w:rPr>
          <w:szCs w:val="24"/>
          <w:lang w:eastAsia="lt-LT"/>
        </w:rPr>
        <w:t xml:space="preserve">išsilavinimas, užimtumas, profesija, lytis, pilietybė, </w:t>
      </w:r>
      <w:r w:rsidRPr="00144534">
        <w:rPr>
          <w:szCs w:val="24"/>
        </w:rPr>
        <w:t>etninė kilmė ir kiti asmens duomenys, gaunami proceso įstatymuose ir kituose teismo procesą reglamentuojančiuose teisės aktuose nustatyta tvarka ir pagrindais, kai pagal teisės aktus tokie asmens duomenys yra reikalingi vykdyti procesinę veiklą. Elektroniniu būdu teismuose nagrinėjamų ir išnagrinėtų bylų duomenys tvarkomi Lietuvos teismų informacinėje sistemoje (toliau – LITEKO) ir jų atžvilgiu šios Taisyklės taikomos tiek, kiek to nereglamentuoja LITEKO reglamentuojantys teisės aktai;“.</w:t>
      </w:r>
    </w:p>
    <w:p w14:paraId="538DE5F2" w14:textId="4D86FECB" w:rsidR="003B6904" w:rsidRPr="00144534" w:rsidRDefault="006E6BFF" w:rsidP="003B6904">
      <w:pPr>
        <w:widowControl w:val="0"/>
        <w:suppressAutoHyphens/>
        <w:ind w:firstLine="709"/>
        <w:jc w:val="both"/>
        <w:rPr>
          <w:color w:val="000000"/>
          <w:szCs w:val="24"/>
          <w:lang w:eastAsia="lt-LT"/>
        </w:rPr>
      </w:pPr>
      <w:r w:rsidRPr="00144534">
        <w:rPr>
          <w:color w:val="000000"/>
        </w:rPr>
        <w:t>2</w:t>
      </w:r>
      <w:r w:rsidR="003B6904" w:rsidRPr="00144534">
        <w:rPr>
          <w:color w:val="000000"/>
        </w:rPr>
        <w:t xml:space="preserve">. Papildyti </w:t>
      </w:r>
      <w:r w:rsidR="00F34B70" w:rsidRPr="00144534">
        <w:rPr>
          <w:color w:val="000000"/>
        </w:rPr>
        <w:t>Taisykles</w:t>
      </w:r>
      <w:r w:rsidR="003B6904" w:rsidRPr="00144534">
        <w:rPr>
          <w:color w:val="000000"/>
        </w:rPr>
        <w:t xml:space="preserve"> </w:t>
      </w:r>
      <w:r w:rsidR="00F34B70" w:rsidRPr="00144534">
        <w:rPr>
          <w:color w:val="000000"/>
        </w:rPr>
        <w:t>8.3</w:t>
      </w:r>
      <w:r w:rsidR="00F34B70" w:rsidRPr="00144534">
        <w:rPr>
          <w:color w:val="000000"/>
          <w:vertAlign w:val="superscript"/>
        </w:rPr>
        <w:t>1</w:t>
      </w:r>
      <w:r w:rsidR="003B6904" w:rsidRPr="00144534">
        <w:rPr>
          <w:color w:val="000000"/>
        </w:rPr>
        <w:t> papunkčiu:</w:t>
      </w:r>
    </w:p>
    <w:p w14:paraId="30699011" w14:textId="6D4F0F57" w:rsidR="00F34B70" w:rsidRPr="00144534" w:rsidRDefault="003B6904" w:rsidP="00E869F2">
      <w:pPr>
        <w:widowControl w:val="0"/>
        <w:suppressAutoHyphens/>
        <w:ind w:firstLine="709"/>
        <w:jc w:val="both"/>
        <w:rPr>
          <w:color w:val="000000"/>
        </w:rPr>
      </w:pPr>
      <w:r w:rsidRPr="00144534">
        <w:rPr>
          <w:color w:val="000000"/>
        </w:rPr>
        <w:t>„</w:t>
      </w:r>
      <w:r w:rsidR="00F34B70" w:rsidRPr="00144534">
        <w:rPr>
          <w:szCs w:val="24"/>
        </w:rPr>
        <w:t>8.3</w:t>
      </w:r>
      <w:r w:rsidR="00F34B70" w:rsidRPr="00144534">
        <w:rPr>
          <w:szCs w:val="24"/>
          <w:vertAlign w:val="superscript"/>
        </w:rPr>
        <w:t>1</w:t>
      </w:r>
      <w:r w:rsidR="00F34B70" w:rsidRPr="00144534">
        <w:rPr>
          <w:szCs w:val="24"/>
        </w:rPr>
        <w:t>. neprocesinių skundų, prašymų ir pranešimų dėl teismo veiksmų ar neveikimo vykdant teismines funkcijas nagrinėjimo tikslu gali būti tvarkomi asmenų, pateikusių teismui neprocesinį skundą, prašymą ar pranešimą, ir kitų asmenų asmens duomenys (pateikiami skunde, prašyme ar pranešime): vardas (vardai), pavardė (pavardės), asmens kodas, adresas, telefono numeris, elektroninio pašto adresas, skundo, prašymo ar pranešimo data ir numeris (registravimo teisme data ir numeris), skunde, prašyme ar pranešime nurodyta informacija (įskaitant ir specialių kategorijų asmens duomenis), skundo, prašymo ar pranešimo nagrinėjimo rezultatas, teismo atsakymo data ir numeris, skundo, prašymo ar pranešimo nagrinėjimo metu gauta informacija;“</w:t>
      </w:r>
      <w:r w:rsidR="004D6955" w:rsidRPr="00144534">
        <w:rPr>
          <w:szCs w:val="24"/>
        </w:rPr>
        <w:t>.</w:t>
      </w:r>
    </w:p>
    <w:p w14:paraId="33A69A9D" w14:textId="01BA73BE" w:rsidR="00F34B70" w:rsidRPr="00144534" w:rsidRDefault="006E6BFF" w:rsidP="00F34B70">
      <w:pPr>
        <w:widowControl w:val="0"/>
        <w:suppressAutoHyphens/>
        <w:ind w:firstLine="709"/>
        <w:jc w:val="both"/>
        <w:rPr>
          <w:color w:val="000000"/>
          <w:szCs w:val="24"/>
          <w:lang w:eastAsia="lt-LT"/>
        </w:rPr>
      </w:pPr>
      <w:r w:rsidRPr="00144534">
        <w:rPr>
          <w:color w:val="000000"/>
        </w:rPr>
        <w:t>3</w:t>
      </w:r>
      <w:r w:rsidR="00F34B70" w:rsidRPr="00144534">
        <w:rPr>
          <w:color w:val="000000"/>
        </w:rPr>
        <w:t>. Papildyti Taisykles 8.13 papunkčiu:</w:t>
      </w:r>
    </w:p>
    <w:p w14:paraId="5C2309C8" w14:textId="040AACAE" w:rsidR="00F34B70" w:rsidRPr="00144534" w:rsidRDefault="00F34B70" w:rsidP="00F34B70">
      <w:pPr>
        <w:tabs>
          <w:tab w:val="left" w:pos="993"/>
        </w:tabs>
        <w:autoSpaceDE w:val="0"/>
        <w:autoSpaceDN w:val="0"/>
        <w:adjustRightInd w:val="0"/>
        <w:ind w:firstLine="720"/>
        <w:jc w:val="both"/>
        <w:rPr>
          <w:szCs w:val="24"/>
        </w:rPr>
      </w:pPr>
      <w:r w:rsidRPr="00144534">
        <w:rPr>
          <w:color w:val="000000"/>
        </w:rPr>
        <w:t>„</w:t>
      </w:r>
      <w:r w:rsidRPr="00144534">
        <w:rPr>
          <w:szCs w:val="24"/>
        </w:rPr>
        <w:t>8.13. visuomenės informavimo apie teisės aiškinimo ir taikymo praktiką Lietuvos Respublikos teismuose bei teismų veiklos viešumo, skaidrumo ir atvirumo visuomenei užtikrinimo tikslu viešai skelbtinuose teismų procesiniuose sprendimuose esantys asmens duomenys tvarkomi teismų procesinių sprendimų nuasmenintų versijų rengimą ir skelbimą reglamentuojančiuose teisės aktuose nustatyta tvarka.“</w:t>
      </w:r>
      <w:r w:rsidR="004D6955" w:rsidRPr="00144534">
        <w:rPr>
          <w:szCs w:val="24"/>
        </w:rPr>
        <w:t>.</w:t>
      </w:r>
    </w:p>
    <w:p w14:paraId="627B631B" w14:textId="1506B72A" w:rsidR="006E6BFF" w:rsidRPr="00144534" w:rsidRDefault="006E6BFF" w:rsidP="00F34B70">
      <w:pPr>
        <w:tabs>
          <w:tab w:val="left" w:pos="993"/>
        </w:tabs>
        <w:autoSpaceDE w:val="0"/>
        <w:autoSpaceDN w:val="0"/>
        <w:adjustRightInd w:val="0"/>
        <w:ind w:firstLine="720"/>
        <w:jc w:val="both"/>
        <w:rPr>
          <w:szCs w:val="24"/>
        </w:rPr>
      </w:pPr>
      <w:r w:rsidRPr="00144534">
        <w:rPr>
          <w:szCs w:val="24"/>
        </w:rPr>
        <w:t xml:space="preserve">4. </w:t>
      </w:r>
      <w:r w:rsidRPr="00144534">
        <w:rPr>
          <w:color w:val="000000"/>
        </w:rPr>
        <w:t>Papildyti Taisykles 8.14 papunkčiu:</w:t>
      </w:r>
    </w:p>
    <w:p w14:paraId="44091CF6" w14:textId="48389987" w:rsidR="006E6BFF" w:rsidRPr="00144534" w:rsidRDefault="006E6BFF" w:rsidP="006E6BFF">
      <w:pPr>
        <w:tabs>
          <w:tab w:val="left" w:pos="993"/>
        </w:tabs>
        <w:autoSpaceDE w:val="0"/>
        <w:autoSpaceDN w:val="0"/>
        <w:adjustRightInd w:val="0"/>
        <w:ind w:firstLine="720"/>
        <w:jc w:val="both"/>
        <w:rPr>
          <w:szCs w:val="24"/>
        </w:rPr>
      </w:pPr>
      <w:r w:rsidRPr="00144534">
        <w:rPr>
          <w:szCs w:val="24"/>
        </w:rPr>
        <w:t>„8.14. pasirengimo mobilizacijai ir mobilizacijos vykdymo tikslu, siekiant užtikrinti nacionalinį saugumą ir gynybą,  teismas,  kuriam  paskirta valstybinė mobilizacinė užduotis, tvarko asmenų, įrašomų (įrašytų) į civilinio mobilizacinio personalo rezervą, asmens duomenis: vardą (vardus), pavardę (pavardes), asmens kodą, draudėją, darbovietę ir einamas pareigas, telefono numerį, faktinės ir deklaruotos gyvenamosios vietos adresą.“.</w:t>
      </w:r>
    </w:p>
    <w:p w14:paraId="46895ABB" w14:textId="3088F2D4" w:rsidR="006E6BFF" w:rsidRPr="00144534" w:rsidRDefault="006E6BFF" w:rsidP="00F34B70">
      <w:pPr>
        <w:widowControl w:val="0"/>
        <w:suppressAutoHyphens/>
        <w:ind w:firstLine="709"/>
        <w:jc w:val="both"/>
        <w:rPr>
          <w:rFonts w:eastAsia="Calibri"/>
          <w:szCs w:val="24"/>
        </w:rPr>
      </w:pPr>
      <w:r w:rsidRPr="00144534">
        <w:rPr>
          <w:color w:val="000000"/>
        </w:rPr>
        <w:lastRenderedPageBreak/>
        <w:t xml:space="preserve">5. </w:t>
      </w:r>
      <w:r w:rsidRPr="00144534">
        <w:rPr>
          <w:rFonts w:eastAsia="Calibri"/>
          <w:szCs w:val="24"/>
        </w:rPr>
        <w:t>Pakeisti Taisyklių 25.5 papunktį ir jį išdėstyti taip:</w:t>
      </w:r>
    </w:p>
    <w:p w14:paraId="4E2A8CC3" w14:textId="0C0B673B" w:rsidR="006E6BFF" w:rsidRPr="00144534" w:rsidRDefault="006E6BFF" w:rsidP="006E6BFF">
      <w:pPr>
        <w:tabs>
          <w:tab w:val="left" w:pos="960"/>
          <w:tab w:val="left" w:pos="993"/>
        </w:tabs>
        <w:autoSpaceDE w:val="0"/>
        <w:autoSpaceDN w:val="0"/>
        <w:adjustRightInd w:val="0"/>
        <w:ind w:firstLine="709"/>
        <w:jc w:val="both"/>
        <w:rPr>
          <w:szCs w:val="24"/>
        </w:rPr>
      </w:pPr>
      <w:r w:rsidRPr="00144534">
        <w:rPr>
          <w:rFonts w:eastAsia="Calibri"/>
          <w:szCs w:val="24"/>
        </w:rPr>
        <w:t xml:space="preserve">„25.5. </w:t>
      </w:r>
      <w:r w:rsidRPr="00144534">
        <w:rPr>
          <w:szCs w:val="24"/>
        </w:rPr>
        <w:t>nedelsiant pranešti teismo pirmininkui ar jo įgaliotam atsakingam asmeniui apie bet kokią įtartiną situaciją, kuri gali kelti grėsmę teismo tvarkomų asmens duomenų saugumui; tais atvejais, kai situacija yra reikšminga, gali turėti didesnį poveikį ir (ar) būtina apie pažeidimą informuoti Valstybinę duomenų apsaugos inspekciją, apie tai taip pat pranešama duomenų apsaugos pareigūnui;“.</w:t>
      </w:r>
    </w:p>
    <w:p w14:paraId="29B9105B" w14:textId="26F64535" w:rsidR="003B6904" w:rsidRPr="00144534" w:rsidRDefault="006E6BFF" w:rsidP="00F34B70">
      <w:pPr>
        <w:widowControl w:val="0"/>
        <w:suppressAutoHyphens/>
        <w:ind w:firstLine="709"/>
        <w:jc w:val="both"/>
        <w:rPr>
          <w:color w:val="000000"/>
        </w:rPr>
      </w:pPr>
      <w:r w:rsidRPr="00144534">
        <w:rPr>
          <w:color w:val="000000"/>
        </w:rPr>
        <w:t>6</w:t>
      </w:r>
      <w:r w:rsidR="00F34B70" w:rsidRPr="00144534">
        <w:rPr>
          <w:color w:val="000000"/>
        </w:rPr>
        <w:t xml:space="preserve">. </w:t>
      </w:r>
      <w:r w:rsidR="003B6904" w:rsidRPr="00144534">
        <w:rPr>
          <w:rFonts w:eastAsia="Calibri"/>
          <w:szCs w:val="24"/>
        </w:rPr>
        <w:t xml:space="preserve">Pakeisti </w:t>
      </w:r>
      <w:r w:rsidR="00F34B70" w:rsidRPr="00144534">
        <w:rPr>
          <w:rFonts w:eastAsia="Calibri"/>
          <w:szCs w:val="24"/>
        </w:rPr>
        <w:t>Taisyklių</w:t>
      </w:r>
      <w:r w:rsidR="003B6904" w:rsidRPr="00144534">
        <w:rPr>
          <w:rFonts w:eastAsia="Calibri"/>
          <w:szCs w:val="24"/>
        </w:rPr>
        <w:t xml:space="preserve"> </w:t>
      </w:r>
      <w:r w:rsidR="00F34B70" w:rsidRPr="00144534">
        <w:rPr>
          <w:rFonts w:eastAsia="Calibri"/>
          <w:szCs w:val="24"/>
        </w:rPr>
        <w:t>50 punktą</w:t>
      </w:r>
      <w:r w:rsidR="003B6904" w:rsidRPr="00144534">
        <w:rPr>
          <w:rFonts w:eastAsia="Calibri"/>
          <w:szCs w:val="24"/>
        </w:rPr>
        <w:t xml:space="preserve"> ir jį išdėstyti taip:</w:t>
      </w:r>
    </w:p>
    <w:p w14:paraId="5D95912B" w14:textId="4BDCECA4" w:rsidR="00F34B70" w:rsidRPr="00144534" w:rsidRDefault="003B6904" w:rsidP="00E869F2">
      <w:pPr>
        <w:widowControl w:val="0"/>
        <w:suppressAutoHyphens/>
        <w:ind w:firstLine="709"/>
        <w:jc w:val="both"/>
        <w:rPr>
          <w:szCs w:val="24"/>
        </w:rPr>
      </w:pPr>
      <w:r w:rsidRPr="00144534">
        <w:rPr>
          <w:color w:val="000000"/>
        </w:rPr>
        <w:t>„</w:t>
      </w:r>
      <w:r w:rsidR="00F34B70" w:rsidRPr="00144534">
        <w:rPr>
          <w:szCs w:val="24"/>
        </w:rPr>
        <w:t>50. Teismo veiksmai ar neveikimas, susiję su duomenų subjekto teisių įgyvendinimu, kai asmens duomenys tvarkomi kitais nei šių Taisyklių 8.1–8.2, 8.3</w:t>
      </w:r>
      <w:r w:rsidR="00F34B70" w:rsidRPr="00144534">
        <w:rPr>
          <w:szCs w:val="24"/>
          <w:vertAlign w:val="superscript"/>
        </w:rPr>
        <w:t>1</w:t>
      </w:r>
      <w:r w:rsidR="00F34B70" w:rsidRPr="00144534">
        <w:rPr>
          <w:szCs w:val="24"/>
        </w:rPr>
        <w:t xml:space="preserve">–8.4 ir </w:t>
      </w:r>
      <w:r w:rsidR="00F34B70" w:rsidRPr="00144534">
        <w:rPr>
          <w:szCs w:val="24"/>
        </w:rPr>
        <w:br/>
        <w:t>8.11–8.13 papunkčiuose nurodytais tikslais, gali būti skundžiami Valstybinei duomenų apsaugos inspekcijai Lietuvos Respublikos asmens duomenų teisinės apsaugos įstatyme nustatyta tvarka.“</w:t>
      </w:r>
      <w:r w:rsidR="004D6955" w:rsidRPr="00144534">
        <w:rPr>
          <w:szCs w:val="24"/>
        </w:rPr>
        <w:t>.</w:t>
      </w:r>
    </w:p>
    <w:p w14:paraId="6DE904BC" w14:textId="672AC323" w:rsidR="00F34B70" w:rsidRPr="00144534" w:rsidRDefault="006E6BFF" w:rsidP="00F34B70">
      <w:pPr>
        <w:widowControl w:val="0"/>
        <w:suppressAutoHyphens/>
        <w:ind w:firstLine="709"/>
        <w:jc w:val="both"/>
        <w:rPr>
          <w:color w:val="000000"/>
        </w:rPr>
      </w:pPr>
      <w:r w:rsidRPr="00144534">
        <w:rPr>
          <w:szCs w:val="24"/>
        </w:rPr>
        <w:t>7</w:t>
      </w:r>
      <w:r w:rsidR="00F34B70" w:rsidRPr="00144534">
        <w:rPr>
          <w:szCs w:val="24"/>
        </w:rPr>
        <w:t xml:space="preserve">. </w:t>
      </w:r>
      <w:r w:rsidR="00F34B70" w:rsidRPr="00144534">
        <w:rPr>
          <w:color w:val="000000"/>
        </w:rPr>
        <w:t>Papildyti Taisykles 53</w:t>
      </w:r>
      <w:r w:rsidR="00F34B70" w:rsidRPr="00144534">
        <w:rPr>
          <w:color w:val="000000"/>
          <w:vertAlign w:val="superscript"/>
        </w:rPr>
        <w:t>1</w:t>
      </w:r>
      <w:r w:rsidR="00F34B70" w:rsidRPr="00144534">
        <w:rPr>
          <w:color w:val="000000"/>
        </w:rPr>
        <w:t> punktu:</w:t>
      </w:r>
    </w:p>
    <w:p w14:paraId="7C2D0C14" w14:textId="06A2C0A6" w:rsidR="00F34B70" w:rsidRPr="00144534" w:rsidRDefault="00F34B70" w:rsidP="00F34B70">
      <w:pPr>
        <w:widowControl w:val="0"/>
        <w:suppressAutoHyphens/>
        <w:ind w:firstLine="709"/>
        <w:jc w:val="both"/>
        <w:rPr>
          <w:color w:val="000000"/>
          <w:szCs w:val="24"/>
          <w:lang w:eastAsia="lt-LT"/>
        </w:rPr>
      </w:pPr>
      <w:r w:rsidRPr="00144534">
        <w:rPr>
          <w:color w:val="000000"/>
        </w:rPr>
        <w:t>„</w:t>
      </w:r>
      <w:r w:rsidRPr="00144534">
        <w:rPr>
          <w:szCs w:val="24"/>
        </w:rPr>
        <w:t>53</w:t>
      </w:r>
      <w:r w:rsidRPr="00144534">
        <w:rPr>
          <w:szCs w:val="24"/>
          <w:vertAlign w:val="superscript"/>
        </w:rPr>
        <w:t>1</w:t>
      </w:r>
      <w:r w:rsidRPr="00144534">
        <w:rPr>
          <w:szCs w:val="24"/>
        </w:rPr>
        <w:t>. Reikalavimas pranešti apie asmens duomenų saugumo pažeidimą Valstybinei duomenų apsaugos inspekcijai netaikomas, jei asmens duomenų saugumo pažeidimas įvyko teismui vykdant savo teismines funkcijas (asmens duomenis tvarkant šių Taisyklių 8.1–8.2, 8.3</w:t>
      </w:r>
      <w:r w:rsidRPr="00144534">
        <w:rPr>
          <w:szCs w:val="24"/>
          <w:vertAlign w:val="superscript"/>
        </w:rPr>
        <w:t>1</w:t>
      </w:r>
      <w:r w:rsidRPr="00144534">
        <w:rPr>
          <w:szCs w:val="24"/>
        </w:rPr>
        <w:t>–8.4 ir 8.11–8.13 papunkčiuose nurodytais tikslais).“</w:t>
      </w:r>
      <w:r w:rsidR="004D6955" w:rsidRPr="00144534">
        <w:rPr>
          <w:szCs w:val="24"/>
        </w:rPr>
        <w:t>.</w:t>
      </w:r>
    </w:p>
    <w:p w14:paraId="02065CEB" w14:textId="30B4E1EA" w:rsidR="00F34B70" w:rsidRPr="00144534" w:rsidRDefault="006E6BFF" w:rsidP="00F34B70">
      <w:pPr>
        <w:widowControl w:val="0"/>
        <w:suppressAutoHyphens/>
        <w:ind w:firstLine="709"/>
        <w:jc w:val="both"/>
        <w:rPr>
          <w:color w:val="000000"/>
        </w:rPr>
      </w:pPr>
      <w:r w:rsidRPr="00144534">
        <w:rPr>
          <w:color w:val="000000"/>
        </w:rPr>
        <w:t>8</w:t>
      </w:r>
      <w:r w:rsidR="00F34B70" w:rsidRPr="00144534">
        <w:rPr>
          <w:color w:val="000000"/>
        </w:rPr>
        <w:t>. Papildyti Taisykles 60 punktu:</w:t>
      </w:r>
    </w:p>
    <w:p w14:paraId="658C45A7" w14:textId="18D5D407" w:rsidR="00F34B70" w:rsidRPr="00144534" w:rsidRDefault="00F34B70" w:rsidP="00E869F2">
      <w:pPr>
        <w:widowControl w:val="0"/>
        <w:suppressAutoHyphens/>
        <w:ind w:firstLine="709"/>
        <w:jc w:val="both"/>
        <w:rPr>
          <w:color w:val="000000"/>
        </w:rPr>
      </w:pPr>
      <w:r w:rsidRPr="00144534">
        <w:rPr>
          <w:color w:val="000000"/>
        </w:rPr>
        <w:t>„</w:t>
      </w:r>
      <w:r w:rsidRPr="00144534">
        <w:rPr>
          <w:szCs w:val="24"/>
        </w:rPr>
        <w:t>60. Už šių Taisyklių ir kitų asmens duomenų tvarkymą ir apsaugą reglamentuojančių teisės aktų įgyvendinimo užtikrinimą bei laikymosi kontrolę yra atsakingas teismo pirmininkas.“</w:t>
      </w:r>
      <w:r w:rsidR="004D6955" w:rsidRPr="00144534">
        <w:rPr>
          <w:szCs w:val="24"/>
        </w:rPr>
        <w:t>.</w:t>
      </w:r>
    </w:p>
    <w:p w14:paraId="0F40B66E" w14:textId="069A3931" w:rsidR="002677A0" w:rsidRPr="00144534" w:rsidRDefault="002677A0" w:rsidP="002677A0">
      <w:pPr>
        <w:tabs>
          <w:tab w:val="left" w:pos="709"/>
          <w:tab w:val="left" w:pos="1134"/>
          <w:tab w:val="left" w:pos="1418"/>
        </w:tabs>
        <w:ind w:firstLine="720"/>
        <w:jc w:val="both"/>
        <w:rPr>
          <w:szCs w:val="24"/>
          <w:lang w:eastAsia="lt-LT"/>
        </w:rPr>
      </w:pPr>
    </w:p>
    <w:p w14:paraId="08C17023" w14:textId="77777777" w:rsidR="00911658" w:rsidRPr="00144534" w:rsidRDefault="00911658">
      <w:pPr>
        <w:tabs>
          <w:tab w:val="left" w:pos="7196"/>
        </w:tabs>
        <w:rPr>
          <w:szCs w:val="24"/>
        </w:rPr>
      </w:pPr>
    </w:p>
    <w:tbl>
      <w:tblPr>
        <w:tblW w:w="9797" w:type="dxa"/>
        <w:tblLayout w:type="fixed"/>
        <w:tblLook w:val="04A0" w:firstRow="1" w:lastRow="0" w:firstColumn="1" w:lastColumn="0" w:noHBand="0" w:noVBand="1"/>
      </w:tblPr>
      <w:tblGrid>
        <w:gridCol w:w="7371"/>
        <w:gridCol w:w="2426"/>
      </w:tblGrid>
      <w:tr w:rsidR="0058259F" w:rsidRPr="00144534" w14:paraId="43D5605F" w14:textId="77777777" w:rsidTr="00B24249">
        <w:tc>
          <w:tcPr>
            <w:tcW w:w="7371" w:type="dxa"/>
          </w:tcPr>
          <w:p w14:paraId="75978CD6" w14:textId="77777777" w:rsidR="0058259F" w:rsidRPr="00144534" w:rsidRDefault="0058259F" w:rsidP="00B24249">
            <w:pPr>
              <w:rPr>
                <w:color w:val="000000"/>
              </w:rPr>
            </w:pPr>
            <w:r w:rsidRPr="00144534">
              <w:rPr>
                <w:color w:val="000000"/>
              </w:rPr>
              <w:t>Pirmininkė</w:t>
            </w:r>
          </w:p>
          <w:p w14:paraId="5202F570" w14:textId="77777777" w:rsidR="0058259F" w:rsidRPr="00144534" w:rsidRDefault="0058259F" w:rsidP="00B24249">
            <w:pPr>
              <w:rPr>
                <w:color w:val="000000"/>
              </w:rPr>
            </w:pPr>
          </w:p>
        </w:tc>
        <w:tc>
          <w:tcPr>
            <w:tcW w:w="2426" w:type="dxa"/>
          </w:tcPr>
          <w:p w14:paraId="568EA1BA" w14:textId="77777777" w:rsidR="0058259F" w:rsidRPr="00144534" w:rsidRDefault="0058259F" w:rsidP="00B24249">
            <w:pPr>
              <w:rPr>
                <w:color w:val="000000"/>
              </w:rPr>
            </w:pPr>
            <w:r w:rsidRPr="00144534">
              <w:rPr>
                <w:color w:val="000000"/>
              </w:rPr>
              <w:t>Danguolė Bublienė</w:t>
            </w:r>
          </w:p>
          <w:p w14:paraId="38DF46D2" w14:textId="77777777" w:rsidR="0058259F" w:rsidRPr="00144534" w:rsidRDefault="0058259F" w:rsidP="00B24249">
            <w:pPr>
              <w:rPr>
                <w:color w:val="000000"/>
              </w:rPr>
            </w:pPr>
          </w:p>
          <w:p w14:paraId="68ACAF7E" w14:textId="77777777" w:rsidR="0058259F" w:rsidRPr="00144534" w:rsidRDefault="0058259F" w:rsidP="00B24249">
            <w:pPr>
              <w:rPr>
                <w:color w:val="000000"/>
              </w:rPr>
            </w:pPr>
          </w:p>
        </w:tc>
      </w:tr>
      <w:tr w:rsidR="0058259F" w:rsidRPr="00144534" w14:paraId="03CFACE0" w14:textId="77777777" w:rsidTr="00B24249">
        <w:tc>
          <w:tcPr>
            <w:tcW w:w="7371" w:type="dxa"/>
          </w:tcPr>
          <w:p w14:paraId="6BDEF00E" w14:textId="77777777" w:rsidR="0058259F" w:rsidRPr="00144534" w:rsidRDefault="0058259F" w:rsidP="00B24249">
            <w:pPr>
              <w:pStyle w:val="Tekstas"/>
              <w:ind w:firstLine="0"/>
            </w:pPr>
            <w:r w:rsidRPr="00144534">
              <w:t>Sekretorė</w:t>
            </w:r>
          </w:p>
        </w:tc>
        <w:tc>
          <w:tcPr>
            <w:tcW w:w="2426" w:type="dxa"/>
          </w:tcPr>
          <w:p w14:paraId="62AC373B" w14:textId="77777777" w:rsidR="0058259F" w:rsidRPr="00144534" w:rsidRDefault="0058259F" w:rsidP="00B24249">
            <w:r w:rsidRPr="00144534">
              <w:rPr>
                <w:color w:val="000000"/>
              </w:rPr>
              <w:t>Viktorija Šelmienė</w:t>
            </w:r>
          </w:p>
        </w:tc>
      </w:tr>
    </w:tbl>
    <w:p w14:paraId="20ED6864" w14:textId="734CBA9F" w:rsidR="00911658" w:rsidRPr="00144534" w:rsidRDefault="00911658" w:rsidP="0058259F">
      <w:pPr>
        <w:tabs>
          <w:tab w:val="left" w:pos="6804"/>
        </w:tabs>
        <w:spacing w:line="276" w:lineRule="auto"/>
      </w:pPr>
    </w:p>
    <w:sectPr w:rsidR="00911658" w:rsidRPr="00144534" w:rsidSect="00CA639E">
      <w:headerReference w:type="even" r:id="rId9"/>
      <w:headerReference w:type="first" r:id="rId10"/>
      <w:pgSz w:w="11907" w:h="16840" w:code="9"/>
      <w:pgMar w:top="1134" w:right="567" w:bottom="1134" w:left="1701" w:header="811" w:footer="567"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6D8A" w14:textId="77777777" w:rsidR="00564CE9" w:rsidRDefault="00564CE9">
      <w:pPr>
        <w:rPr>
          <w:szCs w:val="24"/>
        </w:rPr>
      </w:pPr>
      <w:r>
        <w:rPr>
          <w:szCs w:val="24"/>
        </w:rPr>
        <w:separator/>
      </w:r>
    </w:p>
  </w:endnote>
  <w:endnote w:type="continuationSeparator" w:id="0">
    <w:p w14:paraId="63D71B46" w14:textId="77777777" w:rsidR="00564CE9" w:rsidRDefault="00564CE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78E5" w14:textId="77777777" w:rsidR="00564CE9" w:rsidRDefault="00564CE9">
      <w:pPr>
        <w:rPr>
          <w:szCs w:val="24"/>
        </w:rPr>
      </w:pPr>
      <w:r>
        <w:rPr>
          <w:szCs w:val="24"/>
        </w:rPr>
        <w:separator/>
      </w:r>
    </w:p>
  </w:footnote>
  <w:footnote w:type="continuationSeparator" w:id="0">
    <w:p w14:paraId="3026D86B" w14:textId="77777777" w:rsidR="00564CE9" w:rsidRDefault="00564CE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082445"/>
      <w:docPartObj>
        <w:docPartGallery w:val="Page Numbers (Top of Page)"/>
        <w:docPartUnique/>
      </w:docPartObj>
    </w:sdtPr>
    <w:sdtEndPr>
      <w:rPr>
        <w:rFonts w:ascii="Arial" w:hAnsi="Arial" w:cs="Arial"/>
        <w:sz w:val="24"/>
        <w:szCs w:val="24"/>
      </w:rPr>
    </w:sdtEndPr>
    <w:sdtContent>
      <w:p w14:paraId="2BEA567E" w14:textId="1DA4DD8D" w:rsidR="00CA639E" w:rsidRPr="00CA639E" w:rsidRDefault="00CA639E">
        <w:pPr>
          <w:pStyle w:val="Antrats"/>
          <w:jc w:val="center"/>
          <w:rPr>
            <w:rFonts w:ascii="Arial" w:hAnsi="Arial" w:cs="Arial"/>
            <w:sz w:val="24"/>
            <w:szCs w:val="24"/>
          </w:rPr>
        </w:pPr>
        <w:r w:rsidRPr="00CA639E">
          <w:rPr>
            <w:rFonts w:ascii="Arial" w:hAnsi="Arial" w:cs="Arial"/>
            <w:sz w:val="24"/>
            <w:szCs w:val="24"/>
          </w:rPr>
          <w:fldChar w:fldCharType="begin"/>
        </w:r>
        <w:r w:rsidRPr="00CA639E">
          <w:rPr>
            <w:rFonts w:ascii="Arial" w:hAnsi="Arial" w:cs="Arial"/>
            <w:sz w:val="24"/>
            <w:szCs w:val="24"/>
          </w:rPr>
          <w:instrText>PAGE   \* MERGEFORMAT</w:instrText>
        </w:r>
        <w:r w:rsidRPr="00CA639E">
          <w:rPr>
            <w:rFonts w:ascii="Arial" w:hAnsi="Arial" w:cs="Arial"/>
            <w:sz w:val="24"/>
            <w:szCs w:val="24"/>
          </w:rPr>
          <w:fldChar w:fldCharType="separate"/>
        </w:r>
        <w:r w:rsidRPr="00CA639E">
          <w:rPr>
            <w:rFonts w:ascii="Arial" w:hAnsi="Arial" w:cs="Arial"/>
            <w:sz w:val="24"/>
            <w:szCs w:val="24"/>
            <w:lang w:val="lt-LT"/>
          </w:rPr>
          <w:t>2</w:t>
        </w:r>
        <w:r w:rsidRPr="00CA639E">
          <w:rPr>
            <w:rFonts w:ascii="Arial" w:hAnsi="Arial" w:cs="Arial"/>
            <w:sz w:val="24"/>
            <w:szCs w:val="24"/>
          </w:rPr>
          <w:fldChar w:fldCharType="end"/>
        </w:r>
      </w:p>
    </w:sdtContent>
  </w:sdt>
  <w:p w14:paraId="1D888713" w14:textId="77777777" w:rsidR="00CA639E" w:rsidRDefault="00CA63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7ADF" w14:textId="3F18EE01" w:rsidR="00CC7A9A" w:rsidRDefault="006B6540" w:rsidP="00CC532E">
    <w:pPr>
      <w:tabs>
        <w:tab w:val="center" w:pos="4680"/>
        <w:tab w:val="right" w:pos="9360"/>
      </w:tabs>
      <w:jc w:val="right"/>
      <w:rPr>
        <w:rFonts w:ascii="Arial" w:hAnsi="Arial" w:cs="Arial"/>
        <w:b/>
        <w:bCs/>
        <w:szCs w:val="24"/>
      </w:rPr>
    </w:pPr>
    <w:r w:rsidRPr="00310219">
      <w:rPr>
        <w:rFonts w:ascii="Arial" w:hAnsi="Arial" w:cs="Arial"/>
        <w:b/>
        <w:bCs/>
        <w:szCs w:val="24"/>
      </w:rPr>
      <w:t>Projektas</w:t>
    </w:r>
  </w:p>
  <w:p w14:paraId="6263EB8F" w14:textId="77777777" w:rsidR="00CC532E" w:rsidRDefault="00CC532E" w:rsidP="00CC532E">
    <w:pPr>
      <w:tabs>
        <w:tab w:val="center" w:pos="4680"/>
        <w:tab w:val="right" w:pos="9360"/>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D5C2B"/>
    <w:multiLevelType w:val="hybridMultilevel"/>
    <w:tmpl w:val="C6647DAA"/>
    <w:lvl w:ilvl="0" w:tplc="ECCA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8170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63"/>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4"/>
    <w:rsid w:val="00013FE8"/>
    <w:rsid w:val="00016E5C"/>
    <w:rsid w:val="000360A8"/>
    <w:rsid w:val="000425FD"/>
    <w:rsid w:val="00045D21"/>
    <w:rsid w:val="00063AB6"/>
    <w:rsid w:val="00086722"/>
    <w:rsid w:val="000A078C"/>
    <w:rsid w:val="000E4B07"/>
    <w:rsid w:val="000F653C"/>
    <w:rsid w:val="00104264"/>
    <w:rsid w:val="00144534"/>
    <w:rsid w:val="001E12D9"/>
    <w:rsid w:val="00246ED4"/>
    <w:rsid w:val="002677A0"/>
    <w:rsid w:val="00282A12"/>
    <w:rsid w:val="0029205A"/>
    <w:rsid w:val="00295932"/>
    <w:rsid w:val="002A193A"/>
    <w:rsid w:val="002D10C4"/>
    <w:rsid w:val="002D4E74"/>
    <w:rsid w:val="002F09A3"/>
    <w:rsid w:val="00310219"/>
    <w:rsid w:val="00310506"/>
    <w:rsid w:val="00324424"/>
    <w:rsid w:val="0033108A"/>
    <w:rsid w:val="00397A91"/>
    <w:rsid w:val="003B6904"/>
    <w:rsid w:val="00412DA6"/>
    <w:rsid w:val="00421014"/>
    <w:rsid w:val="00447150"/>
    <w:rsid w:val="00472853"/>
    <w:rsid w:val="004A5949"/>
    <w:rsid w:val="004D6955"/>
    <w:rsid w:val="004D786E"/>
    <w:rsid w:val="00534FC0"/>
    <w:rsid w:val="00564CE9"/>
    <w:rsid w:val="00567982"/>
    <w:rsid w:val="0058259F"/>
    <w:rsid w:val="005A1657"/>
    <w:rsid w:val="005A5EC4"/>
    <w:rsid w:val="005B3C8D"/>
    <w:rsid w:val="005D7F3A"/>
    <w:rsid w:val="00616F8D"/>
    <w:rsid w:val="006175FC"/>
    <w:rsid w:val="00620E07"/>
    <w:rsid w:val="00622EA0"/>
    <w:rsid w:val="00687162"/>
    <w:rsid w:val="006B6540"/>
    <w:rsid w:val="006C4551"/>
    <w:rsid w:val="006D1750"/>
    <w:rsid w:val="006E1F4D"/>
    <w:rsid w:val="006E6BFF"/>
    <w:rsid w:val="006F7C6B"/>
    <w:rsid w:val="007345F2"/>
    <w:rsid w:val="00784A83"/>
    <w:rsid w:val="007B235C"/>
    <w:rsid w:val="008021C7"/>
    <w:rsid w:val="00845426"/>
    <w:rsid w:val="00845E9E"/>
    <w:rsid w:val="00857B34"/>
    <w:rsid w:val="0089562E"/>
    <w:rsid w:val="008C765A"/>
    <w:rsid w:val="00911658"/>
    <w:rsid w:val="0091208E"/>
    <w:rsid w:val="00961BA3"/>
    <w:rsid w:val="00990729"/>
    <w:rsid w:val="0099289F"/>
    <w:rsid w:val="009D570C"/>
    <w:rsid w:val="009F2754"/>
    <w:rsid w:val="00A707CC"/>
    <w:rsid w:val="00A7154D"/>
    <w:rsid w:val="00A840B5"/>
    <w:rsid w:val="00AB0F7A"/>
    <w:rsid w:val="00AC5CA5"/>
    <w:rsid w:val="00AE0098"/>
    <w:rsid w:val="00B3182F"/>
    <w:rsid w:val="00BB267C"/>
    <w:rsid w:val="00BE458F"/>
    <w:rsid w:val="00BF036D"/>
    <w:rsid w:val="00C07C0C"/>
    <w:rsid w:val="00C122BA"/>
    <w:rsid w:val="00C270F6"/>
    <w:rsid w:val="00C30946"/>
    <w:rsid w:val="00C41653"/>
    <w:rsid w:val="00CA639E"/>
    <w:rsid w:val="00CB6678"/>
    <w:rsid w:val="00CC032F"/>
    <w:rsid w:val="00CC3D89"/>
    <w:rsid w:val="00CC532E"/>
    <w:rsid w:val="00CC7A9A"/>
    <w:rsid w:val="00D03553"/>
    <w:rsid w:val="00D239AE"/>
    <w:rsid w:val="00DF7307"/>
    <w:rsid w:val="00E26278"/>
    <w:rsid w:val="00E56C48"/>
    <w:rsid w:val="00E62EBF"/>
    <w:rsid w:val="00E869F2"/>
    <w:rsid w:val="00EA3F94"/>
    <w:rsid w:val="00EC40B3"/>
    <w:rsid w:val="00F0550F"/>
    <w:rsid w:val="00F34B70"/>
    <w:rsid w:val="00F35296"/>
    <w:rsid w:val="00F43B72"/>
    <w:rsid w:val="00F65B75"/>
    <w:rsid w:val="00FE4F51"/>
    <w:rsid w:val="00FF5A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1C7B2"/>
  <w15:docId w15:val="{814783DD-274C-4A37-844D-28B9CE0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16E5C"/>
    <w:rPr>
      <w:color w:val="808080"/>
    </w:rPr>
  </w:style>
  <w:style w:type="paragraph" w:styleId="Sraopastraipa">
    <w:name w:val="List Paragraph"/>
    <w:basedOn w:val="prastasis"/>
    <w:rsid w:val="00CB6678"/>
    <w:pPr>
      <w:ind w:left="720"/>
      <w:contextualSpacing/>
    </w:pPr>
  </w:style>
  <w:style w:type="character" w:styleId="Komentaronuoroda">
    <w:name w:val="annotation reference"/>
    <w:basedOn w:val="Numatytasispastraiposriftas"/>
    <w:semiHidden/>
    <w:unhideWhenUsed/>
    <w:rsid w:val="00CB6678"/>
    <w:rPr>
      <w:sz w:val="16"/>
      <w:szCs w:val="16"/>
    </w:rPr>
  </w:style>
  <w:style w:type="paragraph" w:styleId="Komentarotekstas">
    <w:name w:val="annotation text"/>
    <w:basedOn w:val="prastasis"/>
    <w:link w:val="KomentarotekstasDiagrama"/>
    <w:unhideWhenUsed/>
    <w:rsid w:val="00F43B72"/>
    <w:rPr>
      <w:sz w:val="20"/>
    </w:rPr>
  </w:style>
  <w:style w:type="character" w:customStyle="1" w:styleId="KomentarotekstasDiagrama">
    <w:name w:val="Komentaro tekstas Diagrama"/>
    <w:basedOn w:val="Numatytasispastraiposriftas"/>
    <w:link w:val="Komentarotekstas"/>
    <w:rsid w:val="00F43B72"/>
    <w:rPr>
      <w:sz w:val="20"/>
    </w:rPr>
  </w:style>
  <w:style w:type="table" w:styleId="Lentelstinklelis">
    <w:name w:val="Table Grid"/>
    <w:basedOn w:val="prastojilentel"/>
    <w:rsid w:val="0099289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E12D9"/>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1E12D9"/>
    <w:rPr>
      <w:rFonts w:asciiTheme="minorHAnsi" w:eastAsiaTheme="minorEastAsia" w:hAnsiTheme="minorHAnsi"/>
      <w:sz w:val="22"/>
      <w:szCs w:val="22"/>
      <w:lang w:val="en-US"/>
    </w:rPr>
  </w:style>
  <w:style w:type="paragraph" w:styleId="Komentarotema">
    <w:name w:val="annotation subject"/>
    <w:basedOn w:val="Komentarotekstas"/>
    <w:next w:val="Komentarotekstas"/>
    <w:link w:val="KomentarotemaDiagrama"/>
    <w:semiHidden/>
    <w:unhideWhenUsed/>
    <w:rsid w:val="000A078C"/>
    <w:rPr>
      <w:b/>
      <w:bCs/>
    </w:rPr>
  </w:style>
  <w:style w:type="character" w:customStyle="1" w:styleId="KomentarotemaDiagrama">
    <w:name w:val="Komentaro tema Diagrama"/>
    <w:basedOn w:val="KomentarotekstasDiagrama"/>
    <w:link w:val="Komentarotema"/>
    <w:semiHidden/>
    <w:rsid w:val="000A078C"/>
    <w:rPr>
      <w:b/>
      <w:bCs/>
      <w:sz w:val="20"/>
    </w:rPr>
  </w:style>
  <w:style w:type="paragraph" w:styleId="Porat">
    <w:name w:val="footer"/>
    <w:basedOn w:val="prastasis"/>
    <w:link w:val="PoratDiagrama"/>
    <w:unhideWhenUsed/>
    <w:rsid w:val="00E869F2"/>
    <w:pPr>
      <w:tabs>
        <w:tab w:val="center" w:pos="4513"/>
        <w:tab w:val="right" w:pos="9026"/>
      </w:tabs>
    </w:pPr>
  </w:style>
  <w:style w:type="character" w:customStyle="1" w:styleId="PoratDiagrama">
    <w:name w:val="Poraštė Diagrama"/>
    <w:basedOn w:val="Numatytasispastraiposriftas"/>
    <w:link w:val="Porat"/>
    <w:rsid w:val="00E869F2"/>
  </w:style>
  <w:style w:type="paragraph" w:styleId="Pataisymai">
    <w:name w:val="Revision"/>
    <w:hidden/>
    <w:semiHidden/>
    <w:rsid w:val="004D6955"/>
  </w:style>
  <w:style w:type="paragraph" w:customStyle="1" w:styleId="Tekstas">
    <w:name w:val="Tekstas"/>
    <w:basedOn w:val="prastasis"/>
    <w:uiPriority w:val="99"/>
    <w:qFormat/>
    <w:rsid w:val="0058259F"/>
    <w:pPr>
      <w:suppressAutoHyphens/>
      <w:spacing w:before="40" w:after="40"/>
      <w:ind w:firstLine="1247"/>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18139480">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90296808">
      <w:bodyDiv w:val="1"/>
      <w:marLeft w:val="0"/>
      <w:marRight w:val="0"/>
      <w:marTop w:val="0"/>
      <w:marBottom w:val="0"/>
      <w:divBdr>
        <w:top w:val="none" w:sz="0" w:space="0" w:color="auto"/>
        <w:left w:val="none" w:sz="0" w:space="0" w:color="auto"/>
        <w:bottom w:val="none" w:sz="0" w:space="0" w:color="auto"/>
        <w:right w:val="none" w:sz="0" w:space="0" w:color="auto"/>
      </w:divBdr>
    </w:div>
    <w:div w:id="589237818">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134564119">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052420285">
      <w:bodyDiv w:val="1"/>
      <w:marLeft w:val="0"/>
      <w:marRight w:val="0"/>
      <w:marTop w:val="0"/>
      <w:marBottom w:val="0"/>
      <w:divBdr>
        <w:top w:val="none" w:sz="0" w:space="0" w:color="auto"/>
        <w:left w:val="none" w:sz="0" w:space="0" w:color="auto"/>
        <w:bottom w:val="none" w:sz="0" w:space="0" w:color="auto"/>
        <w:right w:val="none" w:sz="0" w:space="0" w:color="auto"/>
      </w:divBdr>
    </w:div>
    <w:div w:id="2080516292">
      <w:bodyDiv w:val="1"/>
      <w:marLeft w:val="0"/>
      <w:marRight w:val="0"/>
      <w:marTop w:val="0"/>
      <w:marBottom w:val="0"/>
      <w:divBdr>
        <w:top w:val="none" w:sz="0" w:space="0" w:color="auto"/>
        <w:left w:val="none" w:sz="0" w:space="0" w:color="auto"/>
        <w:bottom w:val="none" w:sz="0" w:space="0" w:color="auto"/>
        <w:right w:val="none" w:sz="0" w:space="0" w:color="auto"/>
      </w:divBdr>
    </w:div>
    <w:div w:id="2120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FBB7-76E6-4B74-AD50-410528FF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4731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Alina Dokutovičienė</cp:lastModifiedBy>
  <cp:revision>5</cp:revision>
  <cp:lastPrinted>2020-09-17T10:32:00Z</cp:lastPrinted>
  <dcterms:created xsi:type="dcterms:W3CDTF">2025-08-26T10:43:00Z</dcterms:created>
  <dcterms:modified xsi:type="dcterms:W3CDTF">2025-08-29T12:14:00Z</dcterms:modified>
</cp:coreProperties>
</file>