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1" w:type="dxa"/>
        <w:tblLayout w:type="fixed"/>
        <w:tblLook w:val="0000" w:firstRow="0" w:lastRow="0" w:firstColumn="0" w:lastColumn="0" w:noHBand="0" w:noVBand="0"/>
      </w:tblPr>
      <w:tblGrid>
        <w:gridCol w:w="9831"/>
      </w:tblGrid>
      <w:tr w:rsidR="00065534" w:rsidRPr="00AE7CF2" w14:paraId="11DC5D9E" w14:textId="77777777" w:rsidTr="00065534">
        <w:trPr>
          <w:cantSplit/>
          <w:trHeight w:val="356"/>
        </w:trPr>
        <w:tc>
          <w:tcPr>
            <w:tcW w:w="9831" w:type="dxa"/>
            <w:vMerge w:val="restart"/>
          </w:tcPr>
          <w:p w14:paraId="6AA2B098" w14:textId="3A1E7031" w:rsidR="00065534" w:rsidRPr="00AE7CF2" w:rsidRDefault="00065534" w:rsidP="00B36445">
            <w:pPr>
              <w:pStyle w:val="Adresas"/>
              <w:tabs>
                <w:tab w:val="left" w:pos="5160"/>
              </w:tabs>
              <w:ind w:right="0" w:hanging="105"/>
              <w:rPr>
                <w:rFonts w:ascii="Arial" w:hAnsi="Arial" w:cs="Arial"/>
              </w:rPr>
            </w:pPr>
          </w:p>
        </w:tc>
      </w:tr>
      <w:tr w:rsidR="00065534" w:rsidRPr="00AE7CF2" w14:paraId="59B965C3" w14:textId="77777777" w:rsidTr="00065534">
        <w:trPr>
          <w:cantSplit/>
          <w:trHeight w:val="305"/>
        </w:trPr>
        <w:tc>
          <w:tcPr>
            <w:tcW w:w="9831" w:type="dxa"/>
            <w:vMerge/>
          </w:tcPr>
          <w:p w14:paraId="4E002D18" w14:textId="77777777" w:rsidR="00065534" w:rsidRPr="00AE7CF2" w:rsidRDefault="00065534" w:rsidP="008A724F">
            <w:pPr>
              <w:rPr>
                <w:rFonts w:ascii="Arial" w:hAnsi="Arial" w:cs="Arial"/>
              </w:rPr>
            </w:pPr>
          </w:p>
        </w:tc>
      </w:tr>
    </w:tbl>
    <w:p w14:paraId="3881C87A" w14:textId="4D7ABEB1" w:rsidR="0018776B" w:rsidRPr="00517E93" w:rsidRDefault="0018776B" w:rsidP="004E5102">
      <w:pPr>
        <w:pStyle w:val="Pavadinimas"/>
        <w:tabs>
          <w:tab w:val="left" w:pos="0"/>
        </w:tabs>
        <w:ind w:right="1134"/>
        <w:rPr>
          <w:rFonts w:ascii="Arial" w:hAnsi="Arial" w:cs="Arial"/>
          <w:b/>
        </w:rPr>
      </w:pPr>
      <w:r w:rsidRPr="00AE7CF2">
        <w:rPr>
          <w:rFonts w:ascii="Arial" w:hAnsi="Arial" w:cs="Arial"/>
          <w:b/>
        </w:rPr>
        <w:t xml:space="preserve">dėl </w:t>
      </w:r>
      <w:r w:rsidRPr="00517E93">
        <w:rPr>
          <w:rFonts w:ascii="Arial" w:hAnsi="Arial" w:cs="Arial"/>
          <w:b/>
        </w:rPr>
        <w:t>Konsultacijos</w:t>
      </w:r>
      <w:r w:rsidR="00593E46">
        <w:rPr>
          <w:rFonts w:ascii="Arial" w:hAnsi="Arial" w:cs="Arial"/>
          <w:b/>
        </w:rPr>
        <w:t xml:space="preserve"> (</w:t>
      </w:r>
      <w:r w:rsidR="004E5102">
        <w:rPr>
          <w:rFonts w:ascii="Arial" w:hAnsi="Arial" w:cs="Arial"/>
          <w:b/>
        </w:rPr>
        <w:t xml:space="preserve">teisėjo </w:t>
      </w:r>
      <w:r w:rsidR="00593E46">
        <w:rPr>
          <w:rFonts w:ascii="Arial" w:hAnsi="Arial" w:cs="Arial"/>
          <w:b/>
        </w:rPr>
        <w:t>nešališkumo principo taikymas)</w:t>
      </w:r>
    </w:p>
    <w:p w14:paraId="65F4B39B" w14:textId="77777777" w:rsidR="00F45551" w:rsidRPr="00517E93" w:rsidRDefault="00F45551" w:rsidP="0018776B">
      <w:pPr>
        <w:pStyle w:val="Pavadinimas"/>
        <w:rPr>
          <w:rFonts w:ascii="Arial" w:hAnsi="Arial" w:cs="Arial"/>
          <w:b/>
        </w:rPr>
      </w:pPr>
    </w:p>
    <w:p w14:paraId="5873DE10" w14:textId="6A025C0F" w:rsidR="00C65646" w:rsidRPr="00C65646" w:rsidRDefault="00517E93" w:rsidP="0034461B">
      <w:pPr>
        <w:pStyle w:val="Tekstas"/>
        <w:spacing w:before="0" w:after="0"/>
        <w:ind w:right="0" w:firstLine="851"/>
        <w:rPr>
          <w:rFonts w:ascii="Arial" w:hAnsi="Arial" w:cs="Arial"/>
          <w:lang w:val="lt-LT" w:eastAsia="en-US"/>
        </w:rPr>
      </w:pPr>
      <w:r w:rsidRPr="00517E93">
        <w:rPr>
          <w:rFonts w:ascii="Arial" w:hAnsi="Arial" w:cs="Arial"/>
          <w:lang w:val="lt-LT"/>
        </w:rPr>
        <w:t>Regionų administracinio teismo Klaipėdos rūmų teisėjas R</w:t>
      </w:r>
      <w:r w:rsidR="00060333">
        <w:rPr>
          <w:rFonts w:ascii="Arial" w:hAnsi="Arial" w:cs="Arial"/>
          <w:lang w:val="lt-LT"/>
        </w:rPr>
        <w:t>.</w:t>
      </w:r>
      <w:r w:rsidRPr="00517E93">
        <w:rPr>
          <w:rFonts w:ascii="Arial" w:hAnsi="Arial" w:cs="Arial"/>
          <w:lang w:val="lt-LT"/>
        </w:rPr>
        <w:t xml:space="preserve"> A</w:t>
      </w:r>
      <w:r w:rsidR="00060333">
        <w:rPr>
          <w:rFonts w:ascii="Arial" w:hAnsi="Arial" w:cs="Arial"/>
          <w:lang w:val="lt-LT"/>
        </w:rPr>
        <w:t>.</w:t>
      </w:r>
      <w:r w:rsidR="008118CF" w:rsidRPr="00517E93">
        <w:rPr>
          <w:rFonts w:ascii="Arial" w:hAnsi="Arial" w:cs="Arial"/>
          <w:lang w:val="lt-LT"/>
        </w:rPr>
        <w:t xml:space="preserve"> </w:t>
      </w:r>
      <w:r w:rsidR="006217C3" w:rsidRPr="00517E93">
        <w:rPr>
          <w:rFonts w:ascii="Arial" w:hAnsi="Arial" w:cs="Arial"/>
          <w:lang w:val="lt-LT"/>
        </w:rPr>
        <w:t xml:space="preserve">(toliau – pareiškėjas) </w:t>
      </w:r>
      <w:r w:rsidR="008118CF" w:rsidRPr="00517E93">
        <w:rPr>
          <w:rFonts w:ascii="Arial" w:hAnsi="Arial" w:cs="Arial"/>
          <w:lang w:val="lt-LT"/>
        </w:rPr>
        <w:t>kreipėsi</w:t>
      </w:r>
      <w:r w:rsidR="008118CF" w:rsidRPr="00AE7CF2">
        <w:rPr>
          <w:rFonts w:ascii="Arial" w:hAnsi="Arial" w:cs="Arial"/>
          <w:lang w:val="lt-LT"/>
        </w:rPr>
        <w:t xml:space="preserve"> į Teisėjų etikos ir drausmės komisiją (toliau – Komisija)</w:t>
      </w:r>
      <w:r w:rsidR="006217C3">
        <w:rPr>
          <w:rFonts w:ascii="Arial" w:hAnsi="Arial" w:cs="Arial"/>
          <w:lang w:val="lt-LT"/>
        </w:rPr>
        <w:t>,</w:t>
      </w:r>
      <w:r w:rsidR="008118CF" w:rsidRPr="00AE7CF2">
        <w:rPr>
          <w:rFonts w:ascii="Arial" w:hAnsi="Arial" w:cs="Arial"/>
          <w:lang w:val="lt-LT"/>
        </w:rPr>
        <w:t xml:space="preserve"> prašydamas </w:t>
      </w:r>
      <w:r w:rsidR="00DE3591">
        <w:rPr>
          <w:rFonts w:ascii="Arial" w:hAnsi="Arial" w:cs="Arial"/>
          <w:lang w:val="lt-LT"/>
        </w:rPr>
        <w:t>pateikti konsultaciją</w:t>
      </w:r>
      <w:r w:rsidR="008118CF" w:rsidRPr="00AE7CF2">
        <w:rPr>
          <w:rFonts w:ascii="Arial" w:hAnsi="Arial" w:cs="Arial"/>
          <w:lang w:val="lt-LT"/>
        </w:rPr>
        <w:t>, ar egzistuoja pagrindas teisėjui nusišalinti nuo bylos nagrinėjimo, jei</w:t>
      </w:r>
      <w:r>
        <w:rPr>
          <w:rFonts w:ascii="Arial" w:hAnsi="Arial" w:cs="Arial"/>
          <w:lang w:val="lt-LT"/>
        </w:rPr>
        <w:t xml:space="preserve"> egzistuoja šios aplinkybės: 1) </w:t>
      </w:r>
      <w:r w:rsidRPr="00517E93">
        <w:rPr>
          <w:rFonts w:ascii="Arial" w:hAnsi="Arial" w:cs="Arial"/>
          <w:lang w:val="lt-LT"/>
        </w:rPr>
        <w:t xml:space="preserve">jis </w:t>
      </w:r>
      <w:r w:rsidRPr="00517E93">
        <w:rPr>
          <w:rFonts w:ascii="Arial" w:hAnsi="Arial" w:cs="Arial"/>
          <w:color w:val="000000"/>
          <w:spacing w:val="-1"/>
          <w:lang w:val="lt-LT"/>
        </w:rPr>
        <w:t xml:space="preserve">nagrinėja administracinę bylą Nr. </w:t>
      </w:r>
      <w:r w:rsidR="00C363EF">
        <w:rPr>
          <w:rFonts w:ascii="Arial" w:hAnsi="Arial" w:cs="Arial"/>
          <w:color w:val="000000"/>
          <w:spacing w:val="-1"/>
          <w:lang w:val="lt-LT"/>
        </w:rPr>
        <w:t>I</w:t>
      </w:r>
      <w:r w:rsidRPr="00517E93">
        <w:rPr>
          <w:rFonts w:ascii="Arial" w:hAnsi="Arial" w:cs="Arial"/>
          <w:color w:val="000000"/>
          <w:spacing w:val="-1"/>
          <w:lang w:val="lt-LT"/>
        </w:rPr>
        <w:t xml:space="preserve">2-396-583/2025 </w:t>
      </w:r>
      <w:r w:rsidRPr="00517E93">
        <w:rPr>
          <w:rFonts w:ascii="Arial" w:hAnsi="Arial" w:cs="Arial"/>
          <w:color w:val="000000"/>
          <w:spacing w:val="9"/>
          <w:lang w:val="lt-LT"/>
        </w:rPr>
        <w:t xml:space="preserve">pagal pareiškėjų Klaipėdos apygardos teismo teisėjų skundą atsakovei Lietuvos valstybei, </w:t>
      </w:r>
      <w:r w:rsidRPr="00517E93">
        <w:rPr>
          <w:rFonts w:ascii="Arial" w:hAnsi="Arial" w:cs="Arial"/>
          <w:color w:val="000000"/>
          <w:lang w:val="lt-LT"/>
        </w:rPr>
        <w:t xml:space="preserve">atstovaujamai Lietuvos Respublikos teisingumo ministerijos ir Lietuvos Respublikos finansų ministerijos </w:t>
      </w:r>
      <w:r w:rsidRPr="00517E93">
        <w:rPr>
          <w:rFonts w:ascii="Arial" w:hAnsi="Arial" w:cs="Arial"/>
          <w:color w:val="000000"/>
          <w:spacing w:val="1"/>
          <w:lang w:val="lt-LT"/>
        </w:rPr>
        <w:t xml:space="preserve">dėl valstybės veiksmais padarytos žalos </w:t>
      </w:r>
      <w:r w:rsidRPr="00C65646">
        <w:rPr>
          <w:rFonts w:ascii="Arial" w:hAnsi="Arial" w:cs="Arial"/>
          <w:color w:val="000000"/>
          <w:spacing w:val="1"/>
          <w:lang w:val="lt-LT"/>
        </w:rPr>
        <w:t>atlyginimo priteisimo ir neveikimo; 2)</w:t>
      </w:r>
      <w:r w:rsidR="00C363EF">
        <w:rPr>
          <w:rFonts w:ascii="Arial" w:hAnsi="Arial" w:cs="Arial"/>
          <w:color w:val="000000"/>
          <w:spacing w:val="1"/>
          <w:lang w:val="lt-LT"/>
        </w:rPr>
        <w:t> </w:t>
      </w:r>
      <w:r w:rsidRPr="00C65646">
        <w:rPr>
          <w:rFonts w:ascii="Arial" w:hAnsi="Arial" w:cs="Arial"/>
          <w:color w:val="000000"/>
          <w:spacing w:val="2"/>
          <w:lang w:val="lt-LT"/>
        </w:rPr>
        <w:t xml:space="preserve">pats yra ieškovas </w:t>
      </w:r>
      <w:r w:rsidR="00C363EF">
        <w:rPr>
          <w:rFonts w:ascii="Arial" w:hAnsi="Arial" w:cs="Arial"/>
          <w:color w:val="000000"/>
          <w:spacing w:val="2"/>
          <w:lang w:val="lt-LT"/>
        </w:rPr>
        <w:t xml:space="preserve">identiškoje </w:t>
      </w:r>
      <w:r w:rsidRPr="00C65646">
        <w:rPr>
          <w:rFonts w:ascii="Arial" w:hAnsi="Arial" w:cs="Arial"/>
          <w:color w:val="000000"/>
          <w:spacing w:val="2"/>
          <w:lang w:val="lt-LT"/>
        </w:rPr>
        <w:t>byloje Nr.</w:t>
      </w:r>
      <w:r w:rsidR="00C363EF">
        <w:rPr>
          <w:rFonts w:ascii="Arial" w:hAnsi="Arial" w:cs="Arial"/>
          <w:color w:val="000000"/>
          <w:spacing w:val="2"/>
          <w:lang w:val="lt-LT"/>
        </w:rPr>
        <w:t> </w:t>
      </w:r>
      <w:r w:rsidRPr="00C65646">
        <w:rPr>
          <w:rFonts w:ascii="Arial" w:hAnsi="Arial" w:cs="Arial"/>
          <w:color w:val="000000"/>
          <w:spacing w:val="2"/>
          <w:lang w:val="lt-LT"/>
        </w:rPr>
        <w:t xml:space="preserve">2-203-1077/2024 </w:t>
      </w:r>
      <w:r w:rsidRPr="00C65646">
        <w:rPr>
          <w:rFonts w:ascii="Arial" w:hAnsi="Arial" w:cs="Arial"/>
          <w:color w:val="000000"/>
          <w:lang w:val="lt-LT"/>
        </w:rPr>
        <w:t xml:space="preserve">pagal ieškovų Regionų administracinio teismo Klaipėdos rūmų teisėjų ieškinį atsakovei </w:t>
      </w:r>
      <w:r w:rsidRPr="00C65646">
        <w:rPr>
          <w:rFonts w:ascii="Arial" w:hAnsi="Arial" w:cs="Arial"/>
          <w:color w:val="000000"/>
          <w:spacing w:val="-1"/>
          <w:lang w:val="lt-LT"/>
        </w:rPr>
        <w:t xml:space="preserve">Lietuvos valstybei, atstovaujamai Lietuvos Respublikos teisingumo ministerijos ir Lietuvos Respublikos </w:t>
      </w:r>
      <w:r w:rsidRPr="00C65646">
        <w:rPr>
          <w:rFonts w:ascii="Arial" w:hAnsi="Arial" w:cs="Arial"/>
          <w:color w:val="000000"/>
          <w:spacing w:val="4"/>
          <w:lang w:val="lt-LT"/>
        </w:rPr>
        <w:t>finansų ministerijos</w:t>
      </w:r>
      <w:r w:rsidR="00C363EF">
        <w:rPr>
          <w:rFonts w:ascii="Arial" w:hAnsi="Arial" w:cs="Arial"/>
          <w:color w:val="000000"/>
          <w:spacing w:val="4"/>
          <w:lang w:val="lt-LT"/>
        </w:rPr>
        <w:t>,</w:t>
      </w:r>
      <w:r w:rsidRPr="00C65646">
        <w:rPr>
          <w:rFonts w:ascii="Arial" w:hAnsi="Arial" w:cs="Arial"/>
          <w:color w:val="000000"/>
          <w:spacing w:val="4"/>
          <w:lang w:val="lt-LT"/>
        </w:rPr>
        <w:t xml:space="preserve"> dėl valstybės veiksmais padarytos žalos atlyginimo priteisimo ir neveikimo, </w:t>
      </w:r>
      <w:r w:rsidRPr="00C65646">
        <w:rPr>
          <w:rFonts w:ascii="Arial" w:hAnsi="Arial" w:cs="Arial"/>
          <w:color w:val="000000"/>
          <w:lang w:val="lt-LT"/>
        </w:rPr>
        <w:t>nagrinėjamoje Vilniaus miesto apylinkės teisme</w:t>
      </w:r>
      <w:r w:rsidR="00C65646" w:rsidRPr="00C65646">
        <w:rPr>
          <w:rFonts w:ascii="Arial" w:hAnsi="Arial" w:cs="Arial"/>
          <w:color w:val="000000"/>
          <w:lang w:val="lt-LT"/>
        </w:rPr>
        <w:t xml:space="preserve">. </w:t>
      </w:r>
      <w:r w:rsidR="00DE3591" w:rsidRPr="00C65646">
        <w:rPr>
          <w:rFonts w:ascii="Arial" w:hAnsi="Arial" w:cs="Arial"/>
          <w:lang w:val="lt-LT"/>
        </w:rPr>
        <w:t xml:space="preserve">Pareiškėjas </w:t>
      </w:r>
      <w:r w:rsidR="00C65646" w:rsidRPr="00C65646">
        <w:rPr>
          <w:rFonts w:ascii="Arial" w:hAnsi="Arial" w:cs="Arial"/>
          <w:lang w:val="lt-LT"/>
        </w:rPr>
        <w:t>mano</w:t>
      </w:r>
      <w:r w:rsidR="00DE3591" w:rsidRPr="00C65646">
        <w:rPr>
          <w:rFonts w:ascii="Arial" w:hAnsi="Arial" w:cs="Arial"/>
          <w:lang w:val="lt-LT"/>
        </w:rPr>
        <w:t>,</w:t>
      </w:r>
      <w:r w:rsidR="008118CF" w:rsidRPr="00C65646">
        <w:rPr>
          <w:rFonts w:ascii="Arial" w:hAnsi="Arial" w:cs="Arial"/>
          <w:lang w:val="lt-LT"/>
        </w:rPr>
        <w:t xml:space="preserve"> </w:t>
      </w:r>
      <w:r w:rsidR="00C65646" w:rsidRPr="00C65646">
        <w:rPr>
          <w:rFonts w:ascii="Arial" w:hAnsi="Arial" w:cs="Arial"/>
          <w:lang w:val="lt-LT"/>
        </w:rPr>
        <w:t xml:space="preserve">kad </w:t>
      </w:r>
      <w:r w:rsidR="00C65646" w:rsidRPr="00C65646">
        <w:rPr>
          <w:rFonts w:ascii="Arial" w:hAnsi="Arial" w:cs="Arial"/>
          <w:color w:val="000000"/>
          <w:spacing w:val="-1"/>
          <w:lang w:val="lt-LT"/>
        </w:rPr>
        <w:t>objektyviam stebėtojui, ginčo šalims i</w:t>
      </w:r>
      <w:r w:rsidR="00C363EF">
        <w:rPr>
          <w:rFonts w:ascii="Arial" w:hAnsi="Arial" w:cs="Arial"/>
          <w:color w:val="000000"/>
          <w:spacing w:val="-1"/>
          <w:lang w:val="lt-LT"/>
        </w:rPr>
        <w:t>r</w:t>
      </w:r>
      <w:r w:rsidR="00C65646" w:rsidRPr="00C65646">
        <w:rPr>
          <w:rFonts w:ascii="Arial" w:hAnsi="Arial" w:cs="Arial"/>
          <w:color w:val="000000"/>
          <w:spacing w:val="-1"/>
          <w:lang w:val="lt-LT"/>
        </w:rPr>
        <w:t xml:space="preserve"> kitiems </w:t>
      </w:r>
      <w:r w:rsidR="00C65646" w:rsidRPr="00C65646">
        <w:rPr>
          <w:rFonts w:ascii="Arial" w:hAnsi="Arial" w:cs="Arial"/>
          <w:color w:val="000000"/>
          <w:lang w:val="lt-LT"/>
        </w:rPr>
        <w:t>proceso dalyviams gali kilti pagristų abejonių dėl teisėjo</w:t>
      </w:r>
      <w:r w:rsidR="007B7439">
        <w:rPr>
          <w:rFonts w:ascii="Arial" w:hAnsi="Arial" w:cs="Arial"/>
          <w:color w:val="000000"/>
          <w:lang w:val="lt-LT"/>
        </w:rPr>
        <w:t>,</w:t>
      </w:r>
      <w:r w:rsidR="00C65646" w:rsidRPr="00C65646">
        <w:rPr>
          <w:rFonts w:ascii="Arial" w:hAnsi="Arial" w:cs="Arial"/>
          <w:color w:val="000000"/>
          <w:lang w:val="lt-LT"/>
        </w:rPr>
        <w:t xml:space="preserve"> nagrinėjančio administracinę bylą, kuris pats </w:t>
      </w:r>
      <w:r w:rsidR="00C65646" w:rsidRPr="00C65646">
        <w:rPr>
          <w:rFonts w:ascii="Arial" w:hAnsi="Arial" w:cs="Arial"/>
          <w:color w:val="000000"/>
          <w:spacing w:val="-2"/>
          <w:lang w:val="lt-LT"/>
        </w:rPr>
        <w:t xml:space="preserve">inicijavo </w:t>
      </w:r>
      <w:r w:rsidR="00C363EF">
        <w:rPr>
          <w:rFonts w:ascii="Arial" w:hAnsi="Arial" w:cs="Arial"/>
          <w:color w:val="000000"/>
          <w:spacing w:val="-2"/>
          <w:lang w:val="lt-LT"/>
        </w:rPr>
        <w:t xml:space="preserve">identišką </w:t>
      </w:r>
      <w:r w:rsidR="00C65646" w:rsidRPr="00C65646">
        <w:rPr>
          <w:rFonts w:ascii="Arial" w:hAnsi="Arial" w:cs="Arial"/>
          <w:color w:val="000000"/>
          <w:spacing w:val="-2"/>
          <w:lang w:val="lt-LT"/>
        </w:rPr>
        <w:t>teisminį procesą prieš valstybę dėl žalos atlyginimo priteisimo</w:t>
      </w:r>
      <w:r w:rsidR="00C363EF">
        <w:rPr>
          <w:rFonts w:ascii="Arial" w:hAnsi="Arial" w:cs="Arial"/>
          <w:color w:val="000000"/>
          <w:spacing w:val="-2"/>
          <w:lang w:val="lt-LT"/>
        </w:rPr>
        <w:t>,</w:t>
      </w:r>
      <w:r w:rsidR="00C65646" w:rsidRPr="00C65646">
        <w:rPr>
          <w:rFonts w:ascii="Arial" w:hAnsi="Arial" w:cs="Arial"/>
          <w:color w:val="000000"/>
          <w:spacing w:val="-2"/>
          <w:lang w:val="lt-LT"/>
        </w:rPr>
        <w:t xml:space="preserve"> galimo nešališkumo, todėl </w:t>
      </w:r>
      <w:r w:rsidR="00C65646" w:rsidRPr="00C65646">
        <w:rPr>
          <w:rFonts w:ascii="Arial" w:hAnsi="Arial" w:cs="Arial"/>
          <w:lang w:val="lt-LT"/>
        </w:rPr>
        <w:t xml:space="preserve">klausia, ar jam </w:t>
      </w:r>
      <w:r w:rsidR="00C65646" w:rsidRPr="00C65646">
        <w:rPr>
          <w:rFonts w:ascii="Arial" w:hAnsi="Arial" w:cs="Arial"/>
          <w:color w:val="000000"/>
          <w:spacing w:val="-2"/>
          <w:lang w:val="lt-LT"/>
        </w:rPr>
        <w:t>nagrinėjant administracinę bylą Nr.</w:t>
      </w:r>
      <w:r w:rsidR="00C363EF">
        <w:rPr>
          <w:rFonts w:ascii="Arial" w:hAnsi="Arial" w:cs="Arial"/>
          <w:color w:val="000000"/>
          <w:spacing w:val="-2"/>
          <w:lang w:val="lt-LT"/>
        </w:rPr>
        <w:t> I</w:t>
      </w:r>
      <w:r w:rsidR="00C65646" w:rsidRPr="00C65646">
        <w:rPr>
          <w:rFonts w:ascii="Arial" w:hAnsi="Arial" w:cs="Arial"/>
          <w:color w:val="000000"/>
          <w:spacing w:val="-2"/>
          <w:lang w:val="lt-LT"/>
        </w:rPr>
        <w:t xml:space="preserve">2-396-583/2025 </w:t>
      </w:r>
      <w:r w:rsidR="00C65646" w:rsidRPr="00C65646">
        <w:rPr>
          <w:rFonts w:ascii="Arial" w:hAnsi="Arial" w:cs="Arial"/>
          <w:color w:val="000000"/>
          <w:lang w:val="lt-LT"/>
        </w:rPr>
        <w:t>nebus pažeista ginčo šalių teisė į teisingą teismą</w:t>
      </w:r>
      <w:r w:rsidR="00C65646">
        <w:rPr>
          <w:rFonts w:ascii="Arial" w:hAnsi="Arial" w:cs="Arial"/>
          <w:color w:val="000000"/>
          <w:lang w:val="lt-LT"/>
        </w:rPr>
        <w:t>.</w:t>
      </w:r>
      <w:r w:rsidR="00C65646" w:rsidRPr="00C65646">
        <w:rPr>
          <w:rFonts w:ascii="Arial" w:hAnsi="Arial" w:cs="Arial"/>
          <w:color w:val="000000"/>
          <w:spacing w:val="-2"/>
          <w:lang w:val="lt-LT"/>
        </w:rPr>
        <w:t xml:space="preserve"> </w:t>
      </w:r>
      <w:r w:rsidR="00C65646" w:rsidRPr="00C65646">
        <w:rPr>
          <w:rFonts w:ascii="Arial" w:hAnsi="Arial" w:cs="Arial"/>
          <w:lang w:val="lt-LT" w:eastAsia="en-US"/>
        </w:rPr>
        <w:t xml:space="preserve"> </w:t>
      </w:r>
    </w:p>
    <w:p w14:paraId="3BA1F7D8" w14:textId="0122FC84" w:rsidR="00590DEC" w:rsidRDefault="00836C89" w:rsidP="00590DEC">
      <w:pPr>
        <w:ind w:firstLine="709"/>
        <w:jc w:val="both"/>
        <w:rPr>
          <w:rFonts w:ascii="Arial" w:hAnsi="Arial" w:cs="Arial"/>
        </w:rPr>
      </w:pPr>
      <w:r w:rsidRPr="00836C89">
        <w:rPr>
          <w:rFonts w:ascii="Arial" w:hAnsi="Arial" w:cs="Arial"/>
        </w:rPr>
        <w:t>Lietuvos Respublikos teismų įstatymo 85</w:t>
      </w:r>
      <w:r w:rsidR="00DA6283">
        <w:rPr>
          <w:rFonts w:ascii="Arial" w:hAnsi="Arial" w:cs="Arial"/>
        </w:rPr>
        <w:t> </w:t>
      </w:r>
      <w:r w:rsidRPr="00836C89">
        <w:rPr>
          <w:rFonts w:ascii="Arial" w:hAnsi="Arial" w:cs="Arial"/>
        </w:rPr>
        <w:t>straipsnio 1</w:t>
      </w:r>
      <w:r w:rsidR="00DA6283">
        <w:rPr>
          <w:rFonts w:ascii="Arial" w:hAnsi="Arial" w:cs="Arial"/>
        </w:rPr>
        <w:t> </w:t>
      </w:r>
      <w:r w:rsidRPr="00836C89">
        <w:rPr>
          <w:rFonts w:ascii="Arial" w:hAnsi="Arial" w:cs="Arial"/>
        </w:rPr>
        <w:t>dali</w:t>
      </w:r>
      <w:r w:rsidR="009544B9">
        <w:rPr>
          <w:rFonts w:ascii="Arial" w:hAnsi="Arial" w:cs="Arial"/>
        </w:rPr>
        <w:t>s nustato</w:t>
      </w:r>
      <w:r w:rsidRPr="00836C89">
        <w:rPr>
          <w:rFonts w:ascii="Arial" w:hAnsi="Arial" w:cs="Arial"/>
        </w:rPr>
        <w:t xml:space="preserve">, </w:t>
      </w:r>
      <w:r w:rsidR="009544B9">
        <w:rPr>
          <w:rFonts w:ascii="Arial" w:hAnsi="Arial" w:cs="Arial"/>
        </w:rPr>
        <w:t xml:space="preserve">kad </w:t>
      </w:r>
      <w:r w:rsidR="00971395">
        <w:rPr>
          <w:rFonts w:ascii="Arial" w:hAnsi="Arial" w:cs="Arial"/>
        </w:rPr>
        <w:t>Komisija</w:t>
      </w:r>
      <w:r w:rsidR="00971395" w:rsidRPr="00971395">
        <w:rPr>
          <w:rFonts w:ascii="Arial" w:hAnsi="Arial" w:cs="Arial"/>
        </w:rPr>
        <w:t xml:space="preserve"> yra teismų savivaldos institucija, sprendžianti drausmės bylų teisėjams iškėlimo klausimus, konsultuojanti teisėjus etikos klausimais.</w:t>
      </w:r>
      <w:r w:rsidR="00971395">
        <w:rPr>
          <w:rFonts w:ascii="Arial" w:hAnsi="Arial" w:cs="Arial"/>
        </w:rPr>
        <w:t xml:space="preserve"> </w:t>
      </w:r>
      <w:r w:rsidRPr="00836C89">
        <w:rPr>
          <w:rFonts w:ascii="Arial" w:hAnsi="Arial" w:cs="Arial"/>
        </w:rPr>
        <w:t>Teisėjų tarybos 2019</w:t>
      </w:r>
      <w:r w:rsidR="00DA6283">
        <w:rPr>
          <w:rFonts w:ascii="Arial" w:hAnsi="Arial" w:cs="Arial"/>
        </w:rPr>
        <w:t> </w:t>
      </w:r>
      <w:r w:rsidRPr="00836C89">
        <w:rPr>
          <w:rFonts w:ascii="Arial" w:hAnsi="Arial" w:cs="Arial"/>
        </w:rPr>
        <w:t>m. sausio 25</w:t>
      </w:r>
      <w:r w:rsidR="00DA6283">
        <w:rPr>
          <w:rFonts w:ascii="Arial" w:hAnsi="Arial" w:cs="Arial"/>
        </w:rPr>
        <w:t> </w:t>
      </w:r>
      <w:r w:rsidRPr="00836C89">
        <w:rPr>
          <w:rFonts w:ascii="Arial" w:hAnsi="Arial" w:cs="Arial"/>
        </w:rPr>
        <w:t>d. nutarimu Nr.</w:t>
      </w:r>
      <w:r w:rsidR="00E10BA5">
        <w:rPr>
          <w:rFonts w:ascii="Arial" w:hAnsi="Arial" w:cs="Arial"/>
        </w:rPr>
        <w:t> </w:t>
      </w:r>
      <w:r w:rsidRPr="00836C89">
        <w:rPr>
          <w:rFonts w:ascii="Arial" w:hAnsi="Arial" w:cs="Arial"/>
        </w:rPr>
        <w:t>13P-10-(7.1.2)</w:t>
      </w:r>
      <w:r w:rsidR="00E10BA5">
        <w:rPr>
          <w:rFonts w:ascii="Arial" w:hAnsi="Arial" w:cs="Arial"/>
        </w:rPr>
        <w:t xml:space="preserve"> patvirtintų</w:t>
      </w:r>
      <w:r w:rsidRPr="00836C89">
        <w:rPr>
          <w:rFonts w:ascii="Arial" w:hAnsi="Arial" w:cs="Arial"/>
        </w:rPr>
        <w:t xml:space="preserve"> </w:t>
      </w:r>
      <w:r>
        <w:rPr>
          <w:rFonts w:ascii="Arial" w:hAnsi="Arial" w:cs="Arial"/>
        </w:rPr>
        <w:t>K</w:t>
      </w:r>
      <w:r w:rsidRPr="00836C89">
        <w:rPr>
          <w:rFonts w:ascii="Arial" w:hAnsi="Arial" w:cs="Arial"/>
        </w:rPr>
        <w:t xml:space="preserve">omisijos nuostatų </w:t>
      </w:r>
      <w:r w:rsidR="000B3F43">
        <w:rPr>
          <w:rFonts w:ascii="Arial" w:hAnsi="Arial" w:cs="Arial"/>
        </w:rPr>
        <w:t xml:space="preserve">(toliau – Nuostatai) </w:t>
      </w:r>
      <w:r w:rsidRPr="00836C89">
        <w:rPr>
          <w:rFonts w:ascii="Arial" w:hAnsi="Arial" w:cs="Arial"/>
        </w:rPr>
        <w:t>6.4</w:t>
      </w:r>
      <w:r w:rsidR="000B3F43">
        <w:rPr>
          <w:rFonts w:ascii="Arial" w:hAnsi="Arial" w:cs="Arial"/>
        </w:rPr>
        <w:t>, 53</w:t>
      </w:r>
      <w:r w:rsidR="00DA6283">
        <w:rPr>
          <w:rFonts w:ascii="Arial" w:hAnsi="Arial" w:cs="Arial"/>
        </w:rPr>
        <w:t> </w:t>
      </w:r>
      <w:r w:rsidRPr="00836C89">
        <w:rPr>
          <w:rFonts w:ascii="Arial" w:hAnsi="Arial" w:cs="Arial"/>
        </w:rPr>
        <w:t>punkt</w:t>
      </w:r>
      <w:r w:rsidR="000B3F43">
        <w:rPr>
          <w:rFonts w:ascii="Arial" w:hAnsi="Arial" w:cs="Arial"/>
        </w:rPr>
        <w:t xml:space="preserve">uose nurodytas vienas iš Komisijos uždavinių – teikti konsultacijas teisėjų etikos klausimais. </w:t>
      </w:r>
      <w:r w:rsidR="00590DEC">
        <w:rPr>
          <w:rFonts w:ascii="Arial" w:hAnsi="Arial" w:cs="Arial"/>
        </w:rPr>
        <w:t xml:space="preserve"> </w:t>
      </w:r>
      <w:r w:rsidR="000B3F43">
        <w:rPr>
          <w:rFonts w:ascii="Arial" w:hAnsi="Arial" w:cs="Arial"/>
        </w:rPr>
        <w:t xml:space="preserve">Pareiškėjo prašymas suteikti konsultaciją buvo išnagrinėtas 2025 m. </w:t>
      </w:r>
      <w:r w:rsidR="00743503">
        <w:rPr>
          <w:rFonts w:ascii="Arial" w:hAnsi="Arial" w:cs="Arial"/>
        </w:rPr>
        <w:t>lapkričio</w:t>
      </w:r>
      <w:r w:rsidR="000B3F43">
        <w:rPr>
          <w:rFonts w:ascii="Arial" w:hAnsi="Arial" w:cs="Arial"/>
        </w:rPr>
        <w:t xml:space="preserve"> </w:t>
      </w:r>
      <w:r w:rsidR="00743503">
        <w:rPr>
          <w:rFonts w:ascii="Arial" w:hAnsi="Arial" w:cs="Arial"/>
        </w:rPr>
        <w:t>7</w:t>
      </w:r>
      <w:r w:rsidR="000B3F43">
        <w:rPr>
          <w:rFonts w:ascii="Arial" w:hAnsi="Arial" w:cs="Arial"/>
        </w:rPr>
        <w:t> d. Komisijos posėdyje (Nuostatų 54</w:t>
      </w:r>
      <w:r w:rsidR="00DA6283">
        <w:rPr>
          <w:rFonts w:ascii="Arial" w:hAnsi="Arial" w:cs="Arial"/>
        </w:rPr>
        <w:t> </w:t>
      </w:r>
      <w:r w:rsidR="000B3F43">
        <w:rPr>
          <w:rFonts w:ascii="Arial" w:hAnsi="Arial" w:cs="Arial"/>
        </w:rPr>
        <w:t>punktas).</w:t>
      </w:r>
    </w:p>
    <w:p w14:paraId="04F9A0AB" w14:textId="1EB7DA20" w:rsidR="00C363EF" w:rsidRDefault="00C363EF" w:rsidP="00590DEC">
      <w:pPr>
        <w:ind w:firstLine="709"/>
        <w:jc w:val="both"/>
        <w:rPr>
          <w:rFonts w:ascii="Arial" w:hAnsi="Arial" w:cs="Arial"/>
        </w:rPr>
      </w:pPr>
      <w:r w:rsidRPr="00C363EF">
        <w:rPr>
          <w:rFonts w:ascii="Arial" w:hAnsi="Arial" w:cs="Arial"/>
        </w:rPr>
        <w:t>Teisėjų etikos kodekso 8</w:t>
      </w:r>
      <w:r w:rsidR="00DA6283">
        <w:rPr>
          <w:rFonts w:ascii="Arial" w:hAnsi="Arial" w:cs="Arial"/>
        </w:rPr>
        <w:t> </w:t>
      </w:r>
      <w:r w:rsidRPr="00C363EF">
        <w:rPr>
          <w:rFonts w:ascii="Arial" w:hAnsi="Arial" w:cs="Arial"/>
        </w:rPr>
        <w:t>straipsnis įtvirtina teisingumo ir nešališkumo princip</w:t>
      </w:r>
      <w:r>
        <w:rPr>
          <w:rFonts w:ascii="Arial" w:hAnsi="Arial" w:cs="Arial"/>
        </w:rPr>
        <w:t>us</w:t>
      </w:r>
      <w:r w:rsidRPr="00C363EF">
        <w:rPr>
          <w:rFonts w:ascii="Arial" w:hAnsi="Arial" w:cs="Arial"/>
        </w:rPr>
        <w:t>, kuri</w:t>
      </w:r>
      <w:r>
        <w:rPr>
          <w:rFonts w:ascii="Arial" w:hAnsi="Arial" w:cs="Arial"/>
        </w:rPr>
        <w:t xml:space="preserve">ų </w:t>
      </w:r>
      <w:r w:rsidRPr="00C363EF">
        <w:rPr>
          <w:rFonts w:ascii="Arial" w:hAnsi="Arial" w:cs="Arial"/>
        </w:rPr>
        <w:t xml:space="preserve"> turi </w:t>
      </w:r>
      <w:r>
        <w:rPr>
          <w:rFonts w:ascii="Arial" w:hAnsi="Arial" w:cs="Arial"/>
        </w:rPr>
        <w:t xml:space="preserve">laikytis kiekvienas Lietuvos Respublikos teisėjas. Pagal šiuos principus teisėjas privalo neturėti asmeninio išankstinio nusistatymo priimant sprendimus, nusišalinti nuo bylos nagrinėjimo, jeigu yra interesų konfliktas arba turima informacijos, jog privataus pobūdžio aplinkybės gali pakenkti bylos nagrinėjimui (Teisėjų etikos kodekso </w:t>
      </w:r>
      <w:r>
        <w:rPr>
          <w:rFonts w:ascii="Arial" w:hAnsi="Arial" w:cs="Arial"/>
          <w:lang w:val="en-US"/>
        </w:rPr>
        <w:t>8</w:t>
      </w:r>
      <w:r w:rsidR="00972E03">
        <w:rPr>
          <w:rFonts w:ascii="Arial" w:hAnsi="Arial" w:cs="Arial"/>
          <w:lang w:val="en-US"/>
        </w:rPr>
        <w:t> </w:t>
      </w:r>
      <w:r>
        <w:rPr>
          <w:rFonts w:ascii="Arial" w:hAnsi="Arial" w:cs="Arial"/>
        </w:rPr>
        <w:t>straipsnio 2,</w:t>
      </w:r>
      <w:r w:rsidR="00972E03">
        <w:rPr>
          <w:rFonts w:ascii="Arial" w:hAnsi="Arial" w:cs="Arial"/>
        </w:rPr>
        <w:t> </w:t>
      </w:r>
      <w:r>
        <w:rPr>
          <w:rFonts w:ascii="Arial" w:hAnsi="Arial" w:cs="Arial"/>
        </w:rPr>
        <w:t>6</w:t>
      </w:r>
      <w:r w:rsidR="00972E03">
        <w:rPr>
          <w:rFonts w:ascii="Arial" w:hAnsi="Arial" w:cs="Arial"/>
        </w:rPr>
        <w:t> </w:t>
      </w:r>
      <w:r>
        <w:rPr>
          <w:rFonts w:ascii="Arial" w:hAnsi="Arial" w:cs="Arial"/>
        </w:rPr>
        <w:t>punktai).</w:t>
      </w:r>
      <w:r w:rsidR="00D87151">
        <w:rPr>
          <w:rFonts w:ascii="Arial" w:hAnsi="Arial" w:cs="Arial"/>
        </w:rPr>
        <w:t xml:space="preserve"> </w:t>
      </w:r>
      <w:proofErr w:type="spellStart"/>
      <w:r w:rsidR="00D87151" w:rsidRPr="00AE7CF2">
        <w:rPr>
          <w:rFonts w:ascii="Arial" w:hAnsi="Arial" w:cs="Arial"/>
          <w:bCs/>
        </w:rPr>
        <w:t>Bangaloro</w:t>
      </w:r>
      <w:proofErr w:type="spellEnd"/>
      <w:r w:rsidR="00D87151" w:rsidRPr="00AE7CF2">
        <w:rPr>
          <w:rFonts w:ascii="Arial" w:hAnsi="Arial" w:cs="Arial"/>
          <w:bCs/>
        </w:rPr>
        <w:t xml:space="preserve"> teisėjų elgesio principų</w:t>
      </w:r>
      <w:r w:rsidR="00D87151">
        <w:rPr>
          <w:rFonts w:ascii="Arial" w:hAnsi="Arial" w:cs="Arial"/>
          <w:bCs/>
        </w:rPr>
        <w:t xml:space="preserve"> (toliau – Principai)</w:t>
      </w:r>
      <w:r w:rsidR="00D87151" w:rsidRPr="00AE7CF2">
        <w:rPr>
          <w:rFonts w:ascii="Arial" w:hAnsi="Arial" w:cs="Arial"/>
          <w:bCs/>
        </w:rPr>
        <w:t>, priimtų teismų pirmininkų posėdyje Taikos rūmuose, Hagoje, 2002</w:t>
      </w:r>
      <w:r w:rsidR="00B7744E">
        <w:rPr>
          <w:rFonts w:ascii="Arial" w:hAnsi="Arial" w:cs="Arial"/>
          <w:bCs/>
        </w:rPr>
        <w:t> </w:t>
      </w:r>
      <w:r w:rsidR="00D87151" w:rsidRPr="00AE7CF2">
        <w:rPr>
          <w:rFonts w:ascii="Arial" w:hAnsi="Arial" w:cs="Arial"/>
          <w:bCs/>
        </w:rPr>
        <w:t>m. lapkričio 25–26</w:t>
      </w:r>
      <w:r w:rsidR="00B7744E">
        <w:rPr>
          <w:rFonts w:ascii="Arial" w:hAnsi="Arial" w:cs="Arial"/>
          <w:bCs/>
        </w:rPr>
        <w:t> </w:t>
      </w:r>
      <w:r w:rsidR="00D87151" w:rsidRPr="00AE7CF2">
        <w:rPr>
          <w:rFonts w:ascii="Arial" w:hAnsi="Arial" w:cs="Arial"/>
          <w:bCs/>
        </w:rPr>
        <w:t>d., 2.5</w:t>
      </w:r>
      <w:r w:rsidR="00D87151">
        <w:rPr>
          <w:rFonts w:ascii="Arial" w:hAnsi="Arial" w:cs="Arial"/>
          <w:bCs/>
        </w:rPr>
        <w:t> </w:t>
      </w:r>
      <w:r w:rsidR="00D87151" w:rsidRPr="00AE7CF2">
        <w:rPr>
          <w:rFonts w:ascii="Arial" w:hAnsi="Arial" w:cs="Arial"/>
          <w:bCs/>
        </w:rPr>
        <w:t>papunktyje nustatyta, kad teisėjas turi nusišalinti nuo teismo proceso, jeigu jis negali išnagrinėti bylos nešališkai arba jeigu protingam stebėtojui gali atrodyti, kad teisėjas negali nešališkai išnagrinėti bylos</w:t>
      </w:r>
      <w:r w:rsidR="00D87151" w:rsidRPr="00AE7CF2">
        <w:rPr>
          <w:rFonts w:ascii="Arial" w:hAnsi="Arial" w:cs="Arial"/>
        </w:rPr>
        <w:t xml:space="preserve">, o </w:t>
      </w:r>
      <w:r w:rsidR="00D87151">
        <w:rPr>
          <w:rFonts w:ascii="Arial" w:hAnsi="Arial" w:cs="Arial"/>
        </w:rPr>
        <w:t>Principų</w:t>
      </w:r>
      <w:r w:rsidR="00DA6283">
        <w:rPr>
          <w:rFonts w:ascii="Arial" w:hAnsi="Arial" w:cs="Arial"/>
        </w:rPr>
        <w:t> </w:t>
      </w:r>
      <w:r w:rsidR="00D87151" w:rsidRPr="00AE7CF2">
        <w:rPr>
          <w:rFonts w:ascii="Arial" w:hAnsi="Arial" w:cs="Arial"/>
        </w:rPr>
        <w:t>2.5.1–2.5.3</w:t>
      </w:r>
      <w:r w:rsidR="00076583">
        <w:rPr>
          <w:rFonts w:ascii="Arial" w:hAnsi="Arial" w:cs="Arial"/>
        </w:rPr>
        <w:t> </w:t>
      </w:r>
      <w:r w:rsidR="00D87151">
        <w:rPr>
          <w:rFonts w:ascii="Arial" w:hAnsi="Arial" w:cs="Arial"/>
        </w:rPr>
        <w:t>pa</w:t>
      </w:r>
      <w:r w:rsidR="00D87151" w:rsidRPr="00AE7CF2">
        <w:rPr>
          <w:rFonts w:ascii="Arial" w:hAnsi="Arial" w:cs="Arial"/>
        </w:rPr>
        <w:t>punk</w:t>
      </w:r>
      <w:r w:rsidR="00D87151">
        <w:rPr>
          <w:rFonts w:ascii="Arial" w:hAnsi="Arial" w:cs="Arial"/>
        </w:rPr>
        <w:t>čiuose</w:t>
      </w:r>
      <w:r w:rsidR="00D87151" w:rsidRPr="00AE7CF2">
        <w:rPr>
          <w:rFonts w:ascii="Arial" w:hAnsi="Arial" w:cs="Arial"/>
        </w:rPr>
        <w:t xml:space="preserve"> yra pateiktas pavyzdinis sąrašas atvejų, kurie galėtų apimti minėtus veiksmus.</w:t>
      </w:r>
    </w:p>
    <w:p w14:paraId="15140AFB" w14:textId="308B5CAC" w:rsidR="00096C1F" w:rsidRDefault="00312EBE" w:rsidP="00590DEC">
      <w:pPr>
        <w:ind w:firstLine="709"/>
        <w:jc w:val="both"/>
        <w:rPr>
          <w:rFonts w:ascii="Arial" w:hAnsi="Arial" w:cs="Arial"/>
        </w:rPr>
      </w:pPr>
      <w:r w:rsidRPr="00AE7CF2">
        <w:rPr>
          <w:rFonts w:ascii="Arial" w:hAnsi="Arial" w:cs="Arial"/>
        </w:rPr>
        <w:t xml:space="preserve">Komisija savo veikloje nuosekliai laikosi </w:t>
      </w:r>
      <w:r w:rsidR="00590DEC">
        <w:rPr>
          <w:rFonts w:ascii="Arial" w:hAnsi="Arial" w:cs="Arial"/>
        </w:rPr>
        <w:t>k</w:t>
      </w:r>
      <w:r w:rsidRPr="00AE7CF2">
        <w:rPr>
          <w:rFonts w:ascii="Arial" w:hAnsi="Arial" w:cs="Arial"/>
        </w:rPr>
        <w:t xml:space="preserve">onstitucinės doktrinos, </w:t>
      </w:r>
      <w:r w:rsidR="00D574D7">
        <w:rPr>
          <w:rFonts w:ascii="Arial" w:hAnsi="Arial" w:cs="Arial"/>
        </w:rPr>
        <w:t xml:space="preserve">kad </w:t>
      </w:r>
      <w:r w:rsidR="001B4B8D" w:rsidRPr="001B4B8D">
        <w:rPr>
          <w:rFonts w:ascii="Arial" w:hAnsi="Arial" w:cs="Arial"/>
        </w:rPr>
        <w:t xml:space="preserve">teisėjo ir teismų nepriklausomumas yra ne privilegija, o viena iš svarbiausių teisėjo ir teismų pareigų, kylanti iš </w:t>
      </w:r>
      <w:r w:rsidR="00406BC3">
        <w:rPr>
          <w:rFonts w:ascii="Arial" w:hAnsi="Arial" w:cs="Arial"/>
        </w:rPr>
        <w:t xml:space="preserve">Lietuvos Respublikos </w:t>
      </w:r>
      <w:r w:rsidR="001B4B8D" w:rsidRPr="001B4B8D">
        <w:rPr>
          <w:rFonts w:ascii="Arial" w:hAnsi="Arial" w:cs="Arial"/>
        </w:rPr>
        <w:t xml:space="preserve">Konstitucijoje </w:t>
      </w:r>
      <w:r w:rsidR="00406BC3">
        <w:rPr>
          <w:rFonts w:ascii="Arial" w:hAnsi="Arial" w:cs="Arial"/>
        </w:rPr>
        <w:t xml:space="preserve">(toliau – Konstitucija) </w:t>
      </w:r>
      <w:r w:rsidR="001B4B8D" w:rsidRPr="001B4B8D">
        <w:rPr>
          <w:rFonts w:ascii="Arial" w:hAnsi="Arial" w:cs="Arial"/>
        </w:rPr>
        <w:t>garantuotos asmens teisės turėti nešališką ginčo arbitrą, būtina nešališko ir teisingo bylos išnagrinėjimo, taigi ir pasitikėjimo teismu, sąlyga (</w:t>
      </w:r>
      <w:r w:rsidR="002711C6">
        <w:rPr>
          <w:rFonts w:ascii="Arial" w:hAnsi="Arial" w:cs="Arial"/>
        </w:rPr>
        <w:t xml:space="preserve">Lietuvos Respublikos </w:t>
      </w:r>
      <w:r w:rsidR="001B4B8D" w:rsidRPr="001B4B8D">
        <w:rPr>
          <w:rFonts w:ascii="Arial" w:hAnsi="Arial" w:cs="Arial"/>
        </w:rPr>
        <w:t>Konstitucinio Teismo</w:t>
      </w:r>
      <w:r w:rsidR="00246F28">
        <w:rPr>
          <w:rFonts w:ascii="Arial" w:hAnsi="Arial" w:cs="Arial"/>
        </w:rPr>
        <w:t xml:space="preserve"> </w:t>
      </w:r>
      <w:r w:rsidR="001B4B8D" w:rsidRPr="001B4B8D">
        <w:rPr>
          <w:rFonts w:ascii="Arial" w:hAnsi="Arial" w:cs="Arial"/>
        </w:rPr>
        <w:t>1995</w:t>
      </w:r>
      <w:r w:rsidR="00ED145A">
        <w:rPr>
          <w:rFonts w:ascii="Arial" w:hAnsi="Arial" w:cs="Arial"/>
        </w:rPr>
        <w:t> </w:t>
      </w:r>
      <w:r w:rsidR="001B4B8D" w:rsidRPr="001B4B8D">
        <w:rPr>
          <w:rFonts w:ascii="Arial" w:hAnsi="Arial" w:cs="Arial"/>
        </w:rPr>
        <w:t>m. gruodžio 6</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1999</w:t>
      </w:r>
      <w:r w:rsidR="00ED145A">
        <w:rPr>
          <w:rFonts w:ascii="Arial" w:hAnsi="Arial" w:cs="Arial"/>
        </w:rPr>
        <w:t> </w:t>
      </w:r>
      <w:r w:rsidR="001B4B8D" w:rsidRPr="001B4B8D">
        <w:rPr>
          <w:rFonts w:ascii="Arial" w:hAnsi="Arial" w:cs="Arial"/>
        </w:rPr>
        <w:t>m. gruodžio 21</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2001</w:t>
      </w:r>
      <w:r w:rsidR="00ED145A">
        <w:rPr>
          <w:rFonts w:ascii="Arial" w:hAnsi="Arial" w:cs="Arial"/>
        </w:rPr>
        <w:t> </w:t>
      </w:r>
      <w:r w:rsidR="001B4B8D" w:rsidRPr="001B4B8D">
        <w:rPr>
          <w:rFonts w:ascii="Arial" w:hAnsi="Arial" w:cs="Arial"/>
        </w:rPr>
        <w:t>m. vasario 12</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2006</w:t>
      </w:r>
      <w:r w:rsidR="00ED145A">
        <w:rPr>
          <w:rFonts w:ascii="Arial" w:hAnsi="Arial" w:cs="Arial"/>
        </w:rPr>
        <w:t> </w:t>
      </w:r>
      <w:r w:rsidR="001B4B8D" w:rsidRPr="001B4B8D">
        <w:rPr>
          <w:rFonts w:ascii="Arial" w:hAnsi="Arial" w:cs="Arial"/>
        </w:rPr>
        <w:t>m. gegužės 9</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2007</w:t>
      </w:r>
      <w:r w:rsidR="00ED145A">
        <w:rPr>
          <w:rFonts w:ascii="Arial" w:hAnsi="Arial" w:cs="Arial"/>
        </w:rPr>
        <w:t> </w:t>
      </w:r>
      <w:r w:rsidR="001B4B8D" w:rsidRPr="001B4B8D">
        <w:rPr>
          <w:rFonts w:ascii="Arial" w:hAnsi="Arial" w:cs="Arial"/>
        </w:rPr>
        <w:t xml:space="preserve">m. spalio </w:t>
      </w:r>
      <w:r w:rsidR="001B4B8D" w:rsidRPr="001B4B8D">
        <w:rPr>
          <w:rFonts w:ascii="Arial" w:hAnsi="Arial" w:cs="Arial"/>
        </w:rPr>
        <w:lastRenderedPageBreak/>
        <w:t>22</w:t>
      </w:r>
      <w:r w:rsidR="00ED145A">
        <w:rPr>
          <w:rFonts w:ascii="Arial" w:hAnsi="Arial" w:cs="Arial"/>
        </w:rPr>
        <w:t> </w:t>
      </w:r>
      <w:r w:rsidR="001B4B8D" w:rsidRPr="001B4B8D">
        <w:rPr>
          <w:rFonts w:ascii="Arial" w:hAnsi="Arial" w:cs="Arial"/>
        </w:rPr>
        <w:t>d.</w:t>
      </w:r>
      <w:r w:rsidR="00246F28">
        <w:rPr>
          <w:rFonts w:ascii="Arial" w:hAnsi="Arial" w:cs="Arial"/>
        </w:rPr>
        <w:t xml:space="preserve"> </w:t>
      </w:r>
      <w:r w:rsidR="001B4B8D" w:rsidRPr="001B4B8D">
        <w:rPr>
          <w:rFonts w:ascii="Arial" w:hAnsi="Arial" w:cs="Arial"/>
        </w:rPr>
        <w:t xml:space="preserve">nutarimai). </w:t>
      </w:r>
      <w:r w:rsidR="00246F28">
        <w:rPr>
          <w:rFonts w:ascii="Arial" w:hAnsi="Arial" w:cs="Arial"/>
        </w:rPr>
        <w:t>Komisijos konsultacijose ne kartą pažymėta, kad t</w:t>
      </w:r>
      <w:r w:rsidRPr="00AE7CF2">
        <w:rPr>
          <w:rFonts w:ascii="Arial" w:hAnsi="Arial" w:cs="Arial"/>
        </w:rPr>
        <w:t>eisėjas, nagrinėdamas bylas, turi būti nešališkas, vadovautis tik Konstitucija ir įstatymais. Teisėjo autoritetas, tvirta vidinė nešališkumo nuostata, jo procesiniai sprendimai ir veiksmai, atliekami laikantis įstatymuose bei Teisėjų etikos kodekse įtvirtintų reikalavimų, konkrečių bei realių priekaištų dėl teisėjo šališkumo nebuvimas – visa tai garantuoja teisingą ginčo išsprendimą ir tokį suvokimą paprastai suteikia proceso šalims ir kitiems asmenims</w:t>
      </w:r>
      <w:r w:rsidR="0034461B" w:rsidRPr="00AE7CF2">
        <w:rPr>
          <w:rFonts w:ascii="Arial" w:hAnsi="Arial" w:cs="Arial"/>
        </w:rPr>
        <w:t>.</w:t>
      </w:r>
    </w:p>
    <w:p w14:paraId="51F41DD0" w14:textId="3DEF4E20" w:rsidR="007916AE" w:rsidRDefault="00811136" w:rsidP="00153204">
      <w:pPr>
        <w:pStyle w:val="Tekstas"/>
        <w:spacing w:before="0" w:after="0"/>
        <w:ind w:right="0" w:firstLine="720"/>
        <w:rPr>
          <w:rFonts w:ascii="Arial" w:hAnsi="Arial" w:cs="Arial"/>
          <w:iCs/>
          <w:lang w:val="lt-LT"/>
        </w:rPr>
      </w:pPr>
      <w:r>
        <w:rPr>
          <w:rFonts w:ascii="Arial" w:hAnsi="Arial" w:cs="Arial"/>
          <w:iCs/>
          <w:lang w:val="lt-LT"/>
        </w:rPr>
        <w:t xml:space="preserve">Teisėjo nešališkumas konkrečioje byloje įgyvendinamas taikant nušalinimo </w:t>
      </w:r>
      <w:r w:rsidR="003E62FA">
        <w:rPr>
          <w:rFonts w:ascii="Arial" w:hAnsi="Arial" w:cs="Arial"/>
          <w:iCs/>
          <w:lang w:val="lt-LT"/>
        </w:rPr>
        <w:t xml:space="preserve">(nusišalinimo) </w:t>
      </w:r>
      <w:r>
        <w:rPr>
          <w:rFonts w:ascii="Arial" w:hAnsi="Arial" w:cs="Arial"/>
          <w:iCs/>
          <w:lang w:val="lt-LT"/>
        </w:rPr>
        <w:t>institutą. Administracinių bylų teiseno</w:t>
      </w:r>
      <w:r w:rsidR="00B02171">
        <w:rPr>
          <w:rFonts w:ascii="Arial" w:hAnsi="Arial" w:cs="Arial"/>
          <w:iCs/>
          <w:lang w:val="lt-LT"/>
        </w:rPr>
        <w:t>s įstatymo (toliau</w:t>
      </w:r>
      <w:r w:rsidR="007C065F">
        <w:rPr>
          <w:rFonts w:ascii="Arial" w:hAnsi="Arial" w:cs="Arial"/>
          <w:iCs/>
          <w:lang w:val="lt-LT"/>
        </w:rPr>
        <w:t> </w:t>
      </w:r>
      <w:r w:rsidR="00B02171">
        <w:rPr>
          <w:rFonts w:ascii="Arial" w:hAnsi="Arial" w:cs="Arial"/>
          <w:iCs/>
          <w:lang w:val="lt-LT"/>
        </w:rPr>
        <w:t>–</w:t>
      </w:r>
      <w:r w:rsidR="007C065F">
        <w:rPr>
          <w:rFonts w:ascii="Arial" w:hAnsi="Arial" w:cs="Arial"/>
          <w:iCs/>
          <w:lang w:val="lt-LT"/>
        </w:rPr>
        <w:t> </w:t>
      </w:r>
      <w:r w:rsidR="00B02171">
        <w:rPr>
          <w:rFonts w:ascii="Arial" w:hAnsi="Arial" w:cs="Arial"/>
          <w:iCs/>
          <w:lang w:val="lt-LT"/>
        </w:rPr>
        <w:t>ABTĮ)</w:t>
      </w:r>
      <w:r>
        <w:rPr>
          <w:rFonts w:ascii="Arial" w:hAnsi="Arial" w:cs="Arial"/>
          <w:iCs/>
          <w:lang w:val="lt-LT"/>
        </w:rPr>
        <w:t xml:space="preserve"> </w:t>
      </w:r>
      <w:r w:rsidR="00B360F9">
        <w:rPr>
          <w:rFonts w:ascii="Arial" w:hAnsi="Arial" w:cs="Arial"/>
          <w:iCs/>
          <w:lang w:val="lt-LT"/>
        </w:rPr>
        <w:t xml:space="preserve">44 straipsnio 2 dalyje yra </w:t>
      </w:r>
      <w:r w:rsidRPr="00A94B6E">
        <w:rPr>
          <w:rFonts w:ascii="Arial" w:hAnsi="Arial" w:cs="Arial"/>
          <w:iCs/>
          <w:lang w:val="lt-LT"/>
        </w:rPr>
        <w:t>įtvirtintas sąrašas pagrindų, kuriems esant teisėjas privalo</w:t>
      </w:r>
      <w:r w:rsidRPr="00AE7CF2">
        <w:rPr>
          <w:rFonts w:ascii="Arial" w:hAnsi="Arial" w:cs="Arial"/>
          <w:iCs/>
          <w:lang w:val="lt-LT"/>
        </w:rPr>
        <w:t xml:space="preserve"> nusišalinti nuo </w:t>
      </w:r>
      <w:r>
        <w:rPr>
          <w:rFonts w:ascii="Arial" w:hAnsi="Arial" w:cs="Arial"/>
          <w:iCs/>
          <w:lang w:val="lt-LT"/>
        </w:rPr>
        <w:t>administracinės</w:t>
      </w:r>
      <w:r w:rsidRPr="00AE7CF2">
        <w:rPr>
          <w:rFonts w:ascii="Arial" w:hAnsi="Arial" w:cs="Arial"/>
          <w:iCs/>
          <w:lang w:val="lt-LT"/>
        </w:rPr>
        <w:t xml:space="preserve"> bylos nagrinėjimo</w:t>
      </w:r>
      <w:r w:rsidR="009F7174">
        <w:rPr>
          <w:rFonts w:ascii="Arial" w:hAnsi="Arial" w:cs="Arial"/>
          <w:iCs/>
          <w:lang w:val="en-US"/>
        </w:rPr>
        <w:t xml:space="preserve">. </w:t>
      </w:r>
      <w:r w:rsidRPr="00AE7CF2">
        <w:rPr>
          <w:rFonts w:ascii="Arial" w:hAnsi="Arial" w:cs="Arial"/>
          <w:iCs/>
          <w:lang w:val="lt-LT"/>
        </w:rPr>
        <w:t>Be ši</w:t>
      </w:r>
      <w:r w:rsidR="007916AE">
        <w:rPr>
          <w:rFonts w:ascii="Arial" w:hAnsi="Arial" w:cs="Arial"/>
          <w:iCs/>
          <w:lang w:val="lt-LT"/>
        </w:rPr>
        <w:t>ų</w:t>
      </w:r>
      <w:r w:rsidRPr="00AE7CF2">
        <w:rPr>
          <w:rFonts w:ascii="Arial" w:hAnsi="Arial" w:cs="Arial"/>
          <w:iCs/>
          <w:lang w:val="lt-LT"/>
        </w:rPr>
        <w:t xml:space="preserve"> pagrindų, teisėjas taip pat privalo nusišalinti nuo bylos nagrinėjimo, </w:t>
      </w:r>
      <w:r w:rsidRPr="00C51A54">
        <w:rPr>
          <w:rFonts w:ascii="Arial" w:hAnsi="Arial" w:cs="Arial"/>
          <w:lang w:val="lt-LT"/>
        </w:rPr>
        <w:t>jeigu ji</w:t>
      </w:r>
      <w:r>
        <w:rPr>
          <w:rFonts w:ascii="Arial" w:hAnsi="Arial" w:cs="Arial"/>
          <w:lang w:val="lt-LT"/>
        </w:rPr>
        <w:t>s</w:t>
      </w:r>
      <w:r w:rsidRPr="00C51A54">
        <w:rPr>
          <w:rFonts w:ascii="Arial" w:hAnsi="Arial" w:cs="Arial"/>
          <w:lang w:val="lt-LT"/>
        </w:rPr>
        <w:t xml:space="preserve"> pats tiesiogiai ar netiesiogiai suinteresuot</w:t>
      </w:r>
      <w:r>
        <w:rPr>
          <w:rFonts w:ascii="Arial" w:hAnsi="Arial" w:cs="Arial"/>
          <w:lang w:val="lt-LT"/>
        </w:rPr>
        <w:t>as</w:t>
      </w:r>
      <w:r w:rsidRPr="00C51A54">
        <w:rPr>
          <w:rFonts w:ascii="Arial" w:hAnsi="Arial" w:cs="Arial"/>
          <w:lang w:val="lt-LT"/>
        </w:rPr>
        <w:t xml:space="preserve"> bylos baigtimi arba yra kitokių aplinkybių, kurios kelia abejonių </w:t>
      </w:r>
      <w:r>
        <w:rPr>
          <w:rFonts w:ascii="Arial" w:hAnsi="Arial" w:cs="Arial"/>
          <w:lang w:val="lt-LT"/>
        </w:rPr>
        <w:t>teisėjo</w:t>
      </w:r>
      <w:r w:rsidRPr="00C51A54">
        <w:rPr>
          <w:rFonts w:ascii="Arial" w:hAnsi="Arial" w:cs="Arial"/>
          <w:lang w:val="lt-LT"/>
        </w:rPr>
        <w:t xml:space="preserve"> nešališkumu</w:t>
      </w:r>
      <w:r w:rsidRPr="00AE7CF2">
        <w:rPr>
          <w:rFonts w:ascii="Arial" w:hAnsi="Arial" w:cs="Arial"/>
          <w:iCs/>
          <w:lang w:val="lt-LT"/>
        </w:rPr>
        <w:t xml:space="preserve"> (</w:t>
      </w:r>
      <w:r>
        <w:rPr>
          <w:rFonts w:ascii="Arial" w:hAnsi="Arial" w:cs="Arial"/>
          <w:iCs/>
          <w:lang w:val="lt-LT"/>
        </w:rPr>
        <w:t xml:space="preserve">ABTĮ 44 </w:t>
      </w:r>
      <w:r w:rsidRPr="00AE7CF2">
        <w:rPr>
          <w:rFonts w:ascii="Arial" w:hAnsi="Arial" w:cs="Arial"/>
          <w:iCs/>
          <w:lang w:val="lt-LT"/>
        </w:rPr>
        <w:t>straipsnis</w:t>
      </w:r>
      <w:r>
        <w:rPr>
          <w:rFonts w:ascii="Arial" w:hAnsi="Arial" w:cs="Arial"/>
          <w:iCs/>
          <w:lang w:val="lt-LT"/>
        </w:rPr>
        <w:t xml:space="preserve"> 1 dalis</w:t>
      </w:r>
      <w:r w:rsidRPr="00AE7CF2">
        <w:rPr>
          <w:rFonts w:ascii="Arial" w:hAnsi="Arial" w:cs="Arial"/>
          <w:iCs/>
          <w:lang w:val="lt-LT"/>
        </w:rPr>
        <w:t>).</w:t>
      </w:r>
    </w:p>
    <w:p w14:paraId="35AC6E28" w14:textId="4069AF03" w:rsidR="00E63D06" w:rsidRDefault="009F7174" w:rsidP="00E63D06">
      <w:pPr>
        <w:pStyle w:val="Tekstas"/>
        <w:spacing w:before="0" w:after="0"/>
        <w:ind w:right="0" w:firstLine="720"/>
        <w:rPr>
          <w:rFonts w:ascii="Arial" w:hAnsi="Arial" w:cs="Arial"/>
          <w:iCs/>
          <w:lang w:val="lt-LT"/>
        </w:rPr>
      </w:pPr>
      <w:r w:rsidRPr="007A1644">
        <w:rPr>
          <w:rFonts w:ascii="Arial" w:hAnsi="Arial" w:cs="Arial"/>
          <w:iCs/>
          <w:lang w:val="lt-LT"/>
        </w:rPr>
        <w:t xml:space="preserve">Teisėjo nušalinimo </w:t>
      </w:r>
      <w:r w:rsidR="007916AE" w:rsidRPr="007A1644">
        <w:rPr>
          <w:rFonts w:ascii="Arial" w:hAnsi="Arial" w:cs="Arial"/>
          <w:iCs/>
          <w:lang w:val="lt-LT"/>
        </w:rPr>
        <w:t xml:space="preserve">(nusišalinimo) </w:t>
      </w:r>
      <w:r w:rsidRPr="007A1644">
        <w:rPr>
          <w:rFonts w:ascii="Arial" w:hAnsi="Arial" w:cs="Arial"/>
          <w:iCs/>
          <w:lang w:val="lt-LT"/>
        </w:rPr>
        <w:t xml:space="preserve">institutas </w:t>
      </w:r>
      <w:r w:rsidR="00E45845" w:rsidRPr="007A1644">
        <w:rPr>
          <w:rFonts w:ascii="Arial" w:hAnsi="Arial" w:cs="Arial"/>
          <w:iCs/>
          <w:lang w:val="lt-LT"/>
        </w:rPr>
        <w:t>tiek bendrosios kompetencijos</w:t>
      </w:r>
      <w:r w:rsidR="00FE7025" w:rsidRPr="007A1644">
        <w:rPr>
          <w:rFonts w:ascii="Arial" w:hAnsi="Arial" w:cs="Arial"/>
          <w:iCs/>
          <w:lang w:val="lt-LT"/>
        </w:rPr>
        <w:t>, tiek</w:t>
      </w:r>
      <w:r w:rsidR="00E45845" w:rsidRPr="007A1644">
        <w:rPr>
          <w:rFonts w:ascii="Arial" w:hAnsi="Arial" w:cs="Arial"/>
          <w:iCs/>
          <w:lang w:val="lt-LT"/>
        </w:rPr>
        <w:t xml:space="preserve"> </w:t>
      </w:r>
      <w:r w:rsidR="00FE7025" w:rsidRPr="007A1644">
        <w:rPr>
          <w:rFonts w:ascii="Arial" w:hAnsi="Arial" w:cs="Arial"/>
          <w:iCs/>
          <w:lang w:val="lt-LT"/>
        </w:rPr>
        <w:t xml:space="preserve">administracinių teismų </w:t>
      </w:r>
      <w:r w:rsidRPr="007A1644">
        <w:rPr>
          <w:rFonts w:ascii="Arial" w:hAnsi="Arial" w:cs="Arial"/>
          <w:iCs/>
          <w:lang w:val="lt-LT"/>
        </w:rPr>
        <w:t>praktikoje taikomas atsižvelgiant į Europos Žmogaus Teisių Teismo (toliau – EŽTT) praktiką</w:t>
      </w:r>
      <w:r w:rsidR="00153204" w:rsidRPr="007A1644">
        <w:rPr>
          <w:rFonts w:ascii="Arial" w:hAnsi="Arial" w:cs="Arial"/>
          <w:iCs/>
          <w:lang w:val="lt-LT"/>
        </w:rPr>
        <w:t xml:space="preserve"> (pavyzdžiui, </w:t>
      </w:r>
      <w:r w:rsidR="00FE7025" w:rsidRPr="007A1644">
        <w:rPr>
          <w:rFonts w:ascii="Arial" w:hAnsi="Arial" w:cs="Arial"/>
          <w:iCs/>
          <w:lang w:val="lt-LT"/>
        </w:rPr>
        <w:t xml:space="preserve">Lietuvos Aukščiausiojo Teismo </w:t>
      </w:r>
      <w:r w:rsidR="00FE7025" w:rsidRPr="007A1644">
        <w:rPr>
          <w:rFonts w:ascii="Arial" w:hAnsi="Arial" w:cs="Arial"/>
          <w:lang w:val="lt-LT"/>
        </w:rPr>
        <w:t>2022</w:t>
      </w:r>
      <w:r w:rsidR="00A833DB">
        <w:rPr>
          <w:rFonts w:ascii="Arial" w:hAnsi="Arial" w:cs="Arial"/>
          <w:lang w:val="lt-LT"/>
        </w:rPr>
        <w:t> </w:t>
      </w:r>
      <w:r w:rsidR="00FE7025" w:rsidRPr="007A1644">
        <w:rPr>
          <w:rFonts w:ascii="Arial" w:hAnsi="Arial" w:cs="Arial"/>
          <w:lang w:val="lt-LT"/>
        </w:rPr>
        <w:t>m. balandžio 14 d. nutart</w:t>
      </w:r>
      <w:r w:rsidR="00070239" w:rsidRPr="007A1644">
        <w:rPr>
          <w:rFonts w:ascii="Arial" w:hAnsi="Arial" w:cs="Arial"/>
          <w:lang w:val="lt-LT"/>
        </w:rPr>
        <w:t>is</w:t>
      </w:r>
      <w:r w:rsidR="00FE7025" w:rsidRPr="007A1644">
        <w:rPr>
          <w:rFonts w:ascii="Arial" w:hAnsi="Arial" w:cs="Arial"/>
          <w:lang w:val="lt-LT"/>
        </w:rPr>
        <w:t xml:space="preserve"> civilinėje byloje Nr.</w:t>
      </w:r>
      <w:r w:rsidR="00A833DB">
        <w:rPr>
          <w:rFonts w:ascii="Arial" w:hAnsi="Arial" w:cs="Arial"/>
          <w:lang w:val="lt-LT"/>
        </w:rPr>
        <w:t> </w:t>
      </w:r>
      <w:r w:rsidR="00FE7025" w:rsidRPr="007A1644">
        <w:rPr>
          <w:rFonts w:ascii="Arial" w:hAnsi="Arial" w:cs="Arial"/>
          <w:lang w:val="lt-LT"/>
        </w:rPr>
        <w:t>e3K-7-120-701/2021</w:t>
      </w:r>
      <w:r w:rsidR="00070239" w:rsidRPr="007A1644">
        <w:rPr>
          <w:rFonts w:ascii="Arial" w:hAnsi="Arial" w:cs="Arial"/>
          <w:lang w:val="lt-LT"/>
        </w:rPr>
        <w:t>,</w:t>
      </w:r>
      <w:r w:rsidR="00FE7025" w:rsidRPr="007A1644">
        <w:rPr>
          <w:rFonts w:ascii="Arial" w:hAnsi="Arial" w:cs="Arial"/>
          <w:lang w:val="lt-LT"/>
        </w:rPr>
        <w:t xml:space="preserve"> </w:t>
      </w:r>
      <w:r w:rsidR="00153204" w:rsidRPr="007A1644">
        <w:rPr>
          <w:rFonts w:ascii="Arial" w:hAnsi="Arial" w:cs="Arial"/>
          <w:iCs/>
          <w:lang w:val="lt-LT"/>
        </w:rPr>
        <w:t>Lietuvos vyriausiojo administracinio teismo 2018</w:t>
      </w:r>
      <w:r w:rsidR="00A833DB">
        <w:rPr>
          <w:rFonts w:ascii="Arial" w:hAnsi="Arial" w:cs="Arial"/>
          <w:iCs/>
          <w:lang w:val="lt-LT"/>
        </w:rPr>
        <w:t> </w:t>
      </w:r>
      <w:r w:rsidR="00153204" w:rsidRPr="007A1644">
        <w:rPr>
          <w:rFonts w:ascii="Arial" w:hAnsi="Arial" w:cs="Arial"/>
          <w:iCs/>
          <w:lang w:val="lt-LT"/>
        </w:rPr>
        <w:t>m. liepos 25</w:t>
      </w:r>
      <w:r w:rsidR="00A833DB">
        <w:rPr>
          <w:rFonts w:ascii="Arial" w:hAnsi="Arial" w:cs="Arial"/>
          <w:iCs/>
          <w:lang w:val="lt-LT"/>
        </w:rPr>
        <w:t> </w:t>
      </w:r>
      <w:r w:rsidR="00153204" w:rsidRPr="007A1644">
        <w:rPr>
          <w:rFonts w:ascii="Arial" w:hAnsi="Arial" w:cs="Arial"/>
          <w:iCs/>
          <w:lang w:val="lt-LT"/>
        </w:rPr>
        <w:t>d. nutartis administracinėje byloje Nr.</w:t>
      </w:r>
      <w:r w:rsidR="00A833DB">
        <w:rPr>
          <w:rFonts w:ascii="Arial" w:hAnsi="Arial" w:cs="Arial"/>
          <w:iCs/>
          <w:lang w:val="lt-LT"/>
        </w:rPr>
        <w:t> </w:t>
      </w:r>
      <w:r w:rsidR="00153204" w:rsidRPr="007A1644">
        <w:rPr>
          <w:rFonts w:ascii="Arial" w:hAnsi="Arial" w:cs="Arial"/>
          <w:iCs/>
          <w:lang w:val="lt-LT"/>
        </w:rPr>
        <w:t>A-3225-415/2018</w:t>
      </w:r>
      <w:r w:rsidR="00E63D06">
        <w:rPr>
          <w:rFonts w:ascii="Arial" w:hAnsi="Arial" w:cs="Arial"/>
          <w:iCs/>
          <w:lang w:val="lt-LT"/>
        </w:rPr>
        <w:t xml:space="preserve"> ir jose nuodyta EŽTT praktika</w:t>
      </w:r>
      <w:r w:rsidR="00153204" w:rsidRPr="007A1644">
        <w:rPr>
          <w:rFonts w:ascii="Arial" w:hAnsi="Arial" w:cs="Arial"/>
          <w:iCs/>
          <w:lang w:val="lt-LT"/>
        </w:rPr>
        <w:t>).</w:t>
      </w:r>
    </w:p>
    <w:p w14:paraId="6B44E375" w14:textId="4D27571B" w:rsidR="00E63D06" w:rsidRDefault="00E63D06" w:rsidP="00E63D06">
      <w:pPr>
        <w:pStyle w:val="Tekstas"/>
        <w:spacing w:before="0" w:after="0"/>
        <w:ind w:right="0" w:firstLine="720"/>
        <w:rPr>
          <w:rFonts w:ascii="Arial" w:hAnsi="Arial" w:cs="Arial"/>
          <w:iCs/>
        </w:rPr>
      </w:pPr>
      <w:r>
        <w:rPr>
          <w:rFonts w:ascii="Arial" w:hAnsi="Arial" w:cs="Arial"/>
          <w:iCs/>
          <w:lang w:val="lt-LT"/>
        </w:rPr>
        <w:t xml:space="preserve">EŽTT praktikoje </w:t>
      </w:r>
      <w:r w:rsidRPr="00AE7CF2">
        <w:rPr>
          <w:rFonts w:ascii="Arial" w:hAnsi="Arial" w:cs="Arial"/>
          <w:lang w:val="lt-LT"/>
        </w:rPr>
        <w:t>teismo nešališkumo reikalavimas turi du aspektus. Pirma, teismas turi būti subjektyviai nešališkas, t. y. nė vienas teisėjas negali turėti asmeninio išankstinio nusistatymo ar būti tendencingas. Antra, teismas turi būti nešališkas objektyviąja prasme, t.</w:t>
      </w:r>
      <w:r w:rsidR="00184761">
        <w:rPr>
          <w:rFonts w:ascii="Arial" w:hAnsi="Arial" w:cs="Arial"/>
          <w:lang w:val="lt-LT"/>
        </w:rPr>
        <w:t> </w:t>
      </w:r>
      <w:r w:rsidRPr="00AE7CF2">
        <w:rPr>
          <w:rFonts w:ascii="Arial" w:hAnsi="Arial" w:cs="Arial"/>
          <w:lang w:val="lt-LT"/>
        </w:rPr>
        <w:t>y. turi pateikti pakankamas garantijas, pašalinančias bet kokią abejonę dėl galimo teismo šališkumo</w:t>
      </w:r>
      <w:r>
        <w:rPr>
          <w:rFonts w:ascii="Arial" w:hAnsi="Arial" w:cs="Arial"/>
          <w:lang w:val="lt-LT"/>
        </w:rPr>
        <w:t>.</w:t>
      </w:r>
      <w:r>
        <w:rPr>
          <w:rFonts w:ascii="Arial" w:hAnsi="Arial" w:cs="Arial"/>
          <w:iCs/>
          <w:lang w:val="lt-LT"/>
        </w:rPr>
        <w:t xml:space="preserve"> </w:t>
      </w:r>
      <w:r w:rsidR="00153204" w:rsidRPr="00153204">
        <w:rPr>
          <w:rFonts w:ascii="Arial" w:hAnsi="Arial" w:cs="Arial"/>
          <w:iCs/>
        </w:rPr>
        <w:t>Taikant objektyvųjį teisėjo nešališkumo testą reikia nustatyti, ar, be teisėjo elgesio, yra kitų patikrinamų faktų, kurie gali kelti abejonių dėl teisėjo nešališkumo. Taikant šį testą didelė reikšmė suteikiama suinteresuoto asmens požiūriui, objektyvaus stebėtojo nuogąstavimams. Tai, kaip situacija atrodo, turi tam tikros svarbos arba, kitaip tariant, „teisingumas ne tik turi būti įvykdytas, jis taip pat turi atrodyti įvykdytas“. Nuo to priklauso pasitikėjimas, kurį demokratinėje visuomenėje teismai turi įkvėpti žmonėms ir visų pirma bylos šalims. Šiuo atžvilgiu net įtarimas gali turėti tam tikrą reikšmę, todėl kiekvienas teisėjas, dėl kurio šališkumo gali kilti teisėtų (pagrįstų) abejonių, turi nusišalinti</w:t>
      </w:r>
      <w:r>
        <w:rPr>
          <w:rFonts w:ascii="Arial" w:hAnsi="Arial" w:cs="Arial"/>
          <w:iCs/>
        </w:rPr>
        <w:t>.</w:t>
      </w:r>
      <w:r w:rsidR="00153204" w:rsidRPr="00153204">
        <w:rPr>
          <w:rFonts w:ascii="Arial" w:hAnsi="Arial" w:cs="Arial"/>
          <w:iCs/>
        </w:rPr>
        <w:t xml:space="preserve"> </w:t>
      </w:r>
      <w:r w:rsidRPr="00153204">
        <w:rPr>
          <w:rFonts w:ascii="Arial" w:hAnsi="Arial" w:cs="Arial"/>
          <w:iCs/>
        </w:rPr>
        <w:t xml:space="preserve">Nors asmens nuogąstavimai yra svarbūs, tačiau nėra lemiami, sprendžiant dėl teisėjo nešališkumo. Lemiamą reikšmę šiuo atžvilgiu turi tai, ar suinteresuoto asmens nuogąstavimai gali būti laikomi objektyviai pateisinamais </w:t>
      </w:r>
      <w:r w:rsidR="00153204" w:rsidRPr="00153204">
        <w:rPr>
          <w:rFonts w:ascii="Arial" w:hAnsi="Arial" w:cs="Arial"/>
          <w:iCs/>
        </w:rPr>
        <w:t>(</w:t>
      </w:r>
      <w:r w:rsidRPr="00153204">
        <w:rPr>
          <w:rFonts w:ascii="Arial" w:hAnsi="Arial" w:cs="Arial"/>
          <w:iCs/>
        </w:rPr>
        <w:t>EŽTT 1984</w:t>
      </w:r>
      <w:r>
        <w:rPr>
          <w:rFonts w:ascii="Arial" w:hAnsi="Arial" w:cs="Arial"/>
          <w:iCs/>
        </w:rPr>
        <w:t> </w:t>
      </w:r>
      <w:r w:rsidRPr="00153204">
        <w:rPr>
          <w:rFonts w:ascii="Arial" w:hAnsi="Arial" w:cs="Arial"/>
          <w:iCs/>
        </w:rPr>
        <w:t>m. spalio 26</w:t>
      </w:r>
      <w:r>
        <w:rPr>
          <w:rFonts w:ascii="Arial" w:hAnsi="Arial" w:cs="Arial"/>
          <w:iCs/>
        </w:rPr>
        <w:t> </w:t>
      </w:r>
      <w:r w:rsidRPr="00153204">
        <w:rPr>
          <w:rFonts w:ascii="Arial" w:hAnsi="Arial" w:cs="Arial"/>
          <w:iCs/>
        </w:rPr>
        <w:t xml:space="preserve">d. </w:t>
      </w:r>
      <w:proofErr w:type="spellStart"/>
      <w:r w:rsidRPr="00153204">
        <w:rPr>
          <w:rFonts w:ascii="Arial" w:hAnsi="Arial" w:cs="Arial"/>
          <w:iCs/>
        </w:rPr>
        <w:t>sprendimas</w:t>
      </w:r>
      <w:proofErr w:type="spellEnd"/>
      <w:r w:rsidRPr="00153204">
        <w:rPr>
          <w:rFonts w:ascii="Arial" w:hAnsi="Arial" w:cs="Arial"/>
          <w:iCs/>
        </w:rPr>
        <w:t xml:space="preserve"> </w:t>
      </w:r>
      <w:proofErr w:type="spellStart"/>
      <w:r w:rsidRPr="00153204">
        <w:rPr>
          <w:rFonts w:ascii="Arial" w:hAnsi="Arial" w:cs="Arial"/>
          <w:iCs/>
        </w:rPr>
        <w:t>byloje</w:t>
      </w:r>
      <w:proofErr w:type="spellEnd"/>
      <w:r w:rsidRPr="00153204">
        <w:rPr>
          <w:rFonts w:ascii="Arial" w:hAnsi="Arial" w:cs="Arial"/>
          <w:iCs/>
        </w:rPr>
        <w:t xml:space="preserve"> </w:t>
      </w:r>
      <w:r w:rsidRPr="00153204">
        <w:rPr>
          <w:rFonts w:ascii="Arial" w:hAnsi="Arial" w:cs="Arial"/>
          <w:i/>
        </w:rPr>
        <w:t xml:space="preserve">De </w:t>
      </w:r>
      <w:proofErr w:type="spellStart"/>
      <w:r w:rsidRPr="00153204">
        <w:rPr>
          <w:rFonts w:ascii="Arial" w:hAnsi="Arial" w:cs="Arial"/>
          <w:i/>
        </w:rPr>
        <w:t>Cubber</w:t>
      </w:r>
      <w:proofErr w:type="spellEnd"/>
      <w:r w:rsidRPr="00153204">
        <w:rPr>
          <w:rFonts w:ascii="Arial" w:hAnsi="Arial" w:cs="Arial"/>
          <w:i/>
        </w:rPr>
        <w:t xml:space="preserve"> </w:t>
      </w:r>
      <w:proofErr w:type="spellStart"/>
      <w:r w:rsidRPr="00153204">
        <w:rPr>
          <w:rFonts w:ascii="Arial" w:hAnsi="Arial" w:cs="Arial"/>
          <w:i/>
        </w:rPr>
        <w:t>prieš</w:t>
      </w:r>
      <w:proofErr w:type="spellEnd"/>
      <w:r w:rsidRPr="00153204">
        <w:rPr>
          <w:rFonts w:ascii="Arial" w:hAnsi="Arial" w:cs="Arial"/>
          <w:i/>
        </w:rPr>
        <w:t xml:space="preserve"> </w:t>
      </w:r>
      <w:proofErr w:type="spellStart"/>
      <w:r w:rsidRPr="00153204">
        <w:rPr>
          <w:rFonts w:ascii="Arial" w:hAnsi="Arial" w:cs="Arial"/>
          <w:i/>
        </w:rPr>
        <w:t>Belgiją</w:t>
      </w:r>
      <w:proofErr w:type="spellEnd"/>
      <w:r w:rsidRPr="00153204">
        <w:rPr>
          <w:rFonts w:ascii="Arial" w:hAnsi="Arial" w:cs="Arial"/>
          <w:iCs/>
        </w:rPr>
        <w:t xml:space="preserve">, </w:t>
      </w:r>
      <w:proofErr w:type="spellStart"/>
      <w:r w:rsidRPr="00153204">
        <w:rPr>
          <w:rFonts w:ascii="Arial" w:hAnsi="Arial" w:cs="Arial"/>
          <w:iCs/>
        </w:rPr>
        <w:t>peticijos</w:t>
      </w:r>
      <w:proofErr w:type="spellEnd"/>
      <w:r w:rsidRPr="00153204">
        <w:rPr>
          <w:rFonts w:ascii="Arial" w:hAnsi="Arial" w:cs="Arial"/>
          <w:iCs/>
        </w:rPr>
        <w:t xml:space="preserve"> Nr.</w:t>
      </w:r>
      <w:r>
        <w:rPr>
          <w:rFonts w:ascii="Arial" w:hAnsi="Arial" w:cs="Arial"/>
          <w:iCs/>
        </w:rPr>
        <w:t> </w:t>
      </w:r>
      <w:r w:rsidRPr="00153204">
        <w:rPr>
          <w:rFonts w:ascii="Arial" w:hAnsi="Arial" w:cs="Arial"/>
          <w:iCs/>
        </w:rPr>
        <w:t>9186/80 par.</w:t>
      </w:r>
      <w:r>
        <w:rPr>
          <w:rFonts w:ascii="Arial" w:hAnsi="Arial" w:cs="Arial"/>
          <w:iCs/>
        </w:rPr>
        <w:t> </w:t>
      </w:r>
      <w:r w:rsidRPr="00153204">
        <w:rPr>
          <w:rFonts w:ascii="Arial" w:hAnsi="Arial" w:cs="Arial"/>
          <w:iCs/>
        </w:rPr>
        <w:t>26; EŽTT 1998</w:t>
      </w:r>
      <w:r>
        <w:rPr>
          <w:rFonts w:ascii="Arial" w:hAnsi="Arial" w:cs="Arial"/>
          <w:iCs/>
        </w:rPr>
        <w:t> </w:t>
      </w:r>
      <w:r w:rsidRPr="00153204">
        <w:rPr>
          <w:rFonts w:ascii="Arial" w:hAnsi="Arial" w:cs="Arial"/>
          <w:iCs/>
        </w:rPr>
        <w:t>m. spalio 28</w:t>
      </w:r>
      <w:r>
        <w:rPr>
          <w:rFonts w:ascii="Arial" w:hAnsi="Arial" w:cs="Arial"/>
          <w:iCs/>
        </w:rPr>
        <w:t> </w:t>
      </w:r>
      <w:r w:rsidRPr="00153204">
        <w:rPr>
          <w:rFonts w:ascii="Arial" w:hAnsi="Arial" w:cs="Arial"/>
          <w:iCs/>
        </w:rPr>
        <w:t xml:space="preserve">d. </w:t>
      </w:r>
      <w:proofErr w:type="spellStart"/>
      <w:r w:rsidRPr="00153204">
        <w:rPr>
          <w:rFonts w:ascii="Arial" w:hAnsi="Arial" w:cs="Arial"/>
          <w:iCs/>
        </w:rPr>
        <w:t>sprendimas</w:t>
      </w:r>
      <w:proofErr w:type="spellEnd"/>
      <w:r w:rsidRPr="00153204">
        <w:rPr>
          <w:rFonts w:ascii="Arial" w:hAnsi="Arial" w:cs="Arial"/>
          <w:iCs/>
        </w:rPr>
        <w:t xml:space="preserve"> </w:t>
      </w:r>
      <w:proofErr w:type="spellStart"/>
      <w:r w:rsidRPr="00153204">
        <w:rPr>
          <w:rFonts w:ascii="Arial" w:hAnsi="Arial" w:cs="Arial"/>
          <w:iCs/>
        </w:rPr>
        <w:t>byloje</w:t>
      </w:r>
      <w:proofErr w:type="spellEnd"/>
      <w:r w:rsidRPr="00153204">
        <w:rPr>
          <w:rFonts w:ascii="Arial" w:hAnsi="Arial" w:cs="Arial"/>
          <w:iCs/>
        </w:rPr>
        <w:t xml:space="preserve"> </w:t>
      </w:r>
      <w:r w:rsidRPr="00153204">
        <w:rPr>
          <w:rFonts w:ascii="Arial" w:hAnsi="Arial" w:cs="Arial"/>
          <w:i/>
        </w:rPr>
        <w:t xml:space="preserve">Castillo Algar </w:t>
      </w:r>
      <w:proofErr w:type="spellStart"/>
      <w:r w:rsidRPr="00153204">
        <w:rPr>
          <w:rFonts w:ascii="Arial" w:hAnsi="Arial" w:cs="Arial"/>
          <w:i/>
        </w:rPr>
        <w:t>prieš</w:t>
      </w:r>
      <w:proofErr w:type="spellEnd"/>
      <w:r w:rsidRPr="00153204">
        <w:rPr>
          <w:rFonts w:ascii="Arial" w:hAnsi="Arial" w:cs="Arial"/>
          <w:i/>
        </w:rPr>
        <w:t xml:space="preserve"> </w:t>
      </w:r>
      <w:proofErr w:type="spellStart"/>
      <w:r w:rsidRPr="00153204">
        <w:rPr>
          <w:rFonts w:ascii="Arial" w:hAnsi="Arial" w:cs="Arial"/>
          <w:i/>
        </w:rPr>
        <w:t>Ispaniją</w:t>
      </w:r>
      <w:proofErr w:type="spellEnd"/>
      <w:r w:rsidRPr="00153204">
        <w:rPr>
          <w:rFonts w:ascii="Arial" w:hAnsi="Arial" w:cs="Arial"/>
          <w:iCs/>
        </w:rPr>
        <w:t>, peticijos Nr.</w:t>
      </w:r>
      <w:r>
        <w:rPr>
          <w:rFonts w:ascii="Arial" w:hAnsi="Arial" w:cs="Arial"/>
          <w:iCs/>
        </w:rPr>
        <w:t> </w:t>
      </w:r>
      <w:r w:rsidRPr="00153204">
        <w:rPr>
          <w:rFonts w:ascii="Arial" w:hAnsi="Arial" w:cs="Arial"/>
          <w:iCs/>
        </w:rPr>
        <w:t>28194/95, par.</w:t>
      </w:r>
      <w:r>
        <w:rPr>
          <w:rFonts w:ascii="Arial" w:hAnsi="Arial" w:cs="Arial"/>
          <w:iCs/>
        </w:rPr>
        <w:t> </w:t>
      </w:r>
      <w:r w:rsidRPr="00153204">
        <w:rPr>
          <w:rFonts w:ascii="Arial" w:hAnsi="Arial" w:cs="Arial"/>
          <w:iCs/>
        </w:rPr>
        <w:t>45</w:t>
      </w:r>
      <w:r>
        <w:rPr>
          <w:rFonts w:ascii="Arial" w:hAnsi="Arial" w:cs="Arial"/>
          <w:iCs/>
        </w:rPr>
        <w:t xml:space="preserve">; </w:t>
      </w:r>
      <w:r w:rsidRPr="00153204">
        <w:rPr>
          <w:rFonts w:ascii="Arial" w:hAnsi="Arial" w:cs="Arial"/>
          <w:iCs/>
        </w:rPr>
        <w:t>EŽTT 2000</w:t>
      </w:r>
      <w:r>
        <w:rPr>
          <w:rFonts w:ascii="Arial" w:hAnsi="Arial" w:cs="Arial"/>
          <w:iCs/>
        </w:rPr>
        <w:t> </w:t>
      </w:r>
      <w:r w:rsidRPr="00153204">
        <w:rPr>
          <w:rFonts w:ascii="Arial" w:hAnsi="Arial" w:cs="Arial"/>
          <w:iCs/>
        </w:rPr>
        <w:t>m. gruodžio 21</w:t>
      </w:r>
      <w:r>
        <w:rPr>
          <w:rFonts w:ascii="Arial" w:hAnsi="Arial" w:cs="Arial"/>
          <w:iCs/>
        </w:rPr>
        <w:t> </w:t>
      </w:r>
      <w:r w:rsidRPr="00153204">
        <w:rPr>
          <w:rFonts w:ascii="Arial" w:hAnsi="Arial" w:cs="Arial"/>
          <w:iCs/>
        </w:rPr>
        <w:t xml:space="preserve">d. </w:t>
      </w:r>
      <w:proofErr w:type="spellStart"/>
      <w:r w:rsidRPr="00153204">
        <w:rPr>
          <w:rFonts w:ascii="Arial" w:hAnsi="Arial" w:cs="Arial"/>
          <w:iCs/>
        </w:rPr>
        <w:t>sprendimas</w:t>
      </w:r>
      <w:proofErr w:type="spellEnd"/>
      <w:r w:rsidRPr="00153204">
        <w:rPr>
          <w:rFonts w:ascii="Arial" w:hAnsi="Arial" w:cs="Arial"/>
          <w:iCs/>
        </w:rPr>
        <w:t xml:space="preserve"> </w:t>
      </w:r>
      <w:proofErr w:type="spellStart"/>
      <w:r w:rsidRPr="00153204">
        <w:rPr>
          <w:rFonts w:ascii="Arial" w:hAnsi="Arial" w:cs="Arial"/>
          <w:iCs/>
        </w:rPr>
        <w:t>byloje</w:t>
      </w:r>
      <w:proofErr w:type="spellEnd"/>
      <w:r w:rsidRPr="00153204">
        <w:rPr>
          <w:rFonts w:ascii="Arial" w:hAnsi="Arial" w:cs="Arial"/>
          <w:iCs/>
        </w:rPr>
        <w:t xml:space="preserve"> </w:t>
      </w:r>
      <w:r w:rsidRPr="00153204">
        <w:rPr>
          <w:rFonts w:ascii="Arial" w:hAnsi="Arial" w:cs="Arial"/>
          <w:i/>
        </w:rPr>
        <w:t xml:space="preserve">Wettstein </w:t>
      </w:r>
      <w:proofErr w:type="spellStart"/>
      <w:r w:rsidRPr="00153204">
        <w:rPr>
          <w:rFonts w:ascii="Arial" w:hAnsi="Arial" w:cs="Arial"/>
          <w:i/>
        </w:rPr>
        <w:t>prieš</w:t>
      </w:r>
      <w:proofErr w:type="spellEnd"/>
      <w:r w:rsidRPr="00153204">
        <w:rPr>
          <w:rFonts w:ascii="Arial" w:hAnsi="Arial" w:cs="Arial"/>
          <w:i/>
        </w:rPr>
        <w:t xml:space="preserve"> </w:t>
      </w:r>
      <w:proofErr w:type="spellStart"/>
      <w:r w:rsidRPr="00153204">
        <w:rPr>
          <w:rFonts w:ascii="Arial" w:hAnsi="Arial" w:cs="Arial"/>
          <w:i/>
        </w:rPr>
        <w:t>Šveicariją</w:t>
      </w:r>
      <w:proofErr w:type="spellEnd"/>
      <w:r w:rsidRPr="00153204">
        <w:rPr>
          <w:rFonts w:ascii="Arial" w:hAnsi="Arial" w:cs="Arial"/>
          <w:iCs/>
        </w:rPr>
        <w:t xml:space="preserve">, </w:t>
      </w:r>
      <w:proofErr w:type="spellStart"/>
      <w:r w:rsidRPr="00153204">
        <w:rPr>
          <w:rFonts w:ascii="Arial" w:hAnsi="Arial" w:cs="Arial"/>
          <w:iCs/>
        </w:rPr>
        <w:t>peticijos</w:t>
      </w:r>
      <w:proofErr w:type="spellEnd"/>
      <w:r w:rsidRPr="00153204">
        <w:rPr>
          <w:rFonts w:ascii="Arial" w:hAnsi="Arial" w:cs="Arial"/>
          <w:iCs/>
        </w:rPr>
        <w:t xml:space="preserve"> Nr.</w:t>
      </w:r>
      <w:r>
        <w:rPr>
          <w:rFonts w:ascii="Arial" w:hAnsi="Arial" w:cs="Arial"/>
          <w:iCs/>
        </w:rPr>
        <w:t> </w:t>
      </w:r>
      <w:r w:rsidRPr="00153204">
        <w:rPr>
          <w:rFonts w:ascii="Arial" w:hAnsi="Arial" w:cs="Arial"/>
          <w:iCs/>
        </w:rPr>
        <w:t>33958/96, par.</w:t>
      </w:r>
      <w:r>
        <w:rPr>
          <w:rFonts w:ascii="Arial" w:hAnsi="Arial" w:cs="Arial"/>
          <w:iCs/>
        </w:rPr>
        <w:t> </w:t>
      </w:r>
      <w:r w:rsidRPr="00153204">
        <w:rPr>
          <w:rFonts w:ascii="Arial" w:hAnsi="Arial" w:cs="Arial"/>
          <w:iCs/>
        </w:rPr>
        <w:t>44</w:t>
      </w:r>
      <w:r>
        <w:rPr>
          <w:rFonts w:ascii="Arial" w:hAnsi="Arial" w:cs="Arial"/>
          <w:iCs/>
        </w:rPr>
        <w:t xml:space="preserve">; </w:t>
      </w:r>
      <w:r w:rsidRPr="00153204">
        <w:rPr>
          <w:rFonts w:ascii="Arial" w:hAnsi="Arial" w:cs="Arial"/>
          <w:iCs/>
        </w:rPr>
        <w:t>2009</w:t>
      </w:r>
      <w:r>
        <w:rPr>
          <w:rFonts w:ascii="Arial" w:hAnsi="Arial" w:cs="Arial"/>
          <w:iCs/>
        </w:rPr>
        <w:t> </w:t>
      </w:r>
      <w:r w:rsidRPr="00153204">
        <w:rPr>
          <w:rFonts w:ascii="Arial" w:hAnsi="Arial" w:cs="Arial"/>
          <w:iCs/>
        </w:rPr>
        <w:t>m. spalio 15</w:t>
      </w:r>
      <w:r>
        <w:rPr>
          <w:rFonts w:ascii="Arial" w:hAnsi="Arial" w:cs="Arial"/>
          <w:iCs/>
        </w:rPr>
        <w:t> </w:t>
      </w:r>
      <w:r w:rsidRPr="00153204">
        <w:rPr>
          <w:rFonts w:ascii="Arial" w:hAnsi="Arial" w:cs="Arial"/>
          <w:iCs/>
        </w:rPr>
        <w:t xml:space="preserve">d. </w:t>
      </w:r>
      <w:proofErr w:type="spellStart"/>
      <w:r w:rsidRPr="00153204">
        <w:rPr>
          <w:rFonts w:ascii="Arial" w:hAnsi="Arial" w:cs="Arial"/>
          <w:iCs/>
        </w:rPr>
        <w:t>sprendimas</w:t>
      </w:r>
      <w:proofErr w:type="spellEnd"/>
      <w:r w:rsidRPr="00153204">
        <w:rPr>
          <w:rFonts w:ascii="Arial" w:hAnsi="Arial" w:cs="Arial"/>
          <w:iCs/>
        </w:rPr>
        <w:t xml:space="preserve"> </w:t>
      </w:r>
      <w:proofErr w:type="spellStart"/>
      <w:r w:rsidRPr="00153204">
        <w:rPr>
          <w:rFonts w:ascii="Arial" w:hAnsi="Arial" w:cs="Arial"/>
          <w:iCs/>
        </w:rPr>
        <w:t>byloje</w:t>
      </w:r>
      <w:proofErr w:type="spellEnd"/>
      <w:r w:rsidRPr="00153204">
        <w:rPr>
          <w:rFonts w:ascii="Arial" w:hAnsi="Arial" w:cs="Arial"/>
          <w:iCs/>
        </w:rPr>
        <w:t xml:space="preserve"> </w:t>
      </w:r>
      <w:r w:rsidRPr="00153204">
        <w:rPr>
          <w:rFonts w:ascii="Arial" w:hAnsi="Arial" w:cs="Arial"/>
          <w:i/>
        </w:rPr>
        <w:t xml:space="preserve">Micallef </w:t>
      </w:r>
      <w:proofErr w:type="spellStart"/>
      <w:r w:rsidRPr="00153204">
        <w:rPr>
          <w:rFonts w:ascii="Arial" w:hAnsi="Arial" w:cs="Arial"/>
          <w:i/>
        </w:rPr>
        <w:t>prieš</w:t>
      </w:r>
      <w:proofErr w:type="spellEnd"/>
      <w:r w:rsidRPr="00153204">
        <w:rPr>
          <w:rFonts w:ascii="Arial" w:hAnsi="Arial" w:cs="Arial"/>
          <w:i/>
        </w:rPr>
        <w:t xml:space="preserve"> </w:t>
      </w:r>
      <w:proofErr w:type="spellStart"/>
      <w:r w:rsidRPr="00153204">
        <w:rPr>
          <w:rFonts w:ascii="Arial" w:hAnsi="Arial" w:cs="Arial"/>
          <w:i/>
        </w:rPr>
        <w:t>Maltą</w:t>
      </w:r>
      <w:proofErr w:type="spellEnd"/>
      <w:r w:rsidRPr="00153204">
        <w:rPr>
          <w:rFonts w:ascii="Arial" w:hAnsi="Arial" w:cs="Arial"/>
          <w:iCs/>
        </w:rPr>
        <w:t xml:space="preserve">, </w:t>
      </w:r>
      <w:proofErr w:type="spellStart"/>
      <w:r w:rsidRPr="00153204">
        <w:rPr>
          <w:rFonts w:ascii="Arial" w:hAnsi="Arial" w:cs="Arial"/>
          <w:iCs/>
        </w:rPr>
        <w:t>peticijos</w:t>
      </w:r>
      <w:proofErr w:type="spellEnd"/>
      <w:r w:rsidRPr="00153204">
        <w:rPr>
          <w:rFonts w:ascii="Arial" w:hAnsi="Arial" w:cs="Arial"/>
          <w:iCs/>
        </w:rPr>
        <w:t xml:space="preserve"> Nr.</w:t>
      </w:r>
      <w:r>
        <w:rPr>
          <w:rFonts w:ascii="Arial" w:hAnsi="Arial" w:cs="Arial"/>
          <w:iCs/>
        </w:rPr>
        <w:t> </w:t>
      </w:r>
      <w:r w:rsidRPr="00153204">
        <w:rPr>
          <w:rFonts w:ascii="Arial" w:hAnsi="Arial" w:cs="Arial"/>
          <w:iCs/>
        </w:rPr>
        <w:t>17056/06, par.</w:t>
      </w:r>
      <w:r>
        <w:rPr>
          <w:rFonts w:ascii="Arial" w:hAnsi="Arial" w:cs="Arial"/>
          <w:iCs/>
        </w:rPr>
        <w:t xml:space="preserve"> 96, </w:t>
      </w:r>
      <w:r w:rsidRPr="00153204">
        <w:rPr>
          <w:rFonts w:ascii="Arial" w:hAnsi="Arial" w:cs="Arial"/>
          <w:iCs/>
        </w:rPr>
        <w:t>98</w:t>
      </w:r>
      <w:r>
        <w:rPr>
          <w:rFonts w:ascii="Arial" w:hAnsi="Arial" w:cs="Arial"/>
          <w:iCs/>
        </w:rPr>
        <w:t>).</w:t>
      </w:r>
    </w:p>
    <w:p w14:paraId="51BA22C7" w14:textId="2D00D276" w:rsidR="0042653C" w:rsidRDefault="00B75547" w:rsidP="0042653C">
      <w:pPr>
        <w:pStyle w:val="Tekstas"/>
        <w:spacing w:before="0" w:after="0"/>
        <w:ind w:right="0" w:firstLine="720"/>
        <w:rPr>
          <w:rFonts w:ascii="Arial" w:hAnsi="Arial" w:cs="Arial"/>
          <w:lang w:val="lt-LT"/>
        </w:rPr>
      </w:pPr>
      <w:r>
        <w:rPr>
          <w:rFonts w:ascii="Arial" w:hAnsi="Arial" w:cs="Arial"/>
          <w:lang w:val="lt-LT"/>
        </w:rPr>
        <w:t>T</w:t>
      </w:r>
      <w:r w:rsidR="008C6F79">
        <w:rPr>
          <w:rFonts w:ascii="Arial" w:hAnsi="Arial" w:cs="Arial"/>
          <w:lang w:val="lt-LT"/>
        </w:rPr>
        <w:t xml:space="preserve">eisėjo nusišalinimas nuo bylos yra procesinis veiksmas, todėl </w:t>
      </w:r>
      <w:r w:rsidR="008A3D46">
        <w:rPr>
          <w:rFonts w:ascii="Arial" w:hAnsi="Arial" w:cs="Arial"/>
          <w:lang w:val="lt-LT"/>
        </w:rPr>
        <w:t>t</w:t>
      </w:r>
      <w:r w:rsidR="008A3D46" w:rsidRPr="00743503">
        <w:rPr>
          <w:rFonts w:ascii="Arial" w:hAnsi="Arial" w:cs="Arial"/>
          <w:lang w:val="lt-LT"/>
        </w:rPr>
        <w:t>ik pats teisėjas, nagrinėjantis bylą, kiekvienu atveju sprendžia, ar yra įstatyme nustatytos aplinkybės, kurios gali kelti abejonių teisėjo nešališkumu</w:t>
      </w:r>
      <w:r w:rsidR="009A272F">
        <w:rPr>
          <w:rFonts w:ascii="Arial" w:hAnsi="Arial" w:cs="Arial"/>
          <w:lang w:val="lt-LT"/>
        </w:rPr>
        <w:t>.</w:t>
      </w:r>
      <w:r w:rsidR="008A3D46" w:rsidRPr="00743503">
        <w:rPr>
          <w:rFonts w:ascii="Arial" w:hAnsi="Arial" w:cs="Arial"/>
          <w:lang w:val="lt-LT"/>
        </w:rPr>
        <w:t xml:space="preserve"> </w:t>
      </w:r>
      <w:r w:rsidR="009A272F">
        <w:rPr>
          <w:rFonts w:ascii="Arial" w:hAnsi="Arial" w:cs="Arial"/>
          <w:lang w:val="lt-LT"/>
        </w:rPr>
        <w:t>G</w:t>
      </w:r>
      <w:r w:rsidR="008A3D46" w:rsidRPr="00743503">
        <w:rPr>
          <w:rFonts w:ascii="Arial" w:hAnsi="Arial" w:cs="Arial"/>
          <w:lang w:val="lt-LT"/>
        </w:rPr>
        <w:t xml:space="preserve">alimybė nagrinėti bylą priklauso nuo teisėjo vertinimo, ar jis pats gali nešališkai išnagrinėti bylą ir ar teisėjas atrodys nešališkai protingam pašaliniam stebėtojui. Komisija negali teisėjui patarti, kokį procesinį sprendimą konkrečiu atveju priimti, ji gali tik pateikti </w:t>
      </w:r>
      <w:r w:rsidR="008C6F79">
        <w:rPr>
          <w:rFonts w:ascii="Arial" w:hAnsi="Arial" w:cs="Arial"/>
          <w:lang w:val="lt-LT"/>
        </w:rPr>
        <w:t xml:space="preserve">neprivalomo pobūdžio </w:t>
      </w:r>
      <w:r w:rsidR="008A3D46" w:rsidRPr="00743503">
        <w:rPr>
          <w:rFonts w:ascii="Arial" w:hAnsi="Arial" w:cs="Arial"/>
          <w:lang w:val="lt-LT"/>
        </w:rPr>
        <w:t>nuomonę</w:t>
      </w:r>
      <w:r w:rsidR="0042653C">
        <w:rPr>
          <w:rFonts w:ascii="Arial" w:hAnsi="Arial" w:cs="Arial"/>
          <w:lang w:val="lt-LT"/>
        </w:rPr>
        <w:t xml:space="preserve"> dėl susidariusios situacijos vertinimo teisėjų etikos požiūriu, be kita ko, </w:t>
      </w:r>
      <w:r w:rsidR="002056F4">
        <w:rPr>
          <w:rFonts w:ascii="Arial" w:hAnsi="Arial" w:cs="Arial"/>
          <w:lang w:val="lt-LT"/>
        </w:rPr>
        <w:t xml:space="preserve">įvertinant, </w:t>
      </w:r>
      <w:r w:rsidR="0042653C">
        <w:rPr>
          <w:rFonts w:ascii="Arial" w:hAnsi="Arial" w:cs="Arial"/>
          <w:lang w:val="lt-LT"/>
        </w:rPr>
        <w:t>ar</w:t>
      </w:r>
      <w:r w:rsidR="007038E2">
        <w:rPr>
          <w:rFonts w:ascii="Arial" w:hAnsi="Arial" w:cs="Arial"/>
          <w:lang w:val="lt-LT"/>
        </w:rPr>
        <w:t xml:space="preserve"> </w:t>
      </w:r>
      <w:r w:rsidR="007038E2">
        <w:rPr>
          <w:rFonts w:ascii="Arial" w:hAnsi="Arial" w:cs="Arial"/>
        </w:rPr>
        <w:t xml:space="preserve">privataus pobūdžio aplinkybės gali pakenkti bylos nagrinėjimui ir ar </w:t>
      </w:r>
      <w:r w:rsidR="0042653C">
        <w:rPr>
          <w:rFonts w:ascii="Arial" w:hAnsi="Arial" w:cs="Arial"/>
          <w:lang w:val="lt-LT"/>
        </w:rPr>
        <w:t>protingam stebėtojui gali atrodyti, kad teisėjas gali nešališkai išnagrinėti byl</w:t>
      </w:r>
      <w:r w:rsidR="007038E2">
        <w:rPr>
          <w:rFonts w:ascii="Arial" w:hAnsi="Arial" w:cs="Arial"/>
          <w:lang w:val="lt-LT"/>
        </w:rPr>
        <w:t>ą</w:t>
      </w:r>
      <w:r w:rsidR="0042653C">
        <w:rPr>
          <w:rFonts w:ascii="Arial" w:hAnsi="Arial" w:cs="Arial"/>
          <w:lang w:val="lt-LT"/>
        </w:rPr>
        <w:t xml:space="preserve">. </w:t>
      </w:r>
    </w:p>
    <w:p w14:paraId="265A87AF" w14:textId="51EF1E95" w:rsidR="0042653C" w:rsidRDefault="0042653C" w:rsidP="0042653C">
      <w:pPr>
        <w:pStyle w:val="Tekstas"/>
        <w:spacing w:before="0" w:after="0"/>
        <w:ind w:right="0" w:firstLine="720"/>
        <w:rPr>
          <w:rFonts w:ascii="Arial" w:hAnsi="Arial" w:cs="Arial"/>
          <w:lang w:val="lt-LT"/>
        </w:rPr>
      </w:pPr>
      <w:r w:rsidRPr="00A851D3">
        <w:rPr>
          <w:rFonts w:ascii="Arial" w:hAnsi="Arial" w:cs="Arial"/>
          <w:lang w:val="lt-LT"/>
        </w:rPr>
        <w:t>Nagrinėjamu atveju Komisija</w:t>
      </w:r>
      <w:r w:rsidR="001346EF">
        <w:rPr>
          <w:rFonts w:ascii="Arial" w:hAnsi="Arial" w:cs="Arial"/>
          <w:lang w:val="lt-LT"/>
        </w:rPr>
        <w:t xml:space="preserve"> mano, kad aplinkybė, </w:t>
      </w:r>
      <w:r w:rsidR="006B40D7">
        <w:rPr>
          <w:rFonts w:ascii="Arial" w:hAnsi="Arial" w:cs="Arial"/>
          <w:lang w:val="lt-LT"/>
        </w:rPr>
        <w:t>jog</w:t>
      </w:r>
      <w:r w:rsidRPr="00A851D3">
        <w:rPr>
          <w:rFonts w:ascii="Arial" w:hAnsi="Arial" w:cs="Arial"/>
          <w:lang w:val="lt-LT"/>
        </w:rPr>
        <w:t xml:space="preserve"> teisėjas nagrinėja administracinę bylą pagal teisėjų pareiškimą valstybei dėl </w:t>
      </w:r>
      <w:r w:rsidRPr="00517E93">
        <w:rPr>
          <w:rFonts w:ascii="Arial" w:hAnsi="Arial" w:cs="Arial"/>
          <w:color w:val="000000"/>
          <w:spacing w:val="1"/>
          <w:lang w:val="lt-LT"/>
        </w:rPr>
        <w:t xml:space="preserve">žalos </w:t>
      </w:r>
      <w:r w:rsidRPr="00C65646">
        <w:rPr>
          <w:rFonts w:ascii="Arial" w:hAnsi="Arial" w:cs="Arial"/>
          <w:color w:val="000000"/>
          <w:spacing w:val="1"/>
          <w:lang w:val="lt-LT"/>
        </w:rPr>
        <w:t>atlyginimo priteisimo ir neveikimo</w:t>
      </w:r>
      <w:r w:rsidR="001346EF">
        <w:rPr>
          <w:rFonts w:ascii="Arial" w:hAnsi="Arial" w:cs="Arial"/>
          <w:color w:val="000000"/>
          <w:spacing w:val="1"/>
          <w:lang w:val="lt-LT"/>
        </w:rPr>
        <w:t xml:space="preserve">, o </w:t>
      </w:r>
      <w:r w:rsidRPr="00A851D3">
        <w:rPr>
          <w:rFonts w:ascii="Arial" w:hAnsi="Arial" w:cs="Arial"/>
          <w:lang w:val="lt-LT"/>
        </w:rPr>
        <w:t xml:space="preserve">tuo pačiu </w:t>
      </w:r>
      <w:r w:rsidR="001346EF">
        <w:rPr>
          <w:rFonts w:ascii="Arial" w:hAnsi="Arial" w:cs="Arial"/>
          <w:lang w:val="lt-LT"/>
        </w:rPr>
        <w:t xml:space="preserve">jis </w:t>
      </w:r>
      <w:r w:rsidRPr="00A851D3">
        <w:rPr>
          <w:rFonts w:ascii="Arial" w:hAnsi="Arial" w:cs="Arial"/>
          <w:lang w:val="lt-LT"/>
        </w:rPr>
        <w:t xml:space="preserve">pats yra ieškovas </w:t>
      </w:r>
      <w:r w:rsidR="00FE013E">
        <w:rPr>
          <w:rFonts w:ascii="Arial" w:hAnsi="Arial" w:cs="Arial"/>
          <w:lang w:val="lt-LT"/>
        </w:rPr>
        <w:t xml:space="preserve">identiškoje </w:t>
      </w:r>
      <w:r w:rsidRPr="00A851D3">
        <w:rPr>
          <w:rFonts w:ascii="Arial" w:hAnsi="Arial" w:cs="Arial"/>
          <w:lang w:val="lt-LT"/>
        </w:rPr>
        <w:t>byloje</w:t>
      </w:r>
      <w:r w:rsidR="001346EF">
        <w:rPr>
          <w:rFonts w:ascii="Arial" w:hAnsi="Arial" w:cs="Arial"/>
          <w:lang w:val="lt-LT"/>
        </w:rPr>
        <w:t>,</w:t>
      </w:r>
      <w:r w:rsidRPr="00A851D3">
        <w:rPr>
          <w:rFonts w:ascii="Arial" w:hAnsi="Arial" w:cs="Arial"/>
          <w:lang w:val="lt-LT"/>
        </w:rPr>
        <w:t xml:space="preserve"> </w:t>
      </w:r>
      <w:r w:rsidR="00FE013E">
        <w:rPr>
          <w:rFonts w:ascii="Arial" w:hAnsi="Arial" w:cs="Arial"/>
          <w:lang w:val="lt-LT"/>
        </w:rPr>
        <w:t xml:space="preserve">protingo stebėtojo požiūriu gali būti vertinama kaip </w:t>
      </w:r>
      <w:r w:rsidRPr="00A851D3">
        <w:rPr>
          <w:rFonts w:ascii="Arial" w:hAnsi="Arial" w:cs="Arial"/>
          <w:lang w:val="lt-LT"/>
        </w:rPr>
        <w:t xml:space="preserve">reali ir pakankama, </w:t>
      </w:r>
      <w:r w:rsidR="00C850EB">
        <w:rPr>
          <w:rFonts w:ascii="Arial" w:hAnsi="Arial" w:cs="Arial"/>
          <w:lang w:val="lt-LT"/>
        </w:rPr>
        <w:t xml:space="preserve">jog </w:t>
      </w:r>
      <w:r w:rsidRPr="00A851D3">
        <w:rPr>
          <w:rFonts w:ascii="Arial" w:hAnsi="Arial" w:cs="Arial"/>
          <w:lang w:val="lt-LT"/>
        </w:rPr>
        <w:t xml:space="preserve">jos pagrindu galėtų </w:t>
      </w:r>
      <w:r w:rsidR="00C850EB">
        <w:rPr>
          <w:rFonts w:ascii="Arial" w:hAnsi="Arial" w:cs="Arial"/>
          <w:lang w:val="lt-LT"/>
        </w:rPr>
        <w:t xml:space="preserve">kilti pagrįsta abejonė </w:t>
      </w:r>
      <w:r w:rsidRPr="00A851D3">
        <w:rPr>
          <w:rFonts w:ascii="Arial" w:hAnsi="Arial" w:cs="Arial"/>
          <w:lang w:val="lt-LT"/>
        </w:rPr>
        <w:t xml:space="preserve">dėl teismo </w:t>
      </w:r>
      <w:r w:rsidR="00C850EB">
        <w:rPr>
          <w:rFonts w:ascii="Arial" w:hAnsi="Arial" w:cs="Arial"/>
          <w:lang w:val="lt-LT"/>
        </w:rPr>
        <w:t>ne</w:t>
      </w:r>
      <w:r w:rsidRPr="00A851D3">
        <w:rPr>
          <w:rFonts w:ascii="Arial" w:hAnsi="Arial" w:cs="Arial"/>
          <w:lang w:val="lt-LT"/>
        </w:rPr>
        <w:t>šališkumo.</w:t>
      </w:r>
      <w:r>
        <w:rPr>
          <w:rFonts w:ascii="Arial" w:hAnsi="Arial" w:cs="Arial"/>
          <w:lang w:val="lt-LT"/>
        </w:rPr>
        <w:t xml:space="preserve"> </w:t>
      </w:r>
      <w:r w:rsidRPr="00A851D3">
        <w:rPr>
          <w:rFonts w:ascii="Arial" w:hAnsi="Arial" w:cs="Arial"/>
          <w:lang w:val="lt-LT"/>
        </w:rPr>
        <w:t>Toki</w:t>
      </w:r>
      <w:r w:rsidR="00AD38CC">
        <w:rPr>
          <w:rFonts w:ascii="Arial" w:hAnsi="Arial" w:cs="Arial"/>
          <w:lang w:val="lt-LT"/>
        </w:rPr>
        <w:t xml:space="preserve">oje situacijoje gali būti pagrįstai abejojama, ar teisėjo privataus </w:t>
      </w:r>
      <w:r w:rsidR="00AD38CC">
        <w:rPr>
          <w:rFonts w:ascii="Arial" w:hAnsi="Arial" w:cs="Arial"/>
          <w:lang w:val="lt-LT"/>
        </w:rPr>
        <w:lastRenderedPageBreak/>
        <w:t>pobūdžio aplinkybės nepakenks bylos nagrinėjimui</w:t>
      </w:r>
      <w:r w:rsidR="00B86566">
        <w:rPr>
          <w:rFonts w:ascii="Arial" w:hAnsi="Arial" w:cs="Arial"/>
          <w:lang w:val="lt-LT"/>
        </w:rPr>
        <w:t xml:space="preserve">. Susidariusios aplinkybės gali būti vertinamos ir </w:t>
      </w:r>
      <w:r w:rsidRPr="00A851D3">
        <w:rPr>
          <w:rFonts w:ascii="Arial" w:hAnsi="Arial" w:cs="Arial"/>
          <w:lang w:val="lt-LT"/>
        </w:rPr>
        <w:t>bendr</w:t>
      </w:r>
      <w:r w:rsidR="00B86566">
        <w:rPr>
          <w:rFonts w:ascii="Arial" w:hAnsi="Arial" w:cs="Arial"/>
          <w:lang w:val="lt-LT"/>
        </w:rPr>
        <w:t>ojo</w:t>
      </w:r>
      <w:r w:rsidRPr="00A851D3">
        <w:rPr>
          <w:rFonts w:ascii="Arial" w:hAnsi="Arial" w:cs="Arial"/>
          <w:lang w:val="lt-LT"/>
        </w:rPr>
        <w:t xml:space="preserve"> princip</w:t>
      </w:r>
      <w:r w:rsidR="00B86566">
        <w:rPr>
          <w:rFonts w:ascii="Arial" w:hAnsi="Arial" w:cs="Arial"/>
          <w:lang w:val="lt-LT"/>
        </w:rPr>
        <w:t>o</w:t>
      </w:r>
      <w:r w:rsidRPr="00A851D3">
        <w:rPr>
          <w:rFonts w:ascii="Arial" w:hAnsi="Arial" w:cs="Arial"/>
          <w:lang w:val="lt-LT"/>
        </w:rPr>
        <w:t xml:space="preserve"> </w:t>
      </w:r>
      <w:proofErr w:type="spellStart"/>
      <w:r w:rsidRPr="00A851D3">
        <w:rPr>
          <w:rFonts w:ascii="Arial" w:hAnsi="Arial" w:cs="Arial"/>
          <w:i/>
          <w:iCs/>
          <w:lang w:val="lt-LT"/>
        </w:rPr>
        <w:t>nemo</w:t>
      </w:r>
      <w:proofErr w:type="spellEnd"/>
      <w:r w:rsidRPr="00A851D3">
        <w:rPr>
          <w:rFonts w:ascii="Arial" w:hAnsi="Arial" w:cs="Arial"/>
          <w:i/>
          <w:iCs/>
          <w:lang w:val="lt-LT"/>
        </w:rPr>
        <w:t xml:space="preserve"> </w:t>
      </w:r>
      <w:proofErr w:type="spellStart"/>
      <w:r w:rsidRPr="00A851D3">
        <w:rPr>
          <w:rFonts w:ascii="Arial" w:hAnsi="Arial" w:cs="Arial"/>
          <w:i/>
          <w:iCs/>
          <w:lang w:val="lt-LT"/>
        </w:rPr>
        <w:t>iudex</w:t>
      </w:r>
      <w:proofErr w:type="spellEnd"/>
      <w:r w:rsidRPr="00A851D3">
        <w:rPr>
          <w:rFonts w:ascii="Arial" w:hAnsi="Arial" w:cs="Arial"/>
          <w:i/>
          <w:iCs/>
          <w:lang w:val="lt-LT"/>
        </w:rPr>
        <w:t xml:space="preserve"> </w:t>
      </w:r>
      <w:proofErr w:type="spellStart"/>
      <w:r w:rsidRPr="00A851D3">
        <w:rPr>
          <w:rFonts w:ascii="Arial" w:hAnsi="Arial" w:cs="Arial"/>
          <w:i/>
          <w:iCs/>
          <w:lang w:val="lt-LT"/>
        </w:rPr>
        <w:t>in</w:t>
      </w:r>
      <w:proofErr w:type="spellEnd"/>
      <w:r w:rsidRPr="00A851D3">
        <w:rPr>
          <w:rFonts w:ascii="Arial" w:hAnsi="Arial" w:cs="Arial"/>
          <w:i/>
          <w:iCs/>
          <w:lang w:val="lt-LT"/>
        </w:rPr>
        <w:t xml:space="preserve"> </w:t>
      </w:r>
      <w:proofErr w:type="spellStart"/>
      <w:r w:rsidRPr="00A851D3">
        <w:rPr>
          <w:rFonts w:ascii="Arial" w:hAnsi="Arial" w:cs="Arial"/>
          <w:i/>
          <w:iCs/>
          <w:lang w:val="lt-LT"/>
        </w:rPr>
        <w:t>causa</w:t>
      </w:r>
      <w:proofErr w:type="spellEnd"/>
      <w:r w:rsidRPr="00A851D3">
        <w:rPr>
          <w:rFonts w:ascii="Arial" w:hAnsi="Arial" w:cs="Arial"/>
          <w:i/>
          <w:iCs/>
          <w:lang w:val="lt-LT"/>
        </w:rPr>
        <w:t xml:space="preserve"> </w:t>
      </w:r>
      <w:proofErr w:type="spellStart"/>
      <w:r w:rsidRPr="00A851D3">
        <w:rPr>
          <w:rFonts w:ascii="Arial" w:hAnsi="Arial" w:cs="Arial"/>
          <w:i/>
          <w:iCs/>
          <w:lang w:val="lt-LT"/>
        </w:rPr>
        <w:t>sua</w:t>
      </w:r>
      <w:proofErr w:type="spellEnd"/>
      <w:r w:rsidRPr="00A851D3">
        <w:rPr>
          <w:rFonts w:ascii="Arial" w:hAnsi="Arial" w:cs="Arial"/>
          <w:lang w:val="lt-LT"/>
        </w:rPr>
        <w:t xml:space="preserve"> </w:t>
      </w:r>
      <w:r w:rsidRPr="00C850EB">
        <w:rPr>
          <w:rFonts w:ascii="Arial" w:hAnsi="Arial" w:cs="Arial"/>
          <w:lang w:val="lt-LT"/>
        </w:rPr>
        <w:t>(niekas negali būti teisėju savo byloje)</w:t>
      </w:r>
      <w:r w:rsidRPr="00A851D3">
        <w:rPr>
          <w:rFonts w:ascii="Arial" w:hAnsi="Arial" w:cs="Arial"/>
          <w:lang w:val="lt-LT"/>
        </w:rPr>
        <w:t xml:space="preserve">, kuris yra viena iš teisingo bylos </w:t>
      </w:r>
      <w:r w:rsidRPr="004D5132">
        <w:rPr>
          <w:rFonts w:ascii="Arial" w:hAnsi="Arial" w:cs="Arial"/>
          <w:lang w:val="lt-LT"/>
        </w:rPr>
        <w:t xml:space="preserve">nagrinėjimo garantijų pagal </w:t>
      </w:r>
      <w:r w:rsidR="00FE013E">
        <w:rPr>
          <w:rFonts w:ascii="Arial" w:hAnsi="Arial" w:cs="Arial"/>
          <w:lang w:val="lt-LT"/>
        </w:rPr>
        <w:t xml:space="preserve">Europos žmogaus teisių ir pagrindinių laisvių apsaugos konvencijos </w:t>
      </w:r>
      <w:r w:rsidRPr="004D5132">
        <w:rPr>
          <w:rFonts w:ascii="Arial" w:hAnsi="Arial" w:cs="Arial"/>
          <w:lang w:val="lt-LT"/>
        </w:rPr>
        <w:t>6</w:t>
      </w:r>
      <w:r w:rsidR="00FE013E">
        <w:rPr>
          <w:rFonts w:ascii="Arial" w:hAnsi="Arial" w:cs="Arial"/>
          <w:lang w:val="lt-LT"/>
        </w:rPr>
        <w:t> </w:t>
      </w:r>
      <w:r w:rsidRPr="004D5132">
        <w:rPr>
          <w:rFonts w:ascii="Arial" w:hAnsi="Arial" w:cs="Arial"/>
          <w:lang w:val="lt-LT"/>
        </w:rPr>
        <w:t>straipsnį</w:t>
      </w:r>
      <w:r w:rsidR="00B86566">
        <w:rPr>
          <w:rFonts w:ascii="Arial" w:hAnsi="Arial" w:cs="Arial"/>
          <w:lang w:val="lt-LT"/>
        </w:rPr>
        <w:t>, požiūriu</w:t>
      </w:r>
      <w:r w:rsidR="00B5309F">
        <w:rPr>
          <w:rFonts w:ascii="Arial" w:hAnsi="Arial" w:cs="Arial"/>
          <w:lang w:val="lt-LT"/>
        </w:rPr>
        <w:t xml:space="preserve"> (šiuo aspektu </w:t>
      </w:r>
      <w:r w:rsidR="006250EE">
        <w:rPr>
          <w:rFonts w:ascii="Arial" w:hAnsi="Arial" w:cs="Arial"/>
          <w:lang w:val="lt-LT"/>
        </w:rPr>
        <w:t xml:space="preserve">žr. </w:t>
      </w:r>
      <w:r w:rsidR="00B5309F">
        <w:rPr>
          <w:rFonts w:ascii="Arial" w:hAnsi="Arial" w:cs="Arial"/>
          <w:lang w:val="lt-LT"/>
        </w:rPr>
        <w:t>taip pat Principų komentaro 78 punkt</w:t>
      </w:r>
      <w:r w:rsidR="006250EE">
        <w:rPr>
          <w:rFonts w:ascii="Arial" w:hAnsi="Arial" w:cs="Arial"/>
          <w:lang w:val="lt-LT"/>
        </w:rPr>
        <w:t>ą</w:t>
      </w:r>
      <w:r w:rsidR="00B5309F">
        <w:rPr>
          <w:rFonts w:ascii="Arial" w:hAnsi="Arial" w:cs="Arial"/>
          <w:lang w:val="lt-LT"/>
        </w:rPr>
        <w:t>).</w:t>
      </w:r>
    </w:p>
    <w:p w14:paraId="0E4AE99C" w14:textId="6B27BB38" w:rsidR="00A77944" w:rsidRDefault="0043591D" w:rsidP="0042653C">
      <w:pPr>
        <w:pStyle w:val="Tekstas"/>
        <w:spacing w:before="0" w:after="0"/>
        <w:ind w:right="0" w:firstLine="851"/>
        <w:rPr>
          <w:rFonts w:ascii="Arial" w:hAnsi="Arial" w:cs="Arial"/>
          <w:lang w:val="lt-LT"/>
        </w:rPr>
      </w:pPr>
      <w:r>
        <w:rPr>
          <w:rFonts w:ascii="Arial" w:hAnsi="Arial" w:cs="Arial"/>
          <w:lang w:val="lt-LT"/>
        </w:rPr>
        <w:t xml:space="preserve">Tuo pačiu </w:t>
      </w:r>
      <w:r w:rsidR="0042653C">
        <w:rPr>
          <w:rFonts w:ascii="Arial" w:hAnsi="Arial" w:cs="Arial"/>
          <w:lang w:val="lt-LT"/>
        </w:rPr>
        <w:t>Komisija atkreipia dėmesį</w:t>
      </w:r>
      <w:r w:rsidR="00004DDB">
        <w:rPr>
          <w:rFonts w:ascii="Arial" w:hAnsi="Arial" w:cs="Arial"/>
          <w:lang w:val="lt-LT"/>
        </w:rPr>
        <w:t xml:space="preserve"> į tai, kad Principų 2</w:t>
      </w:r>
      <w:r w:rsidR="002F5F15">
        <w:rPr>
          <w:rFonts w:ascii="Arial" w:hAnsi="Arial" w:cs="Arial"/>
          <w:lang w:val="lt-LT"/>
        </w:rPr>
        <w:t> </w:t>
      </w:r>
      <w:r w:rsidR="00004DDB">
        <w:rPr>
          <w:rFonts w:ascii="Arial" w:hAnsi="Arial" w:cs="Arial"/>
          <w:lang w:val="lt-LT"/>
        </w:rPr>
        <w:t xml:space="preserve">punkte, kalbant apie nešališkumo vertybę, nurodoma, jog neturi būti reikalaujama teisėją nusišalinti nuo bylos, jeigu kitas teismas negali išnagrinėti bylos arba jei bylos neišnagrinėjimas būtų vertinamas kaip rimtas nusižengimas teisingumui. </w:t>
      </w:r>
      <w:r w:rsidR="0086528B">
        <w:rPr>
          <w:rFonts w:ascii="Arial" w:hAnsi="Arial" w:cs="Arial"/>
          <w:lang w:val="lt-LT"/>
        </w:rPr>
        <w:t>Tokia nuostata yra paremta taip vadinama būtinybės doktrina (</w:t>
      </w:r>
      <w:r w:rsidR="001E3A21">
        <w:rPr>
          <w:rFonts w:ascii="Arial" w:hAnsi="Arial" w:cs="Arial"/>
          <w:lang w:val="lt-LT"/>
        </w:rPr>
        <w:t xml:space="preserve">angl. </w:t>
      </w:r>
      <w:proofErr w:type="spellStart"/>
      <w:r w:rsidR="0086528B" w:rsidRPr="004D5132">
        <w:rPr>
          <w:rFonts w:ascii="Arial" w:hAnsi="Arial" w:cs="Arial"/>
          <w:i/>
          <w:iCs/>
          <w:lang w:val="lt-LT"/>
        </w:rPr>
        <w:t>doctrine</w:t>
      </w:r>
      <w:proofErr w:type="spellEnd"/>
      <w:r w:rsidR="0086528B" w:rsidRPr="004D5132">
        <w:rPr>
          <w:rFonts w:ascii="Arial" w:hAnsi="Arial" w:cs="Arial"/>
          <w:i/>
          <w:iCs/>
          <w:lang w:val="lt-LT"/>
        </w:rPr>
        <w:t xml:space="preserve"> </w:t>
      </w:r>
      <w:proofErr w:type="spellStart"/>
      <w:r w:rsidR="0086528B" w:rsidRPr="004D5132">
        <w:rPr>
          <w:rFonts w:ascii="Arial" w:hAnsi="Arial" w:cs="Arial"/>
          <w:i/>
          <w:iCs/>
          <w:lang w:val="lt-LT"/>
        </w:rPr>
        <w:t>of</w:t>
      </w:r>
      <w:proofErr w:type="spellEnd"/>
      <w:r w:rsidR="0086528B" w:rsidRPr="004D5132">
        <w:rPr>
          <w:rFonts w:ascii="Arial" w:hAnsi="Arial" w:cs="Arial"/>
          <w:i/>
          <w:iCs/>
          <w:lang w:val="lt-LT"/>
        </w:rPr>
        <w:t xml:space="preserve"> </w:t>
      </w:r>
      <w:proofErr w:type="spellStart"/>
      <w:r w:rsidR="0086528B" w:rsidRPr="004D5132">
        <w:rPr>
          <w:rFonts w:ascii="Arial" w:hAnsi="Arial" w:cs="Arial"/>
          <w:i/>
          <w:iCs/>
          <w:lang w:val="lt-LT"/>
        </w:rPr>
        <w:t>necessity</w:t>
      </w:r>
      <w:proofErr w:type="spellEnd"/>
      <w:r w:rsidR="0086528B">
        <w:rPr>
          <w:rFonts w:ascii="Arial" w:hAnsi="Arial" w:cs="Arial"/>
          <w:lang w:val="lt-LT"/>
        </w:rPr>
        <w:t>)</w:t>
      </w:r>
      <w:r w:rsidR="006C1F18">
        <w:rPr>
          <w:rFonts w:ascii="Arial" w:hAnsi="Arial" w:cs="Arial"/>
          <w:lang w:val="lt-LT"/>
        </w:rPr>
        <w:t xml:space="preserve">, pagal kurią </w:t>
      </w:r>
      <w:r w:rsidR="00D02132">
        <w:rPr>
          <w:rFonts w:ascii="Arial" w:hAnsi="Arial" w:cs="Arial"/>
          <w:lang w:val="lt-LT"/>
        </w:rPr>
        <w:t xml:space="preserve">išimtinėmis aplinkybėmis </w:t>
      </w:r>
      <w:r w:rsidR="007B45B9">
        <w:rPr>
          <w:rFonts w:ascii="Arial" w:hAnsi="Arial" w:cs="Arial"/>
          <w:lang w:val="lt-LT"/>
        </w:rPr>
        <w:t xml:space="preserve">gali būti nukrypta nuo </w:t>
      </w:r>
      <w:r w:rsidR="00D02132">
        <w:rPr>
          <w:rFonts w:ascii="Arial" w:hAnsi="Arial" w:cs="Arial"/>
          <w:lang w:val="lt-LT"/>
        </w:rPr>
        <w:t xml:space="preserve">nešališkumo principo, kai visi arba dauguma teisėjų yra identiškoje padėtyje </w:t>
      </w:r>
      <w:r w:rsidR="00D02132">
        <w:rPr>
          <w:rFonts w:ascii="Arial" w:hAnsi="Arial" w:cs="Arial"/>
          <w:color w:val="000000"/>
          <w:spacing w:val="1"/>
          <w:lang w:val="lt-LT"/>
        </w:rPr>
        <w:t xml:space="preserve">ir </w:t>
      </w:r>
      <w:r w:rsidR="00D02132" w:rsidRPr="004E35D6">
        <w:rPr>
          <w:rFonts w:ascii="Arial" w:hAnsi="Arial" w:cs="Arial"/>
          <w:color w:val="000000"/>
          <w:spacing w:val="1"/>
          <w:lang w:val="lt-LT"/>
        </w:rPr>
        <w:t xml:space="preserve">nėra </w:t>
      </w:r>
      <w:r w:rsidR="00D02132" w:rsidRPr="004E35D6">
        <w:rPr>
          <w:rFonts w:ascii="Arial" w:hAnsi="Arial" w:cs="Arial"/>
          <w:lang w:val="lt-LT"/>
        </w:rPr>
        <w:t>objektyvios galimybės suformuoti visiškai nešališkos sudėties teismo</w:t>
      </w:r>
      <w:r w:rsidR="00D02132">
        <w:rPr>
          <w:rFonts w:ascii="Arial" w:hAnsi="Arial" w:cs="Arial"/>
          <w:lang w:val="lt-LT"/>
        </w:rPr>
        <w:t>. Tokios situacijos yra retos ir specifinės, paprastai kylančios galutinės instancijos teismuose, kai yra nedaug teisėjų, kurių funkcijos negali būti deleguotos kitiems teisėjams</w:t>
      </w:r>
      <w:r w:rsidR="00C67C6F">
        <w:rPr>
          <w:rFonts w:ascii="Arial" w:hAnsi="Arial" w:cs="Arial"/>
          <w:lang w:val="lt-LT"/>
        </w:rPr>
        <w:t xml:space="preserve"> (Principų komentaro 100</w:t>
      </w:r>
      <w:r w:rsidR="00871CD1">
        <w:rPr>
          <w:rFonts w:ascii="Arial" w:hAnsi="Arial" w:cs="Arial"/>
          <w:lang w:val="lt-LT"/>
        </w:rPr>
        <w:t> </w:t>
      </w:r>
      <w:r w:rsidR="00C67C6F">
        <w:rPr>
          <w:rFonts w:ascii="Arial" w:hAnsi="Arial" w:cs="Arial"/>
          <w:lang w:val="lt-LT"/>
        </w:rPr>
        <w:t>punktas)</w:t>
      </w:r>
      <w:r w:rsidR="00D02132">
        <w:rPr>
          <w:rFonts w:ascii="Arial" w:hAnsi="Arial" w:cs="Arial"/>
          <w:lang w:val="lt-LT"/>
        </w:rPr>
        <w:t>.</w:t>
      </w:r>
      <w:r w:rsidR="00C67C6F">
        <w:rPr>
          <w:rFonts w:ascii="Arial" w:hAnsi="Arial" w:cs="Arial"/>
          <w:lang w:val="lt-LT"/>
        </w:rPr>
        <w:t xml:space="preserve"> Aptariama doktrina</w:t>
      </w:r>
      <w:r w:rsidR="00A77944">
        <w:rPr>
          <w:rFonts w:ascii="Arial" w:hAnsi="Arial" w:cs="Arial"/>
          <w:lang w:val="lt-LT"/>
        </w:rPr>
        <w:t xml:space="preserve"> minima ir EŽTT praktikoje, kartu pažymint, jog ji </w:t>
      </w:r>
      <w:r w:rsidR="00A77944" w:rsidRPr="004D5132">
        <w:rPr>
          <w:rFonts w:ascii="Arial" w:hAnsi="Arial" w:cs="Arial"/>
          <w:lang w:val="lt-LT"/>
        </w:rPr>
        <w:t>leidžia teisėjui dalyvauti byloje tik tuo atveju, jei jo nušalinimas reikštų teisingumo paneigimą (</w:t>
      </w:r>
      <w:r w:rsidR="009E4645">
        <w:rPr>
          <w:rFonts w:ascii="Arial" w:hAnsi="Arial" w:cs="Arial"/>
          <w:lang w:val="lt-LT"/>
        </w:rPr>
        <w:t>angl.</w:t>
      </w:r>
      <w:r w:rsidR="005E18E8">
        <w:rPr>
          <w:rFonts w:ascii="Arial" w:hAnsi="Arial" w:cs="Arial"/>
          <w:lang w:val="lt-LT"/>
        </w:rPr>
        <w:t> </w:t>
      </w:r>
      <w:proofErr w:type="spellStart"/>
      <w:r w:rsidR="00A77944" w:rsidRPr="004D5132">
        <w:rPr>
          <w:rFonts w:ascii="Arial" w:hAnsi="Arial" w:cs="Arial"/>
          <w:i/>
          <w:iCs/>
          <w:lang w:val="lt-LT"/>
        </w:rPr>
        <w:t>denial</w:t>
      </w:r>
      <w:proofErr w:type="spellEnd"/>
      <w:r w:rsidR="00A77944" w:rsidRPr="004D5132">
        <w:rPr>
          <w:rFonts w:ascii="Arial" w:hAnsi="Arial" w:cs="Arial"/>
          <w:i/>
          <w:iCs/>
          <w:lang w:val="lt-LT"/>
        </w:rPr>
        <w:t xml:space="preserve"> </w:t>
      </w:r>
      <w:proofErr w:type="spellStart"/>
      <w:r w:rsidR="00A77944" w:rsidRPr="004D5132">
        <w:rPr>
          <w:rFonts w:ascii="Arial" w:hAnsi="Arial" w:cs="Arial"/>
          <w:i/>
          <w:iCs/>
          <w:lang w:val="lt-LT"/>
        </w:rPr>
        <w:t>of</w:t>
      </w:r>
      <w:proofErr w:type="spellEnd"/>
      <w:r w:rsidR="00A77944" w:rsidRPr="004D5132">
        <w:rPr>
          <w:rFonts w:ascii="Arial" w:hAnsi="Arial" w:cs="Arial"/>
          <w:i/>
          <w:iCs/>
          <w:lang w:val="lt-LT"/>
        </w:rPr>
        <w:t xml:space="preserve"> </w:t>
      </w:r>
      <w:proofErr w:type="spellStart"/>
      <w:r w:rsidR="00A77944" w:rsidRPr="004D5132">
        <w:rPr>
          <w:rFonts w:ascii="Arial" w:hAnsi="Arial" w:cs="Arial"/>
          <w:i/>
          <w:iCs/>
          <w:lang w:val="lt-LT"/>
        </w:rPr>
        <w:t>justice</w:t>
      </w:r>
      <w:proofErr w:type="spellEnd"/>
      <w:r w:rsidR="00A77944" w:rsidRPr="004D5132">
        <w:rPr>
          <w:rFonts w:ascii="Arial" w:hAnsi="Arial" w:cs="Arial"/>
          <w:lang w:val="lt-LT"/>
        </w:rPr>
        <w:t>)</w:t>
      </w:r>
      <w:r w:rsidR="00A77944">
        <w:rPr>
          <w:rFonts w:ascii="Arial" w:hAnsi="Arial" w:cs="Arial"/>
          <w:lang w:val="lt-LT"/>
        </w:rPr>
        <w:t xml:space="preserve"> (EŽTT 2024 m. sausio 15 d. sprendimas byloje </w:t>
      </w:r>
      <w:proofErr w:type="spellStart"/>
      <w:r w:rsidR="00A77944" w:rsidRPr="004D5132">
        <w:rPr>
          <w:rFonts w:ascii="Arial" w:hAnsi="Arial" w:cs="Arial"/>
          <w:i/>
          <w:iCs/>
          <w:lang w:val="lt-LT"/>
        </w:rPr>
        <w:t>Alvina</w:t>
      </w:r>
      <w:proofErr w:type="spellEnd"/>
      <w:r w:rsidR="00A77944" w:rsidRPr="004D5132">
        <w:rPr>
          <w:rFonts w:ascii="Arial" w:hAnsi="Arial" w:cs="Arial"/>
          <w:i/>
          <w:iCs/>
          <w:lang w:val="lt-LT"/>
        </w:rPr>
        <w:t xml:space="preserve"> </w:t>
      </w:r>
      <w:proofErr w:type="spellStart"/>
      <w:r w:rsidR="00A77944" w:rsidRPr="004D5132">
        <w:rPr>
          <w:rFonts w:ascii="Arial" w:hAnsi="Arial" w:cs="Arial"/>
          <w:i/>
          <w:iCs/>
          <w:lang w:val="lt-LT"/>
        </w:rPr>
        <w:t>Gyulumyan</w:t>
      </w:r>
      <w:proofErr w:type="spellEnd"/>
      <w:r w:rsidR="00A77944" w:rsidRPr="004D5132">
        <w:rPr>
          <w:rFonts w:ascii="Arial" w:hAnsi="Arial" w:cs="Arial"/>
          <w:i/>
          <w:iCs/>
          <w:lang w:val="lt-LT"/>
        </w:rPr>
        <w:t xml:space="preserve"> </w:t>
      </w:r>
      <w:r w:rsidR="00A77944">
        <w:rPr>
          <w:rFonts w:ascii="Arial" w:hAnsi="Arial" w:cs="Arial"/>
          <w:i/>
          <w:iCs/>
          <w:lang w:val="lt-LT"/>
        </w:rPr>
        <w:t xml:space="preserve">ir kiti prieš Armėniją, </w:t>
      </w:r>
      <w:r w:rsidR="00A77944">
        <w:rPr>
          <w:rFonts w:ascii="Arial" w:hAnsi="Arial" w:cs="Arial"/>
          <w:lang w:val="lt-LT"/>
        </w:rPr>
        <w:t>peticijos Nr.</w:t>
      </w:r>
      <w:r w:rsidR="008F498E">
        <w:rPr>
          <w:rFonts w:ascii="Arial" w:hAnsi="Arial" w:cs="Arial"/>
          <w:lang w:val="lt-LT"/>
        </w:rPr>
        <w:t> 25240/20</w:t>
      </w:r>
      <w:r w:rsidR="00C76046">
        <w:rPr>
          <w:rFonts w:ascii="Arial" w:hAnsi="Arial" w:cs="Arial"/>
          <w:lang w:val="lt-LT"/>
        </w:rPr>
        <w:t xml:space="preserve">, </w:t>
      </w:r>
      <w:proofErr w:type="spellStart"/>
      <w:r w:rsidR="00C76046">
        <w:rPr>
          <w:rFonts w:ascii="Arial" w:hAnsi="Arial" w:cs="Arial"/>
          <w:lang w:val="lt-LT"/>
        </w:rPr>
        <w:t>par</w:t>
      </w:r>
      <w:proofErr w:type="spellEnd"/>
      <w:r w:rsidR="00C76046">
        <w:rPr>
          <w:rFonts w:ascii="Arial" w:hAnsi="Arial" w:cs="Arial"/>
          <w:lang w:val="lt-LT"/>
        </w:rPr>
        <w:t>. 81)</w:t>
      </w:r>
      <w:r w:rsidR="00D1322B">
        <w:rPr>
          <w:rFonts w:ascii="Arial" w:hAnsi="Arial" w:cs="Arial"/>
          <w:lang w:val="lt-LT"/>
        </w:rPr>
        <w:t>. Dėl to teisėjas, ypa</w:t>
      </w:r>
      <w:r w:rsidR="00622A66">
        <w:rPr>
          <w:rFonts w:ascii="Arial" w:hAnsi="Arial" w:cs="Arial"/>
          <w:lang w:val="lt-LT"/>
        </w:rPr>
        <w:t xml:space="preserve">tingai einantis pareigas </w:t>
      </w:r>
      <w:r w:rsidR="00D1322B">
        <w:rPr>
          <w:rFonts w:ascii="Arial" w:hAnsi="Arial" w:cs="Arial"/>
          <w:lang w:val="lt-LT"/>
        </w:rPr>
        <w:t xml:space="preserve">aukštesnės instancijos teisme, </w:t>
      </w:r>
      <w:r w:rsidR="0080307F">
        <w:rPr>
          <w:rFonts w:ascii="Arial" w:hAnsi="Arial" w:cs="Arial"/>
          <w:lang w:val="lt-LT"/>
        </w:rPr>
        <w:t xml:space="preserve">esantis aptariamoje situacijoje, </w:t>
      </w:r>
      <w:r w:rsidR="00D1322B">
        <w:rPr>
          <w:rFonts w:ascii="Arial" w:hAnsi="Arial" w:cs="Arial"/>
          <w:lang w:val="lt-LT"/>
        </w:rPr>
        <w:t>prieš priimdamas sprendimą</w:t>
      </w:r>
      <w:r w:rsidR="0080307F">
        <w:rPr>
          <w:rFonts w:ascii="Arial" w:hAnsi="Arial" w:cs="Arial"/>
          <w:lang w:val="lt-LT"/>
        </w:rPr>
        <w:t xml:space="preserve"> dėl nusišalinimo nuo bylos</w:t>
      </w:r>
      <w:r w:rsidR="00A87E08">
        <w:rPr>
          <w:rFonts w:ascii="Arial" w:hAnsi="Arial" w:cs="Arial"/>
          <w:lang w:val="lt-LT"/>
        </w:rPr>
        <w:t>,</w:t>
      </w:r>
      <w:r w:rsidR="0080307F">
        <w:rPr>
          <w:rFonts w:ascii="Arial" w:hAnsi="Arial" w:cs="Arial"/>
          <w:lang w:val="lt-LT"/>
        </w:rPr>
        <w:t xml:space="preserve"> </w:t>
      </w:r>
      <w:r w:rsidR="00B15CF1">
        <w:rPr>
          <w:rFonts w:ascii="Arial" w:hAnsi="Arial" w:cs="Arial"/>
          <w:lang w:val="lt-LT"/>
        </w:rPr>
        <w:t xml:space="preserve">turėtų </w:t>
      </w:r>
      <w:r w:rsidR="00B538BF">
        <w:rPr>
          <w:rFonts w:ascii="Arial" w:hAnsi="Arial" w:cs="Arial"/>
          <w:lang w:val="lt-LT"/>
        </w:rPr>
        <w:t xml:space="preserve">įvertinti visas </w:t>
      </w:r>
      <w:r w:rsidR="000A08AE">
        <w:rPr>
          <w:rFonts w:ascii="Arial" w:hAnsi="Arial" w:cs="Arial"/>
          <w:lang w:val="lt-LT"/>
        </w:rPr>
        <w:t xml:space="preserve">reikšmingas </w:t>
      </w:r>
      <w:r w:rsidR="00B538BF">
        <w:rPr>
          <w:rFonts w:ascii="Arial" w:hAnsi="Arial" w:cs="Arial"/>
          <w:lang w:val="lt-LT"/>
        </w:rPr>
        <w:t>aplinkybes, prireikus, bendradarbiauti su teismo administracija</w:t>
      </w:r>
      <w:r w:rsidR="00A87E08">
        <w:rPr>
          <w:rFonts w:ascii="Arial" w:hAnsi="Arial" w:cs="Arial"/>
          <w:lang w:val="lt-LT"/>
        </w:rPr>
        <w:t xml:space="preserve"> ir gauti reikiamą informaciją</w:t>
      </w:r>
      <w:r w:rsidR="000A08AE">
        <w:rPr>
          <w:rFonts w:ascii="Arial" w:hAnsi="Arial" w:cs="Arial"/>
          <w:lang w:val="lt-LT"/>
        </w:rPr>
        <w:t>,</w:t>
      </w:r>
      <w:r w:rsidR="008D0381">
        <w:rPr>
          <w:rFonts w:ascii="Arial" w:hAnsi="Arial" w:cs="Arial"/>
          <w:lang w:val="lt-LT"/>
        </w:rPr>
        <w:t xml:space="preserve"> bei užtikrinti, kad</w:t>
      </w:r>
      <w:r w:rsidR="000A08AE">
        <w:rPr>
          <w:rFonts w:ascii="Arial" w:hAnsi="Arial" w:cs="Arial"/>
          <w:lang w:val="lt-LT"/>
        </w:rPr>
        <w:t xml:space="preserve"> </w:t>
      </w:r>
      <w:r w:rsidR="00622A66">
        <w:rPr>
          <w:rFonts w:ascii="Arial" w:hAnsi="Arial" w:cs="Arial"/>
          <w:lang w:val="lt-LT"/>
        </w:rPr>
        <w:t>tokiu sprendimu nebūtų pakenkta teisingumo vykdymui ir</w:t>
      </w:r>
      <w:r w:rsidR="008D0381">
        <w:rPr>
          <w:rFonts w:ascii="Arial" w:hAnsi="Arial" w:cs="Arial"/>
          <w:lang w:val="lt-LT"/>
        </w:rPr>
        <w:t xml:space="preserve"> nekiltų kliūčių</w:t>
      </w:r>
      <w:r w:rsidR="000A08AE">
        <w:rPr>
          <w:rFonts w:ascii="Arial" w:hAnsi="Arial" w:cs="Arial"/>
          <w:lang w:val="lt-LT"/>
        </w:rPr>
        <w:t xml:space="preserve"> </w:t>
      </w:r>
      <w:r w:rsidR="00622A66">
        <w:rPr>
          <w:rFonts w:ascii="Arial" w:hAnsi="Arial" w:cs="Arial"/>
          <w:lang w:val="lt-LT"/>
        </w:rPr>
        <w:t>byl</w:t>
      </w:r>
      <w:r w:rsidR="008D0381">
        <w:rPr>
          <w:rFonts w:ascii="Arial" w:hAnsi="Arial" w:cs="Arial"/>
          <w:lang w:val="lt-LT"/>
        </w:rPr>
        <w:t>ą</w:t>
      </w:r>
      <w:r w:rsidR="00622A66">
        <w:rPr>
          <w:rFonts w:ascii="Arial" w:hAnsi="Arial" w:cs="Arial"/>
          <w:lang w:val="lt-LT"/>
        </w:rPr>
        <w:t xml:space="preserve"> išnagrinėt</w:t>
      </w:r>
      <w:r w:rsidR="008D0381">
        <w:rPr>
          <w:rFonts w:ascii="Arial" w:hAnsi="Arial" w:cs="Arial"/>
          <w:lang w:val="lt-LT"/>
        </w:rPr>
        <w:t>i</w:t>
      </w:r>
      <w:r w:rsidR="00622A66">
        <w:rPr>
          <w:rFonts w:ascii="Arial" w:hAnsi="Arial" w:cs="Arial"/>
          <w:lang w:val="lt-LT"/>
        </w:rPr>
        <w:t xml:space="preserve"> kitos sudėties teism</w:t>
      </w:r>
      <w:r w:rsidR="008D0381">
        <w:rPr>
          <w:rFonts w:ascii="Arial" w:hAnsi="Arial" w:cs="Arial"/>
          <w:lang w:val="lt-LT"/>
        </w:rPr>
        <w:t>e</w:t>
      </w:r>
      <w:r w:rsidR="00622A66">
        <w:rPr>
          <w:rFonts w:ascii="Arial" w:hAnsi="Arial" w:cs="Arial"/>
          <w:lang w:val="lt-LT"/>
        </w:rPr>
        <w:t>.</w:t>
      </w:r>
    </w:p>
    <w:p w14:paraId="0ABE41F6" w14:textId="5208396A" w:rsidR="00A65AC5" w:rsidRPr="00AE7CF2" w:rsidRDefault="00A65AC5" w:rsidP="00A65AC5">
      <w:pPr>
        <w:pStyle w:val="Tekstas"/>
        <w:spacing w:before="0" w:after="0"/>
        <w:ind w:right="0" w:firstLine="851"/>
        <w:rPr>
          <w:rFonts w:ascii="Arial" w:hAnsi="Arial" w:cs="Arial"/>
          <w:lang w:val="lt-LT"/>
        </w:rPr>
      </w:pPr>
      <w:bookmarkStart w:id="0" w:name="_Hlk207871112"/>
      <w:r w:rsidRPr="004D5132">
        <w:rPr>
          <w:rFonts w:ascii="Arial" w:hAnsi="Arial" w:cs="Arial"/>
          <w:lang w:val="lt-LT"/>
        </w:rPr>
        <w:t>Komisijos pateiktą konsultaciją procesinius sprendimus</w:t>
      </w:r>
      <w:r w:rsidRPr="00AE7CF2">
        <w:rPr>
          <w:rFonts w:ascii="Arial" w:hAnsi="Arial" w:cs="Arial"/>
          <w:lang w:val="lt-LT"/>
        </w:rPr>
        <w:t xml:space="preserve"> priimantys teisėjai turi teisę vertinti kritiškai ir kiekvienu atveju individualiai priimti sprendimus, atsižvelgdami į konkrečias aplinkybes</w:t>
      </w:r>
      <w:r w:rsidR="00E867F0">
        <w:rPr>
          <w:rFonts w:ascii="Arial" w:hAnsi="Arial" w:cs="Arial"/>
          <w:lang w:val="lt-LT"/>
        </w:rPr>
        <w:t>,</w:t>
      </w:r>
      <w:r w:rsidRPr="00AE7CF2">
        <w:rPr>
          <w:rFonts w:ascii="Arial" w:hAnsi="Arial" w:cs="Arial"/>
          <w:lang w:val="lt-LT"/>
        </w:rPr>
        <w:t xml:space="preserve"> </w:t>
      </w:r>
      <w:r w:rsidR="004D5132" w:rsidRPr="004D5132">
        <w:rPr>
          <w:rFonts w:ascii="Arial" w:hAnsi="Arial" w:cs="Arial"/>
          <w:lang w:val="lt-LT"/>
        </w:rPr>
        <w:t>vadovaudamasi profesine atsakomybe bei siekiu išlaikyti visuomenės pasitikėjimą teismo nešališkumu</w:t>
      </w:r>
      <w:r w:rsidRPr="00AE7CF2">
        <w:rPr>
          <w:rFonts w:ascii="Arial" w:hAnsi="Arial" w:cs="Arial"/>
          <w:lang w:val="lt-LT"/>
        </w:rPr>
        <w:t>.</w:t>
      </w:r>
    </w:p>
    <w:p w14:paraId="3766A693" w14:textId="77777777" w:rsidR="00A65AC5" w:rsidRPr="0022361E" w:rsidRDefault="00A65AC5" w:rsidP="00EE1348">
      <w:pPr>
        <w:pStyle w:val="Tekstas"/>
        <w:spacing w:before="0" w:after="0"/>
        <w:ind w:right="0" w:firstLine="851"/>
        <w:rPr>
          <w:rFonts w:ascii="Arial" w:hAnsi="Arial" w:cs="Arial"/>
          <w:lang w:val="lt-LT"/>
        </w:rPr>
      </w:pPr>
    </w:p>
    <w:bookmarkEnd w:id="0"/>
    <w:p w14:paraId="65889042" w14:textId="77777777" w:rsidR="00144F59" w:rsidRDefault="00144F59" w:rsidP="00621014">
      <w:pPr>
        <w:tabs>
          <w:tab w:val="left" w:pos="1200"/>
        </w:tabs>
        <w:jc w:val="both"/>
      </w:pPr>
    </w:p>
    <w:p w14:paraId="77D3C395" w14:textId="77777777" w:rsidR="00AE7CF2" w:rsidRPr="001C149A" w:rsidRDefault="00AE7CF2" w:rsidP="00AE7CF2">
      <w:pPr>
        <w:pStyle w:val="Pavadinimas"/>
        <w:tabs>
          <w:tab w:val="left" w:pos="8364"/>
        </w:tabs>
        <w:spacing w:before="0" w:after="0"/>
        <w:ind w:right="0"/>
        <w:jc w:val="both"/>
        <w:rPr>
          <w:rFonts w:ascii="Arial" w:hAnsi="Arial" w:cs="Arial"/>
        </w:rPr>
      </w:pPr>
      <w:r w:rsidRPr="001C149A">
        <w:rPr>
          <w:rFonts w:ascii="Arial" w:hAnsi="Arial" w:cs="Arial"/>
          <w:bCs/>
          <w:caps w:val="0"/>
        </w:rPr>
        <w:t xml:space="preserve">Komisijos pirmininkas </w:t>
      </w:r>
      <w:r>
        <w:rPr>
          <w:rFonts w:ascii="Arial" w:hAnsi="Arial" w:cs="Arial"/>
          <w:bCs/>
          <w:caps w:val="0"/>
        </w:rPr>
        <w:t xml:space="preserve">                                                                                      </w:t>
      </w:r>
      <w:r w:rsidRPr="001C149A">
        <w:rPr>
          <w:rFonts w:ascii="Arial" w:hAnsi="Arial" w:cs="Arial"/>
          <w:bCs/>
          <w:caps w:val="0"/>
        </w:rPr>
        <w:t>Marius Bajoras</w:t>
      </w:r>
      <w:r w:rsidRPr="001C149A">
        <w:rPr>
          <w:rFonts w:ascii="Arial" w:hAnsi="Arial" w:cs="Arial"/>
        </w:rPr>
        <w:tab/>
      </w:r>
      <w:r w:rsidRPr="001C149A">
        <w:rPr>
          <w:rFonts w:ascii="Arial" w:hAnsi="Arial" w:cs="Arial"/>
        </w:rPr>
        <w:tab/>
      </w:r>
      <w:r w:rsidRPr="001C149A">
        <w:rPr>
          <w:rFonts w:ascii="Arial" w:hAnsi="Arial" w:cs="Arial"/>
        </w:rPr>
        <w:tab/>
      </w:r>
      <w:r w:rsidRPr="001C149A">
        <w:rPr>
          <w:rFonts w:ascii="Arial" w:hAnsi="Arial" w:cs="Arial"/>
        </w:rPr>
        <w:tab/>
      </w:r>
      <w:r w:rsidRPr="001C149A">
        <w:rPr>
          <w:rFonts w:ascii="Arial" w:hAnsi="Arial" w:cs="Arial"/>
        </w:rPr>
        <w:tab/>
        <w:t xml:space="preserve"> </w:t>
      </w:r>
    </w:p>
    <w:p w14:paraId="12032FD4" w14:textId="77777777" w:rsidR="00AE7CF2" w:rsidRPr="001C149A" w:rsidRDefault="00AE7CF2" w:rsidP="00AE7CF2">
      <w:pPr>
        <w:rPr>
          <w:rFonts w:ascii="Arial" w:hAnsi="Arial" w:cs="Arial"/>
          <w:sz w:val="20"/>
          <w:szCs w:val="20"/>
        </w:rPr>
      </w:pPr>
    </w:p>
    <w:p w14:paraId="1F4EA5DE" w14:textId="77777777" w:rsidR="00AE7CF2" w:rsidRPr="001C149A" w:rsidRDefault="00AE7CF2" w:rsidP="00AE7CF2">
      <w:pPr>
        <w:rPr>
          <w:rFonts w:ascii="Arial" w:hAnsi="Arial" w:cs="Arial"/>
          <w:sz w:val="20"/>
          <w:szCs w:val="20"/>
        </w:rPr>
      </w:pPr>
    </w:p>
    <w:p w14:paraId="273E04ED" w14:textId="77777777" w:rsidR="00AE7CF2" w:rsidRPr="001C149A" w:rsidRDefault="00AE7CF2" w:rsidP="00AE7CF2">
      <w:pPr>
        <w:rPr>
          <w:rFonts w:ascii="Arial" w:hAnsi="Arial" w:cs="Arial"/>
          <w:sz w:val="20"/>
          <w:szCs w:val="20"/>
        </w:rPr>
      </w:pPr>
    </w:p>
    <w:p w14:paraId="114FB252" w14:textId="77777777" w:rsidR="00AE7CF2" w:rsidRDefault="00AE7CF2" w:rsidP="00AE7CF2">
      <w:pPr>
        <w:rPr>
          <w:rFonts w:ascii="Arial" w:hAnsi="Arial" w:cs="Arial"/>
          <w:sz w:val="20"/>
          <w:szCs w:val="20"/>
        </w:rPr>
      </w:pPr>
    </w:p>
    <w:p w14:paraId="3798B168" w14:textId="77777777" w:rsidR="007C05DD" w:rsidRDefault="007C05DD" w:rsidP="00AE7CF2">
      <w:pPr>
        <w:rPr>
          <w:rFonts w:ascii="Arial" w:hAnsi="Arial" w:cs="Arial"/>
          <w:sz w:val="20"/>
          <w:szCs w:val="20"/>
        </w:rPr>
      </w:pPr>
    </w:p>
    <w:p w14:paraId="197AFFDD" w14:textId="77777777" w:rsidR="007C05DD" w:rsidRDefault="007C05DD" w:rsidP="00AE7CF2">
      <w:pPr>
        <w:rPr>
          <w:rFonts w:ascii="Arial" w:hAnsi="Arial" w:cs="Arial"/>
          <w:sz w:val="20"/>
          <w:szCs w:val="20"/>
        </w:rPr>
      </w:pPr>
    </w:p>
    <w:p w14:paraId="574B6C99" w14:textId="77777777" w:rsidR="000B2D61" w:rsidRDefault="000B2D61" w:rsidP="00AE7CF2">
      <w:pPr>
        <w:rPr>
          <w:rFonts w:ascii="Arial" w:hAnsi="Arial" w:cs="Arial"/>
          <w:sz w:val="20"/>
          <w:szCs w:val="20"/>
        </w:rPr>
      </w:pPr>
    </w:p>
    <w:p w14:paraId="723980CD" w14:textId="77777777" w:rsidR="000B2D61" w:rsidRDefault="000B2D61" w:rsidP="00AE7CF2">
      <w:pPr>
        <w:rPr>
          <w:rFonts w:ascii="Arial" w:hAnsi="Arial" w:cs="Arial"/>
          <w:sz w:val="20"/>
          <w:szCs w:val="20"/>
        </w:rPr>
      </w:pPr>
    </w:p>
    <w:p w14:paraId="159D0909" w14:textId="77777777" w:rsidR="000B2D61" w:rsidRDefault="000B2D61" w:rsidP="00AE7CF2">
      <w:pPr>
        <w:rPr>
          <w:rFonts w:ascii="Arial" w:hAnsi="Arial" w:cs="Arial"/>
          <w:sz w:val="20"/>
          <w:szCs w:val="20"/>
        </w:rPr>
      </w:pPr>
    </w:p>
    <w:p w14:paraId="245BB9CB" w14:textId="77777777" w:rsidR="000B2D61" w:rsidRDefault="000B2D61" w:rsidP="00AE7CF2">
      <w:pPr>
        <w:rPr>
          <w:rFonts w:ascii="Arial" w:hAnsi="Arial" w:cs="Arial"/>
          <w:sz w:val="20"/>
          <w:szCs w:val="20"/>
        </w:rPr>
      </w:pPr>
    </w:p>
    <w:p w14:paraId="2D7F6306" w14:textId="77777777" w:rsidR="000B2D61" w:rsidRDefault="000B2D61" w:rsidP="00AE7CF2">
      <w:pPr>
        <w:rPr>
          <w:rFonts w:ascii="Arial" w:hAnsi="Arial" w:cs="Arial"/>
          <w:sz w:val="20"/>
          <w:szCs w:val="20"/>
        </w:rPr>
      </w:pPr>
    </w:p>
    <w:p w14:paraId="1963669D" w14:textId="77777777" w:rsidR="000B2D61" w:rsidRDefault="000B2D61" w:rsidP="00AE7CF2">
      <w:pPr>
        <w:rPr>
          <w:rFonts w:ascii="Arial" w:hAnsi="Arial" w:cs="Arial"/>
          <w:sz w:val="20"/>
          <w:szCs w:val="20"/>
        </w:rPr>
      </w:pPr>
    </w:p>
    <w:p w14:paraId="4EA8102B" w14:textId="77777777" w:rsidR="00060333" w:rsidRDefault="00060333" w:rsidP="00AE7CF2">
      <w:pPr>
        <w:rPr>
          <w:rFonts w:ascii="Arial" w:hAnsi="Arial" w:cs="Arial"/>
          <w:sz w:val="20"/>
          <w:szCs w:val="20"/>
        </w:rPr>
      </w:pPr>
    </w:p>
    <w:p w14:paraId="1793A6AD" w14:textId="77777777" w:rsidR="00060333" w:rsidRDefault="00060333" w:rsidP="00AE7CF2">
      <w:pPr>
        <w:rPr>
          <w:rFonts w:ascii="Arial" w:hAnsi="Arial" w:cs="Arial"/>
          <w:sz w:val="20"/>
          <w:szCs w:val="20"/>
        </w:rPr>
      </w:pPr>
    </w:p>
    <w:p w14:paraId="437B9FAF" w14:textId="77777777" w:rsidR="00060333" w:rsidRDefault="00060333" w:rsidP="00AE7CF2">
      <w:pPr>
        <w:rPr>
          <w:rFonts w:ascii="Arial" w:hAnsi="Arial" w:cs="Arial"/>
          <w:sz w:val="20"/>
          <w:szCs w:val="20"/>
        </w:rPr>
      </w:pPr>
    </w:p>
    <w:p w14:paraId="47326DBD" w14:textId="77777777" w:rsidR="000B2D61" w:rsidRDefault="000B2D61" w:rsidP="00AE7CF2">
      <w:pPr>
        <w:rPr>
          <w:rFonts w:ascii="Arial" w:hAnsi="Arial" w:cs="Arial"/>
          <w:sz w:val="20"/>
          <w:szCs w:val="20"/>
        </w:rPr>
      </w:pPr>
    </w:p>
    <w:p w14:paraId="0AB04589" w14:textId="77777777" w:rsidR="000B2D61" w:rsidRDefault="000B2D61" w:rsidP="00AE7CF2">
      <w:pPr>
        <w:rPr>
          <w:rFonts w:ascii="Arial" w:hAnsi="Arial" w:cs="Arial"/>
          <w:sz w:val="20"/>
          <w:szCs w:val="20"/>
        </w:rPr>
      </w:pPr>
    </w:p>
    <w:p w14:paraId="69194959" w14:textId="77777777" w:rsidR="000B2D61" w:rsidRDefault="000B2D61" w:rsidP="00AE7CF2">
      <w:pPr>
        <w:rPr>
          <w:rFonts w:ascii="Arial" w:hAnsi="Arial" w:cs="Arial"/>
          <w:sz w:val="20"/>
          <w:szCs w:val="20"/>
        </w:rPr>
      </w:pPr>
    </w:p>
    <w:p w14:paraId="7F985215" w14:textId="77777777" w:rsidR="000B2D61" w:rsidRDefault="000B2D61" w:rsidP="00AE7CF2">
      <w:pPr>
        <w:rPr>
          <w:rFonts w:ascii="Arial" w:hAnsi="Arial" w:cs="Arial"/>
          <w:sz w:val="20"/>
          <w:szCs w:val="20"/>
        </w:rPr>
      </w:pPr>
    </w:p>
    <w:p w14:paraId="3A4777CD" w14:textId="77777777" w:rsidR="007C05DD" w:rsidRDefault="007C05DD" w:rsidP="00AE7CF2">
      <w:pPr>
        <w:rPr>
          <w:rFonts w:ascii="Arial" w:hAnsi="Arial" w:cs="Arial"/>
          <w:sz w:val="20"/>
          <w:szCs w:val="20"/>
        </w:rPr>
      </w:pPr>
    </w:p>
    <w:p w14:paraId="28DD4BA6" w14:textId="77777777" w:rsidR="002842D5" w:rsidRDefault="002842D5" w:rsidP="00AE7CF2">
      <w:pPr>
        <w:rPr>
          <w:rFonts w:ascii="Arial" w:hAnsi="Arial" w:cs="Arial"/>
          <w:sz w:val="20"/>
          <w:szCs w:val="20"/>
        </w:rPr>
      </w:pPr>
    </w:p>
    <w:p w14:paraId="5E4F86F3" w14:textId="1FF99402" w:rsidR="0027747A" w:rsidRPr="00BF117F" w:rsidRDefault="00AE7CF2" w:rsidP="00801E31">
      <w:pPr>
        <w:rPr>
          <w:lang w:val="en-US"/>
        </w:rPr>
      </w:pPr>
      <w:r w:rsidRPr="001C149A">
        <w:rPr>
          <w:rFonts w:ascii="Arial" w:hAnsi="Arial" w:cs="Arial"/>
        </w:rPr>
        <w:t>Olga Baltrėnė, tel. +37064660492, el. p. olga.baltrene@teismai.lt</w:t>
      </w:r>
    </w:p>
    <w:sectPr w:rsidR="0027747A" w:rsidRPr="00BF117F" w:rsidSect="00590DEC">
      <w:headerReference w:type="default" r:id="rId8"/>
      <w:headerReference w:type="first" r:id="rId9"/>
      <w:footerReference w:type="first" r:id="rId10"/>
      <w:pgSz w:w="11907" w:h="16840" w:code="9"/>
      <w:pgMar w:top="567" w:right="567" w:bottom="1276" w:left="1701"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1774" w14:textId="77777777" w:rsidR="00C642AE" w:rsidRDefault="00C642AE" w:rsidP="00635C1D">
      <w:r>
        <w:separator/>
      </w:r>
    </w:p>
  </w:endnote>
  <w:endnote w:type="continuationSeparator" w:id="0">
    <w:p w14:paraId="412463F3" w14:textId="77777777" w:rsidR="00C642AE" w:rsidRDefault="00C642AE" w:rsidP="0063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3372" w14:textId="77777777" w:rsidR="008A724F" w:rsidRDefault="00F45551" w:rsidP="008A724F">
    <w:pPr>
      <w:pStyle w:val="Porat"/>
      <w:jc w:val="left"/>
    </w:pPr>
    <w:r>
      <w:rPr>
        <w:sz w:val="22"/>
        <w:szCs w:val="22"/>
      </w:rPr>
      <w:tab/>
    </w:r>
  </w:p>
  <w:p w14:paraId="2CB17C8C" w14:textId="77777777" w:rsidR="008A724F" w:rsidRPr="001539A4" w:rsidRDefault="008A724F" w:rsidP="008A724F">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534C" w14:textId="77777777" w:rsidR="00C642AE" w:rsidRDefault="00C642AE" w:rsidP="00635C1D">
      <w:r>
        <w:separator/>
      </w:r>
    </w:p>
  </w:footnote>
  <w:footnote w:type="continuationSeparator" w:id="0">
    <w:p w14:paraId="46EA2FCA" w14:textId="77777777" w:rsidR="00C642AE" w:rsidRDefault="00C642AE" w:rsidP="0063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CF67" w14:textId="77777777" w:rsidR="008A724F" w:rsidRDefault="00FE7FA2">
    <w:pPr>
      <w:pStyle w:val="Antrats"/>
      <w:tabs>
        <w:tab w:val="clear" w:pos="4153"/>
        <w:tab w:val="clear" w:pos="8306"/>
      </w:tabs>
      <w:jc w:val="center"/>
      <w:rPr>
        <w:rStyle w:val="Puslapionumeris"/>
      </w:rPr>
    </w:pPr>
    <w:r>
      <w:rPr>
        <w:rStyle w:val="Puslapionumeris"/>
      </w:rPr>
      <w:fldChar w:fldCharType="begin"/>
    </w:r>
    <w:r w:rsidR="00F45551">
      <w:rPr>
        <w:rStyle w:val="Puslapionumeris"/>
      </w:rPr>
      <w:instrText xml:space="preserve"> PAGE </w:instrText>
    </w:r>
    <w:r>
      <w:rPr>
        <w:rStyle w:val="Puslapionumeris"/>
      </w:rPr>
      <w:fldChar w:fldCharType="separate"/>
    </w:r>
    <w:r w:rsidR="00FD5BE7">
      <w:rPr>
        <w:rStyle w:val="Puslapionumeris"/>
        <w:noProof/>
      </w:rPr>
      <w:t>2</w:t>
    </w:r>
    <w:r>
      <w:rPr>
        <w:rStyle w:val="Puslapionumeris"/>
      </w:rPr>
      <w:fldChar w:fldCharType="end"/>
    </w:r>
  </w:p>
  <w:p w14:paraId="3FBA882C" w14:textId="77777777" w:rsidR="008A724F" w:rsidRDefault="008A724F">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5B0E" w14:textId="7783F5EA" w:rsidR="008A724F" w:rsidRDefault="00D92CC1">
    <w:pPr>
      <w:pStyle w:val="Antrats"/>
      <w:tabs>
        <w:tab w:val="clear" w:pos="4153"/>
      </w:tabs>
      <w:jc w:val="center"/>
      <w:rPr>
        <w:sz w:val="20"/>
      </w:rPr>
    </w:pPr>
    <w:r w:rsidRPr="00FE7FA2">
      <w:rPr>
        <w:noProof/>
        <w:sz w:val="20"/>
      </w:rPr>
      <w:drawing>
        <wp:inline distT="0" distB="0" distL="0" distR="0" wp14:anchorId="72A4A3E6" wp14:editId="684699B7">
          <wp:extent cx="733425" cy="762000"/>
          <wp:effectExtent l="0" t="0" r="0" b="0"/>
          <wp:docPr id="401727681" name="Paveikslėlis 40172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13DDD10" w14:textId="77777777" w:rsidR="008A724F" w:rsidRPr="00555E4F" w:rsidRDefault="00F45551">
    <w:pPr>
      <w:pStyle w:val="Antrats"/>
      <w:pBdr>
        <w:bottom w:val="single" w:sz="4" w:space="1" w:color="auto"/>
      </w:pBdr>
      <w:tabs>
        <w:tab w:val="clear" w:pos="4153"/>
        <w:tab w:val="clear" w:pos="8306"/>
      </w:tabs>
      <w:jc w:val="center"/>
      <w:rPr>
        <w:rFonts w:ascii="Arial" w:hAnsi="Arial" w:cs="Arial"/>
        <w:b/>
        <w:caps/>
        <w:sz w:val="28"/>
        <w:szCs w:val="28"/>
      </w:rPr>
    </w:pPr>
    <w:r w:rsidRPr="00555E4F">
      <w:rPr>
        <w:rFonts w:ascii="Arial" w:hAnsi="Arial" w:cs="Arial"/>
        <w:b/>
        <w:caps/>
        <w:sz w:val="28"/>
        <w:szCs w:val="28"/>
      </w:rPr>
      <w:t>Teisėjų etikos ir drausmės komisija</w:t>
    </w:r>
  </w:p>
  <w:p w14:paraId="682F5124" w14:textId="7E4C0268" w:rsidR="00555E4F" w:rsidRPr="00111380" w:rsidRDefault="00555E4F" w:rsidP="00555E4F">
    <w:pPr>
      <w:pStyle w:val="Antrats"/>
      <w:pBdr>
        <w:bottom w:val="single" w:sz="4" w:space="1" w:color="auto"/>
      </w:pBdr>
      <w:tabs>
        <w:tab w:val="clear" w:pos="4153"/>
        <w:tab w:val="clear" w:pos="8306"/>
      </w:tabs>
      <w:jc w:val="center"/>
      <w:rPr>
        <w:rFonts w:ascii="Arial" w:hAnsi="Arial" w:cs="Arial"/>
        <w:sz w:val="18"/>
        <w:szCs w:val="18"/>
        <w:lang w:val="en-US"/>
      </w:rPr>
    </w:pPr>
    <w:r w:rsidRPr="001C149A">
      <w:rPr>
        <w:rFonts w:ascii="Arial" w:hAnsi="Arial" w:cs="Arial"/>
        <w:sz w:val="18"/>
        <w:szCs w:val="18"/>
      </w:rPr>
      <w:t xml:space="preserve">L. Sapiegos g. 15, LT-10312 Vilnius,   tel. </w:t>
    </w:r>
    <w:r>
      <w:rPr>
        <w:rFonts w:ascii="Arial" w:hAnsi="Arial" w:cs="Arial"/>
        <w:sz w:val="18"/>
        <w:szCs w:val="18"/>
      </w:rPr>
      <w:t>+370</w:t>
    </w:r>
    <w:r w:rsidRPr="001C149A">
      <w:rPr>
        <w:rFonts w:ascii="Arial" w:hAnsi="Arial" w:cs="Arial"/>
        <w:sz w:val="18"/>
        <w:szCs w:val="18"/>
      </w:rPr>
      <w:t xml:space="preserve"> 5 268 5186.   </w:t>
    </w:r>
    <w:r>
      <w:rPr>
        <w:rFonts w:ascii="Arial" w:hAnsi="Arial" w:cs="Arial"/>
        <w:sz w:val="18"/>
        <w:szCs w:val="18"/>
      </w:rPr>
      <w:t>El.</w:t>
    </w:r>
    <w:r w:rsidR="004F1420">
      <w:rPr>
        <w:rFonts w:ascii="Arial" w:hAnsi="Arial" w:cs="Arial"/>
        <w:sz w:val="18"/>
        <w:szCs w:val="18"/>
      </w:rPr>
      <w:t xml:space="preserve"> </w:t>
    </w:r>
    <w:r>
      <w:rPr>
        <w:rFonts w:ascii="Arial" w:hAnsi="Arial" w:cs="Arial"/>
        <w:sz w:val="18"/>
        <w:szCs w:val="18"/>
      </w:rPr>
      <w:t>p. info</w:t>
    </w:r>
    <w:r>
      <w:rPr>
        <w:rFonts w:ascii="Arial" w:hAnsi="Arial" w:cs="Arial"/>
        <w:sz w:val="18"/>
        <w:szCs w:val="18"/>
        <w:lang w:val="en-US"/>
      </w:rPr>
      <w:t>@teismai.lt</w:t>
    </w:r>
  </w:p>
  <w:p w14:paraId="686F86BF" w14:textId="77777777" w:rsidR="008A724F" w:rsidRDefault="008A724F">
    <w:pPr>
      <w:pStyle w:val="Antrats"/>
      <w:pBdr>
        <w:bottom w:val="single" w:sz="4" w:space="1" w:color="auto"/>
      </w:pBdr>
      <w:tabs>
        <w:tab w:val="clear" w:pos="4153"/>
        <w:tab w:val="clear" w:pos="8306"/>
      </w:tabs>
      <w:jc w:val="center"/>
      <w:rPr>
        <w:b/>
        <w:sz w:val="8"/>
      </w:rPr>
    </w:pPr>
  </w:p>
  <w:p w14:paraId="19914978" w14:textId="77777777" w:rsidR="008A724F" w:rsidRDefault="008A724F">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43572"/>
    <w:multiLevelType w:val="multilevel"/>
    <w:tmpl w:val="1424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91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05"/>
    <w:rsid w:val="00004DDB"/>
    <w:rsid w:val="00007156"/>
    <w:rsid w:val="00012417"/>
    <w:rsid w:val="00017B23"/>
    <w:rsid w:val="00030F48"/>
    <w:rsid w:val="00031B99"/>
    <w:rsid w:val="00047E2A"/>
    <w:rsid w:val="00047E91"/>
    <w:rsid w:val="000522E3"/>
    <w:rsid w:val="00060333"/>
    <w:rsid w:val="00065534"/>
    <w:rsid w:val="00070239"/>
    <w:rsid w:val="00076583"/>
    <w:rsid w:val="000961E3"/>
    <w:rsid w:val="00096C1F"/>
    <w:rsid w:val="000A08AE"/>
    <w:rsid w:val="000A42C1"/>
    <w:rsid w:val="000B2D61"/>
    <w:rsid w:val="000B3F43"/>
    <w:rsid w:val="000C0019"/>
    <w:rsid w:val="000C1C1B"/>
    <w:rsid w:val="000C53DF"/>
    <w:rsid w:val="000D5770"/>
    <w:rsid w:val="000D7455"/>
    <w:rsid w:val="000E0E7F"/>
    <w:rsid w:val="000E6E2D"/>
    <w:rsid w:val="000F3472"/>
    <w:rsid w:val="000F6CCB"/>
    <w:rsid w:val="00107BF7"/>
    <w:rsid w:val="00111E32"/>
    <w:rsid w:val="0012380D"/>
    <w:rsid w:val="00125AA9"/>
    <w:rsid w:val="001346EF"/>
    <w:rsid w:val="001361AA"/>
    <w:rsid w:val="00140813"/>
    <w:rsid w:val="00143B4B"/>
    <w:rsid w:val="00144F59"/>
    <w:rsid w:val="0015191F"/>
    <w:rsid w:val="00153204"/>
    <w:rsid w:val="0015343A"/>
    <w:rsid w:val="00155A07"/>
    <w:rsid w:val="0015638B"/>
    <w:rsid w:val="00184761"/>
    <w:rsid w:val="0018776B"/>
    <w:rsid w:val="0019125F"/>
    <w:rsid w:val="00192AF1"/>
    <w:rsid w:val="001A2DE6"/>
    <w:rsid w:val="001A37BE"/>
    <w:rsid w:val="001B4B8D"/>
    <w:rsid w:val="001C3621"/>
    <w:rsid w:val="001D2DE9"/>
    <w:rsid w:val="001E1D58"/>
    <w:rsid w:val="001E3A21"/>
    <w:rsid w:val="001F0438"/>
    <w:rsid w:val="001F37CE"/>
    <w:rsid w:val="001F5C6D"/>
    <w:rsid w:val="002056F4"/>
    <w:rsid w:val="00223B65"/>
    <w:rsid w:val="00230C1B"/>
    <w:rsid w:val="00235207"/>
    <w:rsid w:val="00240D85"/>
    <w:rsid w:val="00246F28"/>
    <w:rsid w:val="00250CA4"/>
    <w:rsid w:val="00254B8A"/>
    <w:rsid w:val="002575EC"/>
    <w:rsid w:val="002654E4"/>
    <w:rsid w:val="002711C6"/>
    <w:rsid w:val="00273418"/>
    <w:rsid w:val="0027747A"/>
    <w:rsid w:val="002842D5"/>
    <w:rsid w:val="00296638"/>
    <w:rsid w:val="00296D86"/>
    <w:rsid w:val="002975E9"/>
    <w:rsid w:val="002A7E9A"/>
    <w:rsid w:val="002D0BC5"/>
    <w:rsid w:val="002D3D48"/>
    <w:rsid w:val="002D7F6E"/>
    <w:rsid w:val="002E2BA9"/>
    <w:rsid w:val="002F5F15"/>
    <w:rsid w:val="00305EFA"/>
    <w:rsid w:val="00306FD9"/>
    <w:rsid w:val="00311128"/>
    <w:rsid w:val="00312EBE"/>
    <w:rsid w:val="00321528"/>
    <w:rsid w:val="00326193"/>
    <w:rsid w:val="00334B39"/>
    <w:rsid w:val="00336B7F"/>
    <w:rsid w:val="00342493"/>
    <w:rsid w:val="0034461B"/>
    <w:rsid w:val="00346335"/>
    <w:rsid w:val="00357C3F"/>
    <w:rsid w:val="00370A49"/>
    <w:rsid w:val="00380AB9"/>
    <w:rsid w:val="0038176D"/>
    <w:rsid w:val="00386235"/>
    <w:rsid w:val="003A41DE"/>
    <w:rsid w:val="003C71D1"/>
    <w:rsid w:val="003D22EA"/>
    <w:rsid w:val="003E1059"/>
    <w:rsid w:val="003E62FA"/>
    <w:rsid w:val="003E7789"/>
    <w:rsid w:val="003F61C1"/>
    <w:rsid w:val="003F75AE"/>
    <w:rsid w:val="003F7FC1"/>
    <w:rsid w:val="00402C31"/>
    <w:rsid w:val="00406BC3"/>
    <w:rsid w:val="004178F4"/>
    <w:rsid w:val="00422672"/>
    <w:rsid w:val="0042653C"/>
    <w:rsid w:val="0043591D"/>
    <w:rsid w:val="00446E1B"/>
    <w:rsid w:val="00447DFD"/>
    <w:rsid w:val="00462360"/>
    <w:rsid w:val="00481E1D"/>
    <w:rsid w:val="00487A8B"/>
    <w:rsid w:val="00497312"/>
    <w:rsid w:val="004A1A99"/>
    <w:rsid w:val="004A6C3A"/>
    <w:rsid w:val="004B506C"/>
    <w:rsid w:val="004D5132"/>
    <w:rsid w:val="004E069C"/>
    <w:rsid w:val="004E35D6"/>
    <w:rsid w:val="004E5102"/>
    <w:rsid w:val="004F1420"/>
    <w:rsid w:val="004F174E"/>
    <w:rsid w:val="00500EEB"/>
    <w:rsid w:val="00502FD5"/>
    <w:rsid w:val="00503BD7"/>
    <w:rsid w:val="00503F57"/>
    <w:rsid w:val="005051E5"/>
    <w:rsid w:val="00507D17"/>
    <w:rsid w:val="00510293"/>
    <w:rsid w:val="0051294F"/>
    <w:rsid w:val="005138C2"/>
    <w:rsid w:val="0051712F"/>
    <w:rsid w:val="00517E93"/>
    <w:rsid w:val="00532344"/>
    <w:rsid w:val="005361B3"/>
    <w:rsid w:val="00545DCB"/>
    <w:rsid w:val="0055222E"/>
    <w:rsid w:val="00555E4F"/>
    <w:rsid w:val="005636DE"/>
    <w:rsid w:val="0057080D"/>
    <w:rsid w:val="0057792D"/>
    <w:rsid w:val="00590DEC"/>
    <w:rsid w:val="00591AE7"/>
    <w:rsid w:val="005926F3"/>
    <w:rsid w:val="00593E46"/>
    <w:rsid w:val="00595F88"/>
    <w:rsid w:val="005C32EB"/>
    <w:rsid w:val="005E18E8"/>
    <w:rsid w:val="005E7E33"/>
    <w:rsid w:val="0060078F"/>
    <w:rsid w:val="00621014"/>
    <w:rsid w:val="006217C3"/>
    <w:rsid w:val="00622A66"/>
    <w:rsid w:val="006250EE"/>
    <w:rsid w:val="00635C1D"/>
    <w:rsid w:val="006421CE"/>
    <w:rsid w:val="006432E0"/>
    <w:rsid w:val="00644EFA"/>
    <w:rsid w:val="0065083E"/>
    <w:rsid w:val="0066004D"/>
    <w:rsid w:val="00666936"/>
    <w:rsid w:val="0067311E"/>
    <w:rsid w:val="00677DF8"/>
    <w:rsid w:val="006931AA"/>
    <w:rsid w:val="006B40D7"/>
    <w:rsid w:val="006C1F18"/>
    <w:rsid w:val="006E37A9"/>
    <w:rsid w:val="006F3E7F"/>
    <w:rsid w:val="007038E2"/>
    <w:rsid w:val="007146AE"/>
    <w:rsid w:val="007234A9"/>
    <w:rsid w:val="007322D7"/>
    <w:rsid w:val="0073241E"/>
    <w:rsid w:val="00736916"/>
    <w:rsid w:val="00743503"/>
    <w:rsid w:val="00766C8E"/>
    <w:rsid w:val="0078065E"/>
    <w:rsid w:val="00780713"/>
    <w:rsid w:val="007916AE"/>
    <w:rsid w:val="007955D0"/>
    <w:rsid w:val="007A1644"/>
    <w:rsid w:val="007B25C1"/>
    <w:rsid w:val="007B45B9"/>
    <w:rsid w:val="007B7439"/>
    <w:rsid w:val="007C05DD"/>
    <w:rsid w:val="007C065F"/>
    <w:rsid w:val="007D1862"/>
    <w:rsid w:val="007D6599"/>
    <w:rsid w:val="007E14F3"/>
    <w:rsid w:val="00801E31"/>
    <w:rsid w:val="0080307F"/>
    <w:rsid w:val="00811136"/>
    <w:rsid w:val="008118CF"/>
    <w:rsid w:val="00836C89"/>
    <w:rsid w:val="0086528B"/>
    <w:rsid w:val="00866E02"/>
    <w:rsid w:val="00871CD1"/>
    <w:rsid w:val="008770D3"/>
    <w:rsid w:val="00877BEE"/>
    <w:rsid w:val="0088319D"/>
    <w:rsid w:val="0088452B"/>
    <w:rsid w:val="008872B9"/>
    <w:rsid w:val="0089096E"/>
    <w:rsid w:val="00891A0A"/>
    <w:rsid w:val="008A3D46"/>
    <w:rsid w:val="008A724F"/>
    <w:rsid w:val="008A7604"/>
    <w:rsid w:val="008B222D"/>
    <w:rsid w:val="008B77E3"/>
    <w:rsid w:val="008C5602"/>
    <w:rsid w:val="008C64D7"/>
    <w:rsid w:val="008C6F79"/>
    <w:rsid w:val="008C6FDE"/>
    <w:rsid w:val="008D0381"/>
    <w:rsid w:val="008D7CF9"/>
    <w:rsid w:val="008E2A65"/>
    <w:rsid w:val="008E63EE"/>
    <w:rsid w:val="008F498E"/>
    <w:rsid w:val="0091223F"/>
    <w:rsid w:val="009241E6"/>
    <w:rsid w:val="00924A6D"/>
    <w:rsid w:val="00932E18"/>
    <w:rsid w:val="00943477"/>
    <w:rsid w:val="009544B9"/>
    <w:rsid w:val="00967301"/>
    <w:rsid w:val="00971395"/>
    <w:rsid w:val="00972E03"/>
    <w:rsid w:val="00974193"/>
    <w:rsid w:val="0097492A"/>
    <w:rsid w:val="00986348"/>
    <w:rsid w:val="00987551"/>
    <w:rsid w:val="00991A77"/>
    <w:rsid w:val="00993884"/>
    <w:rsid w:val="009A272F"/>
    <w:rsid w:val="009A5FA6"/>
    <w:rsid w:val="009C66E9"/>
    <w:rsid w:val="009D0DFB"/>
    <w:rsid w:val="009D450F"/>
    <w:rsid w:val="009D6159"/>
    <w:rsid w:val="009E0C5D"/>
    <w:rsid w:val="009E4645"/>
    <w:rsid w:val="009E4A47"/>
    <w:rsid w:val="009E6006"/>
    <w:rsid w:val="009F7174"/>
    <w:rsid w:val="00A1342A"/>
    <w:rsid w:val="00A1634E"/>
    <w:rsid w:val="00A405C3"/>
    <w:rsid w:val="00A53193"/>
    <w:rsid w:val="00A65AC5"/>
    <w:rsid w:val="00A701C9"/>
    <w:rsid w:val="00A77944"/>
    <w:rsid w:val="00A833DB"/>
    <w:rsid w:val="00A83A99"/>
    <w:rsid w:val="00A851D3"/>
    <w:rsid w:val="00A85420"/>
    <w:rsid w:val="00A869A9"/>
    <w:rsid w:val="00A87E08"/>
    <w:rsid w:val="00A94B6E"/>
    <w:rsid w:val="00AA272A"/>
    <w:rsid w:val="00AA5FCC"/>
    <w:rsid w:val="00AA629D"/>
    <w:rsid w:val="00AB2EB4"/>
    <w:rsid w:val="00AC065D"/>
    <w:rsid w:val="00AD38CC"/>
    <w:rsid w:val="00AE1D6B"/>
    <w:rsid w:val="00AE468A"/>
    <w:rsid w:val="00AE7CF2"/>
    <w:rsid w:val="00B02171"/>
    <w:rsid w:val="00B13641"/>
    <w:rsid w:val="00B15CF1"/>
    <w:rsid w:val="00B360F9"/>
    <w:rsid w:val="00B36445"/>
    <w:rsid w:val="00B52DF2"/>
    <w:rsid w:val="00B5309F"/>
    <w:rsid w:val="00B538BF"/>
    <w:rsid w:val="00B70AB7"/>
    <w:rsid w:val="00B70B01"/>
    <w:rsid w:val="00B72EA9"/>
    <w:rsid w:val="00B75547"/>
    <w:rsid w:val="00B7744E"/>
    <w:rsid w:val="00B86566"/>
    <w:rsid w:val="00BA323B"/>
    <w:rsid w:val="00BB1515"/>
    <w:rsid w:val="00BC2A7F"/>
    <w:rsid w:val="00BD21CD"/>
    <w:rsid w:val="00BE02B9"/>
    <w:rsid w:val="00BF117F"/>
    <w:rsid w:val="00BF3662"/>
    <w:rsid w:val="00BF7411"/>
    <w:rsid w:val="00C101A5"/>
    <w:rsid w:val="00C14F76"/>
    <w:rsid w:val="00C21E7C"/>
    <w:rsid w:val="00C248DE"/>
    <w:rsid w:val="00C34A12"/>
    <w:rsid w:val="00C363EF"/>
    <w:rsid w:val="00C40ED0"/>
    <w:rsid w:val="00C46433"/>
    <w:rsid w:val="00C46987"/>
    <w:rsid w:val="00C47A05"/>
    <w:rsid w:val="00C51A54"/>
    <w:rsid w:val="00C61F86"/>
    <w:rsid w:val="00C642AE"/>
    <w:rsid w:val="00C65646"/>
    <w:rsid w:val="00C6668F"/>
    <w:rsid w:val="00C67C6F"/>
    <w:rsid w:val="00C70CCB"/>
    <w:rsid w:val="00C76046"/>
    <w:rsid w:val="00C850EB"/>
    <w:rsid w:val="00CC0EE4"/>
    <w:rsid w:val="00CD6618"/>
    <w:rsid w:val="00CE022B"/>
    <w:rsid w:val="00D02132"/>
    <w:rsid w:val="00D125F2"/>
    <w:rsid w:val="00D1322B"/>
    <w:rsid w:val="00D42581"/>
    <w:rsid w:val="00D42CF3"/>
    <w:rsid w:val="00D457A7"/>
    <w:rsid w:val="00D509A9"/>
    <w:rsid w:val="00D574D7"/>
    <w:rsid w:val="00D77FA2"/>
    <w:rsid w:val="00D83337"/>
    <w:rsid w:val="00D84626"/>
    <w:rsid w:val="00D87151"/>
    <w:rsid w:val="00D92CC1"/>
    <w:rsid w:val="00D9733F"/>
    <w:rsid w:val="00DA3076"/>
    <w:rsid w:val="00DA6283"/>
    <w:rsid w:val="00DB785D"/>
    <w:rsid w:val="00DC6CC7"/>
    <w:rsid w:val="00DE3591"/>
    <w:rsid w:val="00E10BA5"/>
    <w:rsid w:val="00E16248"/>
    <w:rsid w:val="00E16F73"/>
    <w:rsid w:val="00E171C1"/>
    <w:rsid w:val="00E3063D"/>
    <w:rsid w:val="00E357FA"/>
    <w:rsid w:val="00E45845"/>
    <w:rsid w:val="00E63D06"/>
    <w:rsid w:val="00E65DF4"/>
    <w:rsid w:val="00E84B0C"/>
    <w:rsid w:val="00E867F0"/>
    <w:rsid w:val="00E90F7B"/>
    <w:rsid w:val="00EA58AE"/>
    <w:rsid w:val="00EC012C"/>
    <w:rsid w:val="00EC3F18"/>
    <w:rsid w:val="00ED145A"/>
    <w:rsid w:val="00ED7508"/>
    <w:rsid w:val="00EE1348"/>
    <w:rsid w:val="00EE528B"/>
    <w:rsid w:val="00EE5ADA"/>
    <w:rsid w:val="00F1072D"/>
    <w:rsid w:val="00F15967"/>
    <w:rsid w:val="00F41443"/>
    <w:rsid w:val="00F45551"/>
    <w:rsid w:val="00F47FA0"/>
    <w:rsid w:val="00F55C91"/>
    <w:rsid w:val="00F822D2"/>
    <w:rsid w:val="00F859F0"/>
    <w:rsid w:val="00F97896"/>
    <w:rsid w:val="00FA24D9"/>
    <w:rsid w:val="00FD2B05"/>
    <w:rsid w:val="00FD5BE7"/>
    <w:rsid w:val="00FE013E"/>
    <w:rsid w:val="00FE37B7"/>
    <w:rsid w:val="00FE7025"/>
    <w:rsid w:val="00FE7FA2"/>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1F66"/>
  <w15:chartTrackingRefBased/>
  <w15:docId w15:val="{D07C315F-7F5E-4AB9-95FC-A22A4894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76B"/>
    <w:rPr>
      <w:rFonts w:ascii="Times New Roman" w:eastAsia="Times New Roman" w:hAnsi="Times New Roman"/>
      <w:sz w:val="24"/>
      <w:szCs w:val="24"/>
      <w:lang w:val="lt-LT"/>
    </w:rPr>
  </w:style>
  <w:style w:type="paragraph" w:styleId="Antrat9">
    <w:name w:val="heading 9"/>
    <w:basedOn w:val="prastasis"/>
    <w:next w:val="prastasis"/>
    <w:link w:val="Antrat9Diagrama"/>
    <w:uiPriority w:val="9"/>
    <w:semiHidden/>
    <w:unhideWhenUsed/>
    <w:qFormat/>
    <w:rsid w:val="00A851D3"/>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8776B"/>
    <w:pPr>
      <w:tabs>
        <w:tab w:val="center" w:pos="4153"/>
        <w:tab w:val="right" w:pos="8306"/>
      </w:tabs>
    </w:pPr>
  </w:style>
  <w:style w:type="character" w:customStyle="1" w:styleId="AntratsDiagrama">
    <w:name w:val="Antraštės Diagrama"/>
    <w:link w:val="Antrats"/>
    <w:rsid w:val="0018776B"/>
    <w:rPr>
      <w:rFonts w:ascii="Times New Roman" w:eastAsia="Times New Roman" w:hAnsi="Times New Roman" w:cs="Times New Roman"/>
      <w:sz w:val="24"/>
      <w:szCs w:val="24"/>
    </w:rPr>
  </w:style>
  <w:style w:type="paragraph" w:styleId="Porat">
    <w:name w:val="footer"/>
    <w:basedOn w:val="prastasis"/>
    <w:link w:val="PoratDiagrama"/>
    <w:rsid w:val="0018776B"/>
    <w:pPr>
      <w:tabs>
        <w:tab w:val="right" w:pos="8306"/>
      </w:tabs>
      <w:jc w:val="right"/>
    </w:pPr>
    <w:rPr>
      <w:sz w:val="16"/>
    </w:rPr>
  </w:style>
  <w:style w:type="character" w:customStyle="1" w:styleId="PoratDiagrama">
    <w:name w:val="Poraštė Diagrama"/>
    <w:link w:val="Porat"/>
    <w:rsid w:val="0018776B"/>
    <w:rPr>
      <w:rFonts w:ascii="Times New Roman" w:eastAsia="Times New Roman" w:hAnsi="Times New Roman" w:cs="Times New Roman"/>
      <w:sz w:val="16"/>
      <w:szCs w:val="24"/>
    </w:rPr>
  </w:style>
  <w:style w:type="character" w:styleId="Puslapionumeris">
    <w:name w:val="page number"/>
    <w:basedOn w:val="Numatytasispastraiposriftas"/>
    <w:rsid w:val="0018776B"/>
  </w:style>
  <w:style w:type="paragraph" w:styleId="Pavadinimas">
    <w:name w:val="Title"/>
    <w:basedOn w:val="prastasis"/>
    <w:link w:val="PavadinimasDiagrama"/>
    <w:uiPriority w:val="99"/>
    <w:qFormat/>
    <w:rsid w:val="0018776B"/>
    <w:pPr>
      <w:spacing w:before="40" w:after="40"/>
      <w:ind w:right="1959"/>
    </w:pPr>
    <w:rPr>
      <w:caps/>
    </w:rPr>
  </w:style>
  <w:style w:type="character" w:customStyle="1" w:styleId="PavadinimasDiagrama">
    <w:name w:val="Pavadinimas Diagrama"/>
    <w:link w:val="Pavadinimas"/>
    <w:uiPriority w:val="99"/>
    <w:rsid w:val="0018776B"/>
    <w:rPr>
      <w:rFonts w:ascii="Times New Roman" w:eastAsia="Times New Roman" w:hAnsi="Times New Roman" w:cs="Times New Roman"/>
      <w:caps/>
      <w:sz w:val="24"/>
      <w:szCs w:val="24"/>
    </w:rPr>
  </w:style>
  <w:style w:type="paragraph" w:customStyle="1" w:styleId="Adresas">
    <w:name w:val="Adresas"/>
    <w:basedOn w:val="prastasis"/>
    <w:rsid w:val="0018776B"/>
    <w:pPr>
      <w:spacing w:before="40" w:after="40"/>
      <w:ind w:right="316"/>
    </w:pPr>
  </w:style>
  <w:style w:type="paragraph" w:customStyle="1" w:styleId="Tekstas">
    <w:name w:val="Tekstas"/>
    <w:basedOn w:val="prastasis"/>
    <w:link w:val="TekstasDiagrama"/>
    <w:rsid w:val="0018776B"/>
    <w:pPr>
      <w:spacing w:before="40" w:after="40"/>
      <w:ind w:right="40" w:firstLine="1247"/>
      <w:jc w:val="both"/>
    </w:pPr>
    <w:rPr>
      <w:lang w:val="x-none" w:eastAsia="x-none"/>
    </w:rPr>
  </w:style>
  <w:style w:type="character" w:customStyle="1" w:styleId="TekstasDiagrama">
    <w:name w:val="Tekstas Diagrama"/>
    <w:link w:val="Tekstas"/>
    <w:rsid w:val="0018776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A1A99"/>
    <w:rPr>
      <w:rFonts w:ascii="Segoe UI" w:hAnsi="Segoe UI" w:cs="Segoe UI"/>
      <w:sz w:val="18"/>
      <w:szCs w:val="18"/>
    </w:rPr>
  </w:style>
  <w:style w:type="character" w:customStyle="1" w:styleId="DebesliotekstasDiagrama">
    <w:name w:val="Debesėlio tekstas Diagrama"/>
    <w:link w:val="Debesliotekstas"/>
    <w:uiPriority w:val="99"/>
    <w:semiHidden/>
    <w:rsid w:val="004A1A99"/>
    <w:rPr>
      <w:rFonts w:ascii="Segoe UI" w:eastAsia="Times New Roman" w:hAnsi="Segoe UI" w:cs="Segoe UI"/>
      <w:sz w:val="18"/>
      <w:szCs w:val="18"/>
      <w:lang w:val="lt-LT"/>
    </w:rPr>
  </w:style>
  <w:style w:type="paragraph" w:customStyle="1" w:styleId="Pagrindinistekstas1">
    <w:name w:val="Pagrindinis tekstas1"/>
    <w:rsid w:val="007D6599"/>
    <w:pPr>
      <w:autoSpaceDE w:val="0"/>
      <w:autoSpaceDN w:val="0"/>
      <w:adjustRightInd w:val="0"/>
      <w:ind w:firstLine="312"/>
      <w:jc w:val="both"/>
    </w:pPr>
    <w:rPr>
      <w:rFonts w:ascii="TimesLT" w:eastAsia="Times New Roman" w:hAnsi="TimesLT"/>
      <w:lang w:eastAsia="lt-LT"/>
    </w:rPr>
  </w:style>
  <w:style w:type="character" w:styleId="Emfaz">
    <w:name w:val="Emphasis"/>
    <w:qFormat/>
    <w:rsid w:val="001D2DE9"/>
    <w:rPr>
      <w:i/>
      <w:iCs/>
    </w:rPr>
  </w:style>
  <w:style w:type="character" w:styleId="Hipersaitas">
    <w:name w:val="Hyperlink"/>
    <w:rsid w:val="00AE1D6B"/>
    <w:rPr>
      <w:color w:val="0000FF"/>
      <w:u w:val="single"/>
    </w:rPr>
  </w:style>
  <w:style w:type="character" w:styleId="Neapdorotaspaminjimas">
    <w:name w:val="Unresolved Mention"/>
    <w:uiPriority w:val="99"/>
    <w:semiHidden/>
    <w:unhideWhenUsed/>
    <w:rsid w:val="00621014"/>
    <w:rPr>
      <w:color w:val="605E5C"/>
      <w:shd w:val="clear" w:color="auto" w:fill="E1DFDD"/>
    </w:rPr>
  </w:style>
  <w:style w:type="character" w:customStyle="1" w:styleId="apple-converted-space">
    <w:name w:val="apple-converted-space"/>
    <w:uiPriority w:val="99"/>
    <w:rsid w:val="00FE37B7"/>
  </w:style>
  <w:style w:type="character" w:customStyle="1" w:styleId="Bodytext2Bold">
    <w:name w:val="Body text (2) + Bold"/>
    <w:rsid w:val="00A83A9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normal-h">
    <w:name w:val="normal-h"/>
    <w:basedOn w:val="Numatytasispastraiposriftas"/>
    <w:rsid w:val="00A83A99"/>
  </w:style>
  <w:style w:type="table" w:styleId="Lentelstinklelis">
    <w:name w:val="Table Grid"/>
    <w:basedOn w:val="prastojilentel"/>
    <w:uiPriority w:val="59"/>
    <w:rsid w:val="0006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uiPriority w:val="9"/>
    <w:semiHidden/>
    <w:rsid w:val="00A851D3"/>
    <w:rPr>
      <w:rFonts w:asciiTheme="minorHAnsi" w:eastAsiaTheme="majorEastAsia" w:hAnsiTheme="minorHAnsi" w:cstheme="majorBidi"/>
      <w:color w:val="272727" w:themeColor="text1" w:themeTint="D8"/>
      <w:kern w:val="2"/>
      <w:sz w:val="24"/>
      <w:szCs w:val="24"/>
      <w14:ligatures w14:val="standardContextual"/>
    </w:rPr>
  </w:style>
  <w:style w:type="paragraph" w:customStyle="1" w:styleId="Pagrindinistekstas2">
    <w:name w:val="Pagrindinis tekstas2"/>
    <w:rsid w:val="00C363EF"/>
    <w:pPr>
      <w:autoSpaceDE w:val="0"/>
      <w:autoSpaceDN w:val="0"/>
      <w:adjustRightInd w:val="0"/>
      <w:ind w:firstLine="312"/>
      <w:jc w:val="both"/>
    </w:pPr>
    <w:rPr>
      <w:rFonts w:ascii="TimesLT" w:eastAsia="Times New Roman" w:hAnsi="TimesLT"/>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4546">
      <w:bodyDiv w:val="1"/>
      <w:marLeft w:val="0"/>
      <w:marRight w:val="0"/>
      <w:marTop w:val="0"/>
      <w:marBottom w:val="0"/>
      <w:divBdr>
        <w:top w:val="none" w:sz="0" w:space="0" w:color="auto"/>
        <w:left w:val="none" w:sz="0" w:space="0" w:color="auto"/>
        <w:bottom w:val="none" w:sz="0" w:space="0" w:color="auto"/>
        <w:right w:val="none" w:sz="0" w:space="0" w:color="auto"/>
      </w:divBdr>
    </w:div>
    <w:div w:id="648632014">
      <w:bodyDiv w:val="1"/>
      <w:marLeft w:val="0"/>
      <w:marRight w:val="0"/>
      <w:marTop w:val="0"/>
      <w:marBottom w:val="0"/>
      <w:divBdr>
        <w:top w:val="none" w:sz="0" w:space="0" w:color="auto"/>
        <w:left w:val="none" w:sz="0" w:space="0" w:color="auto"/>
        <w:bottom w:val="none" w:sz="0" w:space="0" w:color="auto"/>
        <w:right w:val="none" w:sz="0" w:space="0" w:color="auto"/>
      </w:divBdr>
    </w:div>
    <w:div w:id="695935337">
      <w:bodyDiv w:val="1"/>
      <w:marLeft w:val="0"/>
      <w:marRight w:val="0"/>
      <w:marTop w:val="0"/>
      <w:marBottom w:val="0"/>
      <w:divBdr>
        <w:top w:val="none" w:sz="0" w:space="0" w:color="auto"/>
        <w:left w:val="none" w:sz="0" w:space="0" w:color="auto"/>
        <w:bottom w:val="none" w:sz="0" w:space="0" w:color="auto"/>
        <w:right w:val="none" w:sz="0" w:space="0" w:color="auto"/>
      </w:divBdr>
    </w:div>
    <w:div w:id="19303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9665F-8F8C-4C51-B98E-0C03E903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1560</Words>
  <Characters>8893</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cp:lastModifiedBy>Olga Baltrėnė</cp:lastModifiedBy>
  <cp:revision>79</cp:revision>
  <cp:lastPrinted>2025-11-13T06:06:00Z</cp:lastPrinted>
  <dcterms:created xsi:type="dcterms:W3CDTF">2025-11-12T14:42:00Z</dcterms:created>
  <dcterms:modified xsi:type="dcterms:W3CDTF">2025-11-14T07:42:00Z</dcterms:modified>
</cp:coreProperties>
</file>