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5920"/>
        <w:gridCol w:w="283"/>
        <w:gridCol w:w="1452"/>
        <w:gridCol w:w="2126"/>
      </w:tblGrid>
      <w:tr w:rsidR="00D01AAB" w:rsidRPr="00D01AAB" w14:paraId="0610DBFE" w14:textId="77777777" w:rsidTr="00D01AAB">
        <w:trPr>
          <w:cantSplit/>
          <w:trHeight w:val="340"/>
        </w:trPr>
        <w:tc>
          <w:tcPr>
            <w:tcW w:w="5920" w:type="dxa"/>
            <w:vMerge w:val="restart"/>
          </w:tcPr>
          <w:p w14:paraId="3B2A1A71" w14:textId="12537229" w:rsidR="00D01AAB" w:rsidRPr="00D01AAB" w:rsidRDefault="00D01AAB" w:rsidP="002859C2">
            <w:pPr>
              <w:pStyle w:val="Adresas"/>
              <w:tabs>
                <w:tab w:val="left" w:pos="5160"/>
              </w:tabs>
              <w:spacing w:before="0" w:after="0"/>
              <w:ind w:right="0"/>
              <w:rPr>
                <w:rFonts w:ascii="Arial" w:hAnsi="Arial" w:cs="Arial"/>
                <w:i/>
                <w:iCs/>
              </w:rPr>
            </w:pPr>
          </w:p>
        </w:tc>
        <w:tc>
          <w:tcPr>
            <w:tcW w:w="283" w:type="dxa"/>
          </w:tcPr>
          <w:p w14:paraId="59453E8F" w14:textId="77777777" w:rsidR="00D01AAB" w:rsidRPr="00D01AAB" w:rsidRDefault="00D01AAB" w:rsidP="00027518">
            <w:pPr>
              <w:ind w:right="-108" w:firstLine="100"/>
              <w:jc w:val="right"/>
              <w:rPr>
                <w:rFonts w:ascii="Arial" w:hAnsi="Arial" w:cs="Arial"/>
              </w:rPr>
            </w:pPr>
          </w:p>
        </w:tc>
        <w:tc>
          <w:tcPr>
            <w:tcW w:w="1452" w:type="dxa"/>
          </w:tcPr>
          <w:p w14:paraId="507DE82A" w14:textId="48EBB11B" w:rsidR="00D01AAB" w:rsidRPr="00D01AAB" w:rsidRDefault="00D01AAB" w:rsidP="00D01AAB">
            <w:pPr>
              <w:tabs>
                <w:tab w:val="left" w:pos="1198"/>
              </w:tabs>
              <w:ind w:right="-141"/>
              <w:rPr>
                <w:rFonts w:ascii="Arial" w:hAnsi="Arial" w:cs="Arial"/>
              </w:rPr>
            </w:pPr>
          </w:p>
        </w:tc>
        <w:tc>
          <w:tcPr>
            <w:tcW w:w="2126" w:type="dxa"/>
          </w:tcPr>
          <w:p w14:paraId="09406289" w14:textId="264F3D34" w:rsidR="00D01AAB" w:rsidRPr="00D01AAB" w:rsidRDefault="00D01AAB" w:rsidP="00027518">
            <w:pPr>
              <w:rPr>
                <w:rFonts w:ascii="Arial" w:hAnsi="Arial" w:cs="Arial"/>
              </w:rPr>
            </w:pPr>
          </w:p>
        </w:tc>
      </w:tr>
      <w:tr w:rsidR="00D01AAB" w:rsidRPr="00D01AAB" w14:paraId="1369518C" w14:textId="77777777" w:rsidTr="00D01AAB">
        <w:trPr>
          <w:cantSplit/>
          <w:trHeight w:val="441"/>
        </w:trPr>
        <w:tc>
          <w:tcPr>
            <w:tcW w:w="5920" w:type="dxa"/>
            <w:vMerge/>
          </w:tcPr>
          <w:p w14:paraId="4FD457EB" w14:textId="77777777" w:rsidR="00D01AAB" w:rsidRPr="00D01AAB" w:rsidRDefault="00D01AAB" w:rsidP="00027518">
            <w:pPr>
              <w:rPr>
                <w:rFonts w:ascii="Arial" w:hAnsi="Arial" w:cs="Arial"/>
              </w:rPr>
            </w:pPr>
          </w:p>
        </w:tc>
        <w:tc>
          <w:tcPr>
            <w:tcW w:w="283" w:type="dxa"/>
          </w:tcPr>
          <w:p w14:paraId="203DB880" w14:textId="14F64203" w:rsidR="00D01AAB" w:rsidRPr="00D01AAB" w:rsidRDefault="00D01AAB" w:rsidP="00027518">
            <w:pPr>
              <w:ind w:right="-108"/>
              <w:rPr>
                <w:rFonts w:ascii="Arial" w:hAnsi="Arial" w:cs="Arial"/>
              </w:rPr>
            </w:pPr>
          </w:p>
        </w:tc>
        <w:tc>
          <w:tcPr>
            <w:tcW w:w="1452" w:type="dxa"/>
          </w:tcPr>
          <w:p w14:paraId="5DCA7757" w14:textId="77777777" w:rsidR="00D01AAB" w:rsidRPr="00D01AAB" w:rsidRDefault="00D01AAB" w:rsidP="00027518">
            <w:pPr>
              <w:rPr>
                <w:rFonts w:ascii="Arial" w:hAnsi="Arial" w:cs="Arial"/>
              </w:rPr>
            </w:pPr>
          </w:p>
        </w:tc>
        <w:tc>
          <w:tcPr>
            <w:tcW w:w="2126" w:type="dxa"/>
          </w:tcPr>
          <w:p w14:paraId="33C4792C" w14:textId="77777777" w:rsidR="00D01AAB" w:rsidRPr="00D01AAB" w:rsidRDefault="00D01AAB" w:rsidP="00D01AAB">
            <w:pPr>
              <w:jc w:val="center"/>
              <w:rPr>
                <w:rFonts w:ascii="Arial" w:hAnsi="Arial" w:cs="Arial"/>
              </w:rPr>
            </w:pPr>
          </w:p>
        </w:tc>
      </w:tr>
    </w:tbl>
    <w:p w14:paraId="3809AFA5" w14:textId="77777777" w:rsidR="007D00D7" w:rsidRDefault="007D00D7" w:rsidP="00D01AAB">
      <w:pPr>
        <w:ind w:firstLine="851"/>
        <w:jc w:val="both"/>
        <w:rPr>
          <w:rFonts w:ascii="Arial" w:hAnsi="Arial" w:cs="Arial"/>
        </w:rPr>
      </w:pPr>
    </w:p>
    <w:p w14:paraId="3479A9AA" w14:textId="74B72B2C" w:rsidR="00D01AAB" w:rsidRPr="00D01AAB" w:rsidRDefault="00D01AAB" w:rsidP="00D01AAB">
      <w:pPr>
        <w:jc w:val="both"/>
        <w:rPr>
          <w:rFonts w:ascii="Arial" w:hAnsi="Arial" w:cs="Arial"/>
          <w:b/>
          <w:bCs/>
        </w:rPr>
      </w:pPr>
      <w:r w:rsidRPr="00D01AAB">
        <w:rPr>
          <w:rFonts w:ascii="Arial" w:hAnsi="Arial" w:cs="Arial"/>
          <w:b/>
          <w:bCs/>
        </w:rPr>
        <w:t>DĖL KONSULTACIJOS</w:t>
      </w:r>
      <w:r w:rsidR="0065008C">
        <w:rPr>
          <w:rFonts w:ascii="Arial" w:hAnsi="Arial" w:cs="Arial"/>
          <w:b/>
          <w:bCs/>
        </w:rPr>
        <w:t xml:space="preserve"> (TEISĖJO INTERESŲ KONFLIKTO ĮTAK</w:t>
      </w:r>
      <w:r w:rsidR="00C43574">
        <w:rPr>
          <w:rFonts w:ascii="Arial" w:hAnsi="Arial" w:cs="Arial"/>
          <w:b/>
          <w:bCs/>
        </w:rPr>
        <w:t>A</w:t>
      </w:r>
      <w:r w:rsidR="0065008C">
        <w:rPr>
          <w:rFonts w:ascii="Arial" w:hAnsi="Arial" w:cs="Arial"/>
          <w:b/>
          <w:bCs/>
        </w:rPr>
        <w:t xml:space="preserve"> (NE)SKYRIMUI Į SPECIALIZACIJĄ)</w:t>
      </w:r>
    </w:p>
    <w:p w14:paraId="4308EA23" w14:textId="77777777" w:rsidR="00D01AAB" w:rsidRPr="00D01AAB" w:rsidRDefault="00D01AAB" w:rsidP="00D01AAB">
      <w:pPr>
        <w:ind w:firstLine="851"/>
        <w:jc w:val="both"/>
        <w:rPr>
          <w:rFonts w:ascii="Arial" w:hAnsi="Arial" w:cs="Arial"/>
        </w:rPr>
      </w:pPr>
    </w:p>
    <w:p w14:paraId="1331392B" w14:textId="4E0B13B7" w:rsidR="00D01AAB" w:rsidRPr="009B250E" w:rsidRDefault="00D01AAB" w:rsidP="002859C2">
      <w:pPr>
        <w:ind w:firstLine="851"/>
        <w:jc w:val="both"/>
        <w:rPr>
          <w:rFonts w:ascii="Arial" w:hAnsi="Arial" w:cs="Arial"/>
          <w:color w:val="000000"/>
        </w:rPr>
      </w:pPr>
      <w:r w:rsidRPr="00D01AAB">
        <w:rPr>
          <w:rFonts w:ascii="Arial" w:hAnsi="Arial" w:cs="Arial"/>
        </w:rPr>
        <w:t>Teisėjų etikos ir drausmės komisijoje (toliau –</w:t>
      </w:r>
      <w:r w:rsidR="00A36A28">
        <w:rPr>
          <w:rFonts w:ascii="Arial" w:hAnsi="Arial" w:cs="Arial"/>
        </w:rPr>
        <w:t xml:space="preserve"> </w:t>
      </w:r>
      <w:r w:rsidRPr="00D01AAB">
        <w:rPr>
          <w:rFonts w:ascii="Arial" w:hAnsi="Arial" w:cs="Arial"/>
        </w:rPr>
        <w:t xml:space="preserve">Komisija) gautas </w:t>
      </w:r>
      <w:r>
        <w:rPr>
          <w:rFonts w:ascii="Arial" w:hAnsi="Arial" w:cs="Arial"/>
        </w:rPr>
        <w:t xml:space="preserve">Tauragės apylinkės teismo pirmininko pavaduotojos </w:t>
      </w:r>
      <w:r w:rsidRPr="00D01AAB">
        <w:rPr>
          <w:rFonts w:ascii="Arial" w:hAnsi="Arial" w:cs="Arial"/>
        </w:rPr>
        <w:t>prašymas suteikti konsultacij</w:t>
      </w:r>
      <w:r w:rsidR="001A5EFE">
        <w:rPr>
          <w:rFonts w:ascii="Arial" w:hAnsi="Arial" w:cs="Arial"/>
        </w:rPr>
        <w:t>ą</w:t>
      </w:r>
      <w:r w:rsidR="009E419F">
        <w:rPr>
          <w:rFonts w:ascii="Arial" w:hAnsi="Arial" w:cs="Arial"/>
        </w:rPr>
        <w:t xml:space="preserve">. </w:t>
      </w:r>
      <w:r w:rsidRPr="00D01AAB">
        <w:rPr>
          <w:rFonts w:ascii="Arial" w:hAnsi="Arial" w:cs="Arial"/>
          <w:color w:val="000000"/>
        </w:rPr>
        <w:t>Teismo pirminink</w:t>
      </w:r>
      <w:r w:rsidR="001A5EFE">
        <w:rPr>
          <w:rFonts w:ascii="Arial" w:hAnsi="Arial" w:cs="Arial"/>
          <w:color w:val="000000"/>
        </w:rPr>
        <w:t xml:space="preserve">o pavaduotoja </w:t>
      </w:r>
      <w:r w:rsidRPr="00D01AAB">
        <w:rPr>
          <w:rFonts w:ascii="Arial" w:hAnsi="Arial" w:cs="Arial"/>
          <w:color w:val="000000"/>
        </w:rPr>
        <w:t>prašyme nurodo, kad</w:t>
      </w:r>
      <w:r w:rsidR="00E53FDB">
        <w:rPr>
          <w:rFonts w:ascii="Arial" w:hAnsi="Arial" w:cs="Arial"/>
          <w:color w:val="000000"/>
        </w:rPr>
        <w:t xml:space="preserve"> </w:t>
      </w:r>
      <w:r w:rsidR="00E53FDB" w:rsidRPr="00E53FDB">
        <w:rPr>
          <w:rFonts w:ascii="Arial" w:hAnsi="Arial" w:cs="Arial"/>
          <w:color w:val="000000"/>
        </w:rPr>
        <w:t>2024</w:t>
      </w:r>
      <w:r w:rsidR="00A36A28">
        <w:rPr>
          <w:rFonts w:ascii="Arial" w:hAnsi="Arial" w:cs="Arial"/>
          <w:color w:val="000000"/>
        </w:rPr>
        <w:t> </w:t>
      </w:r>
      <w:r w:rsidR="00E53FDB" w:rsidRPr="00E53FDB">
        <w:rPr>
          <w:rFonts w:ascii="Arial" w:hAnsi="Arial" w:cs="Arial"/>
          <w:color w:val="000000"/>
        </w:rPr>
        <w:t>m. gruodžio 5</w:t>
      </w:r>
      <w:r w:rsidR="00A36A28">
        <w:rPr>
          <w:rFonts w:ascii="Arial" w:hAnsi="Arial" w:cs="Arial"/>
          <w:color w:val="000000"/>
        </w:rPr>
        <w:t> </w:t>
      </w:r>
      <w:r w:rsidR="00E53FDB" w:rsidRPr="00E53FDB">
        <w:rPr>
          <w:rFonts w:ascii="Arial" w:hAnsi="Arial" w:cs="Arial"/>
          <w:color w:val="000000"/>
        </w:rPr>
        <w:t xml:space="preserve">d. Tauragės apylinkės teismo pirmininko įsakymu Nr. Į-253 </w:t>
      </w:r>
      <w:r w:rsidR="00E53FDB">
        <w:rPr>
          <w:rFonts w:ascii="Arial" w:hAnsi="Arial" w:cs="Arial"/>
          <w:color w:val="000000"/>
        </w:rPr>
        <w:t xml:space="preserve">buvo </w:t>
      </w:r>
      <w:r w:rsidR="00E53FDB" w:rsidRPr="00E53FDB">
        <w:rPr>
          <w:rFonts w:ascii="Arial" w:hAnsi="Arial" w:cs="Arial"/>
          <w:color w:val="000000"/>
        </w:rPr>
        <w:t>patvirtintas Tauragės apylinkės teismo teisėjų paskyrimo atitinkamai specializacijai aprašas</w:t>
      </w:r>
      <w:r w:rsidR="00A36A28">
        <w:rPr>
          <w:rFonts w:ascii="Arial" w:hAnsi="Arial" w:cs="Arial"/>
          <w:color w:val="000000"/>
        </w:rPr>
        <w:t>.</w:t>
      </w:r>
      <w:r w:rsidRPr="00D01AAB">
        <w:rPr>
          <w:rFonts w:ascii="Arial" w:hAnsi="Arial" w:cs="Arial"/>
          <w:color w:val="000000"/>
        </w:rPr>
        <w:t xml:space="preserve"> </w:t>
      </w:r>
      <w:r w:rsidR="00E53FDB" w:rsidRPr="00E53FDB">
        <w:rPr>
          <w:rFonts w:ascii="Arial" w:hAnsi="Arial" w:cs="Arial"/>
          <w:color w:val="000000"/>
        </w:rPr>
        <w:t>2024</w:t>
      </w:r>
      <w:r w:rsidR="00A36A28">
        <w:rPr>
          <w:rFonts w:ascii="Arial" w:hAnsi="Arial" w:cs="Arial"/>
          <w:color w:val="000000"/>
        </w:rPr>
        <w:t> </w:t>
      </w:r>
      <w:r w:rsidR="00E53FDB" w:rsidRPr="00E53FDB">
        <w:rPr>
          <w:rFonts w:ascii="Arial" w:hAnsi="Arial" w:cs="Arial"/>
          <w:color w:val="000000"/>
        </w:rPr>
        <w:t>m. gruodžio 12</w:t>
      </w:r>
      <w:r w:rsidR="00A36A28">
        <w:rPr>
          <w:rFonts w:ascii="Arial" w:hAnsi="Arial" w:cs="Arial"/>
          <w:color w:val="000000"/>
        </w:rPr>
        <w:t> </w:t>
      </w:r>
      <w:r w:rsidR="00E53FDB" w:rsidRPr="00E53FDB">
        <w:rPr>
          <w:rFonts w:ascii="Arial" w:hAnsi="Arial" w:cs="Arial"/>
          <w:color w:val="000000"/>
        </w:rPr>
        <w:t>d. Tauragės apylinkės teismo pirmininko įsakymu Nr.</w:t>
      </w:r>
      <w:r w:rsidR="00A36A28">
        <w:rPr>
          <w:rFonts w:ascii="Arial" w:hAnsi="Arial" w:cs="Arial"/>
          <w:color w:val="000000"/>
        </w:rPr>
        <w:t> </w:t>
      </w:r>
      <w:r w:rsidR="00E53FDB" w:rsidRPr="00E53FDB">
        <w:rPr>
          <w:rFonts w:ascii="Arial" w:hAnsi="Arial" w:cs="Arial"/>
          <w:color w:val="000000"/>
        </w:rPr>
        <w:t>Į-256 teisėja D</w:t>
      </w:r>
      <w:r w:rsidR="0031602E">
        <w:rPr>
          <w:rFonts w:ascii="Arial" w:hAnsi="Arial" w:cs="Arial"/>
          <w:color w:val="000000"/>
        </w:rPr>
        <w:t>.</w:t>
      </w:r>
      <w:r w:rsidR="00E53FDB" w:rsidRPr="00E53FDB">
        <w:rPr>
          <w:rFonts w:ascii="Arial" w:hAnsi="Arial" w:cs="Arial"/>
          <w:color w:val="000000"/>
        </w:rPr>
        <w:t xml:space="preserve"> Ž</w:t>
      </w:r>
      <w:r w:rsidR="0031602E">
        <w:rPr>
          <w:rFonts w:ascii="Arial" w:hAnsi="Arial" w:cs="Arial"/>
          <w:color w:val="000000"/>
        </w:rPr>
        <w:t>.</w:t>
      </w:r>
      <w:r w:rsidR="00E53FDB" w:rsidRPr="00E53FDB">
        <w:rPr>
          <w:rFonts w:ascii="Arial" w:hAnsi="Arial" w:cs="Arial"/>
          <w:color w:val="000000"/>
        </w:rPr>
        <w:t xml:space="preserve"> paskirta Tauragės rūmuose nagrinėti civilines bylas</w:t>
      </w:r>
      <w:r w:rsidR="00A36A28">
        <w:rPr>
          <w:rFonts w:ascii="Arial" w:hAnsi="Arial" w:cs="Arial"/>
          <w:color w:val="000000"/>
        </w:rPr>
        <w:t>.</w:t>
      </w:r>
      <w:r w:rsidR="00E53FDB">
        <w:rPr>
          <w:rFonts w:ascii="Arial" w:hAnsi="Arial" w:cs="Arial"/>
          <w:color w:val="000000"/>
        </w:rPr>
        <w:t xml:space="preserve"> </w:t>
      </w:r>
      <w:r w:rsidR="00E53FDB" w:rsidRPr="00E53FDB">
        <w:rPr>
          <w:rFonts w:ascii="Arial" w:hAnsi="Arial" w:cs="Arial"/>
          <w:color w:val="000000"/>
        </w:rPr>
        <w:t>2025</w:t>
      </w:r>
      <w:r w:rsidR="00A36A28">
        <w:rPr>
          <w:rFonts w:ascii="Arial" w:hAnsi="Arial" w:cs="Arial"/>
          <w:color w:val="000000"/>
        </w:rPr>
        <w:t> </w:t>
      </w:r>
      <w:r w:rsidR="00E53FDB" w:rsidRPr="00E53FDB">
        <w:rPr>
          <w:rFonts w:ascii="Arial" w:hAnsi="Arial" w:cs="Arial"/>
          <w:color w:val="000000"/>
        </w:rPr>
        <w:t>m. gruodžio 17</w:t>
      </w:r>
      <w:r w:rsidR="00A36A28">
        <w:rPr>
          <w:rFonts w:ascii="Arial" w:hAnsi="Arial" w:cs="Arial"/>
          <w:color w:val="000000"/>
        </w:rPr>
        <w:t> </w:t>
      </w:r>
      <w:r w:rsidR="00E53FDB" w:rsidRPr="00E53FDB">
        <w:rPr>
          <w:rFonts w:ascii="Arial" w:hAnsi="Arial" w:cs="Arial"/>
          <w:color w:val="000000"/>
        </w:rPr>
        <w:t>d. teisėj</w:t>
      </w:r>
      <w:r w:rsidR="00E53FDB">
        <w:rPr>
          <w:rFonts w:ascii="Arial" w:hAnsi="Arial" w:cs="Arial"/>
          <w:color w:val="000000"/>
        </w:rPr>
        <w:t>a</w:t>
      </w:r>
      <w:r w:rsidR="00E53FDB" w:rsidRPr="00E53FDB">
        <w:rPr>
          <w:rFonts w:ascii="Arial" w:hAnsi="Arial" w:cs="Arial"/>
          <w:color w:val="000000"/>
        </w:rPr>
        <w:t xml:space="preserve"> D</w:t>
      </w:r>
      <w:r w:rsidR="0031602E">
        <w:rPr>
          <w:rFonts w:ascii="Arial" w:hAnsi="Arial" w:cs="Arial"/>
          <w:color w:val="000000"/>
        </w:rPr>
        <w:t>.</w:t>
      </w:r>
      <w:r w:rsidR="00E53FDB" w:rsidRPr="00E53FDB">
        <w:rPr>
          <w:rFonts w:ascii="Arial" w:hAnsi="Arial" w:cs="Arial"/>
          <w:color w:val="000000"/>
        </w:rPr>
        <w:t xml:space="preserve"> Ž</w:t>
      </w:r>
      <w:r w:rsidR="0031602E">
        <w:rPr>
          <w:rFonts w:ascii="Arial" w:hAnsi="Arial" w:cs="Arial"/>
          <w:color w:val="000000"/>
        </w:rPr>
        <w:t>.</w:t>
      </w:r>
      <w:r w:rsidR="00E53FDB">
        <w:rPr>
          <w:rFonts w:ascii="Arial" w:hAnsi="Arial" w:cs="Arial"/>
          <w:color w:val="000000"/>
        </w:rPr>
        <w:t xml:space="preserve"> pateikė</w:t>
      </w:r>
      <w:r w:rsidR="00E53FDB" w:rsidRPr="00E53FDB">
        <w:rPr>
          <w:rFonts w:ascii="Arial" w:hAnsi="Arial" w:cs="Arial"/>
          <w:color w:val="000000"/>
        </w:rPr>
        <w:t xml:space="preserve"> prašym</w:t>
      </w:r>
      <w:r w:rsidR="00E53FDB">
        <w:rPr>
          <w:rFonts w:ascii="Arial" w:hAnsi="Arial" w:cs="Arial"/>
          <w:color w:val="000000"/>
        </w:rPr>
        <w:t>ą</w:t>
      </w:r>
      <w:r w:rsidR="00E53FDB" w:rsidRPr="00E53FDB">
        <w:rPr>
          <w:rFonts w:ascii="Arial" w:hAnsi="Arial" w:cs="Arial"/>
          <w:color w:val="000000"/>
        </w:rPr>
        <w:t xml:space="preserve"> „Dėl specializacijos keitimo“, kuriuo prašo </w:t>
      </w:r>
      <w:r w:rsidR="00E53FDB">
        <w:rPr>
          <w:rFonts w:ascii="Arial" w:hAnsi="Arial" w:cs="Arial"/>
          <w:color w:val="000000"/>
        </w:rPr>
        <w:t>pa</w:t>
      </w:r>
      <w:r w:rsidR="00E53FDB" w:rsidRPr="00E53FDB">
        <w:rPr>
          <w:rFonts w:ascii="Arial" w:hAnsi="Arial" w:cs="Arial"/>
          <w:color w:val="000000"/>
        </w:rPr>
        <w:t>keisti specializaciją ir nuo 2026</w:t>
      </w:r>
      <w:r w:rsidR="00A36A28">
        <w:rPr>
          <w:rFonts w:ascii="Arial" w:hAnsi="Arial" w:cs="Arial"/>
          <w:color w:val="000000"/>
        </w:rPr>
        <w:t> </w:t>
      </w:r>
      <w:r w:rsidR="00E53FDB" w:rsidRPr="00E53FDB">
        <w:rPr>
          <w:rFonts w:ascii="Arial" w:hAnsi="Arial" w:cs="Arial"/>
          <w:color w:val="000000"/>
        </w:rPr>
        <w:t>m. sausio 23</w:t>
      </w:r>
      <w:r w:rsidR="00A36A28">
        <w:rPr>
          <w:rFonts w:ascii="Arial" w:hAnsi="Arial" w:cs="Arial"/>
          <w:color w:val="000000"/>
        </w:rPr>
        <w:t> </w:t>
      </w:r>
      <w:r w:rsidR="00E53FDB" w:rsidRPr="00E53FDB">
        <w:rPr>
          <w:rFonts w:ascii="Arial" w:hAnsi="Arial" w:cs="Arial"/>
          <w:color w:val="000000"/>
        </w:rPr>
        <w:t>d. paskirti ją nagrinėti baudžiamąsias ir administracinių nusižengimų bylas.</w:t>
      </w:r>
      <w:r w:rsidR="009B250E">
        <w:rPr>
          <w:rFonts w:ascii="Arial" w:hAnsi="Arial" w:cs="Arial"/>
          <w:color w:val="000000"/>
        </w:rPr>
        <w:t xml:space="preserve"> </w:t>
      </w:r>
      <w:r w:rsidR="009B250E" w:rsidRPr="009B250E">
        <w:rPr>
          <w:rFonts w:ascii="Arial" w:hAnsi="Arial" w:cs="Arial"/>
          <w:color w:val="000000"/>
        </w:rPr>
        <w:t>Teismo pirmininko pavaduotoja nurodo,</w:t>
      </w:r>
      <w:r w:rsidR="009B250E">
        <w:rPr>
          <w:rFonts w:ascii="Arial" w:hAnsi="Arial" w:cs="Arial"/>
          <w:color w:val="000000"/>
        </w:rPr>
        <w:t xml:space="preserve"> </w:t>
      </w:r>
      <w:r w:rsidR="006F5728">
        <w:rPr>
          <w:rFonts w:ascii="Arial" w:hAnsi="Arial" w:cs="Arial"/>
          <w:color w:val="000000"/>
        </w:rPr>
        <w:t xml:space="preserve">kad </w:t>
      </w:r>
      <w:r w:rsidR="00E53FDB" w:rsidRPr="00E53FDB">
        <w:rPr>
          <w:rFonts w:ascii="Arial" w:hAnsi="Arial" w:cs="Arial"/>
          <w:color w:val="000000"/>
        </w:rPr>
        <w:t>teisėjos D</w:t>
      </w:r>
      <w:r w:rsidR="0031602E">
        <w:rPr>
          <w:rFonts w:ascii="Arial" w:hAnsi="Arial" w:cs="Arial"/>
          <w:color w:val="000000"/>
        </w:rPr>
        <w:t>.</w:t>
      </w:r>
      <w:r w:rsidR="00E53FDB" w:rsidRPr="00E53FDB">
        <w:rPr>
          <w:rFonts w:ascii="Arial" w:hAnsi="Arial" w:cs="Arial"/>
          <w:color w:val="000000"/>
        </w:rPr>
        <w:t xml:space="preserve"> Ž</w:t>
      </w:r>
      <w:r w:rsidR="0031602E">
        <w:rPr>
          <w:rFonts w:ascii="Arial" w:hAnsi="Arial" w:cs="Arial"/>
          <w:color w:val="000000"/>
        </w:rPr>
        <w:t>.</w:t>
      </w:r>
      <w:r w:rsidR="00E53FDB" w:rsidRPr="00E53FDB">
        <w:rPr>
          <w:rFonts w:ascii="Arial" w:hAnsi="Arial" w:cs="Arial"/>
          <w:color w:val="000000"/>
        </w:rPr>
        <w:t xml:space="preserve"> sutuoktinis G</w:t>
      </w:r>
      <w:r w:rsidR="0031602E">
        <w:rPr>
          <w:rFonts w:ascii="Arial" w:hAnsi="Arial" w:cs="Arial"/>
          <w:color w:val="000000"/>
        </w:rPr>
        <w:t>.</w:t>
      </w:r>
      <w:r w:rsidR="00E53FDB" w:rsidRPr="00E53FDB">
        <w:rPr>
          <w:rFonts w:ascii="Arial" w:hAnsi="Arial" w:cs="Arial"/>
          <w:color w:val="000000"/>
        </w:rPr>
        <w:t xml:space="preserve"> Ž</w:t>
      </w:r>
      <w:r w:rsidR="0031602E">
        <w:rPr>
          <w:rFonts w:ascii="Arial" w:hAnsi="Arial" w:cs="Arial"/>
          <w:color w:val="000000"/>
        </w:rPr>
        <w:t>.</w:t>
      </w:r>
      <w:r w:rsidR="00E53FDB" w:rsidRPr="00E53FDB">
        <w:rPr>
          <w:rFonts w:ascii="Arial" w:hAnsi="Arial" w:cs="Arial"/>
          <w:color w:val="000000"/>
        </w:rPr>
        <w:t xml:space="preserve"> dirba Klaipėdos apygardos prokuratūros Tauragės apylinkės prokuroru</w:t>
      </w:r>
      <w:r w:rsidR="009B250E">
        <w:rPr>
          <w:rFonts w:ascii="Arial" w:hAnsi="Arial" w:cs="Arial"/>
          <w:color w:val="000000"/>
        </w:rPr>
        <w:t xml:space="preserve">, todėl </w:t>
      </w:r>
      <w:r w:rsidR="009B250E" w:rsidRPr="009B250E">
        <w:rPr>
          <w:rFonts w:ascii="Arial" w:hAnsi="Arial" w:cs="Arial"/>
          <w:color w:val="000000"/>
        </w:rPr>
        <w:t xml:space="preserve">paskyrus teisėją baudžiamųjų ir administracinių nusižengimų bylų specializacijai, </w:t>
      </w:r>
      <w:r w:rsidR="009B250E">
        <w:rPr>
          <w:rFonts w:ascii="Arial" w:hAnsi="Arial" w:cs="Arial"/>
          <w:color w:val="000000"/>
        </w:rPr>
        <w:t>ji</w:t>
      </w:r>
      <w:r w:rsidR="009B250E" w:rsidRPr="009B250E">
        <w:rPr>
          <w:rFonts w:ascii="Arial" w:hAnsi="Arial" w:cs="Arial"/>
          <w:color w:val="000000"/>
        </w:rPr>
        <w:t xml:space="preserve"> negalėtų nagrinėti baudžiamųjų bylų ir atlikti ikiteisminio tyrimo veiksmų, kuriuose dalyvaus jos sutuoktinis (vienas iš 8 Tauragės prokurorų), kad nebūtų interesų konflikto. </w:t>
      </w:r>
      <w:r w:rsidR="009B250E">
        <w:rPr>
          <w:rFonts w:ascii="Arial" w:hAnsi="Arial" w:cs="Arial"/>
          <w:color w:val="000000"/>
        </w:rPr>
        <w:t>Remdamasi prašyme nurodytomis aplinkybėmis, teismo pirmininko pavaduotoj</w:t>
      </w:r>
      <w:r w:rsidR="00A36A28">
        <w:rPr>
          <w:rFonts w:ascii="Arial" w:hAnsi="Arial" w:cs="Arial"/>
          <w:color w:val="000000"/>
        </w:rPr>
        <w:t>a</w:t>
      </w:r>
      <w:r w:rsidR="009B250E">
        <w:rPr>
          <w:rFonts w:ascii="Arial" w:hAnsi="Arial" w:cs="Arial"/>
          <w:color w:val="000000"/>
        </w:rPr>
        <w:t xml:space="preserve"> Komisijos parašo suteikti </w:t>
      </w:r>
      <w:r w:rsidR="009B250E" w:rsidRPr="009B250E">
        <w:rPr>
          <w:rFonts w:ascii="Arial" w:hAnsi="Arial" w:cs="Arial"/>
          <w:color w:val="000000"/>
        </w:rPr>
        <w:t>konsultaciją</w:t>
      </w:r>
      <w:r w:rsidR="009E419F">
        <w:rPr>
          <w:rFonts w:ascii="Arial" w:hAnsi="Arial" w:cs="Arial"/>
          <w:color w:val="000000"/>
        </w:rPr>
        <w:t>,</w:t>
      </w:r>
      <w:r w:rsidR="009B250E" w:rsidRPr="009B250E">
        <w:rPr>
          <w:rFonts w:ascii="Arial" w:hAnsi="Arial" w:cs="Arial"/>
          <w:color w:val="000000"/>
        </w:rPr>
        <w:t xml:space="preserve"> ar Tauragės apylinkės teismo Tauragės rūmų teisėjos D</w:t>
      </w:r>
      <w:r w:rsidR="0031602E">
        <w:rPr>
          <w:rFonts w:ascii="Arial" w:hAnsi="Arial" w:cs="Arial"/>
          <w:color w:val="000000"/>
        </w:rPr>
        <w:t>.</w:t>
      </w:r>
      <w:r w:rsidR="009B250E" w:rsidRPr="009B250E">
        <w:rPr>
          <w:rFonts w:ascii="Arial" w:hAnsi="Arial" w:cs="Arial"/>
          <w:color w:val="000000"/>
        </w:rPr>
        <w:t xml:space="preserve"> Ž</w:t>
      </w:r>
      <w:r w:rsidR="0031602E">
        <w:rPr>
          <w:rFonts w:ascii="Arial" w:hAnsi="Arial" w:cs="Arial"/>
          <w:color w:val="000000"/>
        </w:rPr>
        <w:t>.</w:t>
      </w:r>
      <w:r w:rsidR="009B250E" w:rsidRPr="009B250E">
        <w:rPr>
          <w:rFonts w:ascii="Arial" w:hAnsi="Arial" w:cs="Arial"/>
          <w:color w:val="000000"/>
        </w:rPr>
        <w:t xml:space="preserve"> skyrimas į baudžiamųjų ir administracinių nusižengimų bylų specializaciją nepažeis Teisėjų etikos kodekso 11, 12, 15 straipsnių nuostatų, padės išvengti viešų ir privačių interesų konflikto </w:t>
      </w:r>
      <w:r w:rsidR="00A36A28">
        <w:rPr>
          <w:rFonts w:ascii="Arial" w:hAnsi="Arial" w:cs="Arial"/>
          <w:color w:val="000000"/>
        </w:rPr>
        <w:t xml:space="preserve">bei </w:t>
      </w:r>
      <w:r w:rsidR="009B250E" w:rsidRPr="009B250E">
        <w:rPr>
          <w:rFonts w:ascii="Arial" w:hAnsi="Arial" w:cs="Arial"/>
          <w:color w:val="000000"/>
        </w:rPr>
        <w:t>užtikrinti tolygų baudžiamųjų bylų ir ikiteisminio tyrimo dokumentų skirstymą teisme.</w:t>
      </w:r>
    </w:p>
    <w:p w14:paraId="07D83A54" w14:textId="77777777" w:rsidR="00E34C3B" w:rsidRDefault="00D01AAB" w:rsidP="00E34C3B">
      <w:pPr>
        <w:ind w:firstLine="851"/>
        <w:jc w:val="both"/>
        <w:rPr>
          <w:rFonts w:ascii="Arial" w:hAnsi="Arial" w:cs="Arial"/>
          <w:color w:val="000000"/>
        </w:rPr>
      </w:pPr>
      <w:r w:rsidRPr="00D01AAB">
        <w:rPr>
          <w:rFonts w:ascii="Arial" w:hAnsi="Arial" w:cs="Arial"/>
          <w:shd w:val="clear" w:color="auto" w:fill="FFFFFF"/>
        </w:rPr>
        <w:t xml:space="preserve">Komisija, atsakydama į </w:t>
      </w:r>
      <w:r w:rsidR="009E419F" w:rsidRPr="009E419F">
        <w:rPr>
          <w:rFonts w:ascii="Arial" w:hAnsi="Arial" w:cs="Arial"/>
          <w:shd w:val="clear" w:color="auto" w:fill="FFFFFF"/>
        </w:rPr>
        <w:t xml:space="preserve">Tauragės apylinkės teismo pirmininko pavaduotojos </w:t>
      </w:r>
      <w:r w:rsidRPr="00D01AAB">
        <w:rPr>
          <w:rFonts w:ascii="Arial" w:hAnsi="Arial" w:cs="Arial"/>
          <w:shd w:val="clear" w:color="auto" w:fill="FFFFFF"/>
        </w:rPr>
        <w:t>prašymą suteikti konsultaciją</w:t>
      </w:r>
      <w:r w:rsidR="00A36A28">
        <w:rPr>
          <w:rFonts w:ascii="Arial" w:hAnsi="Arial" w:cs="Arial"/>
          <w:shd w:val="clear" w:color="auto" w:fill="FFFFFF"/>
        </w:rPr>
        <w:t>,</w:t>
      </w:r>
      <w:r w:rsidRPr="00D01AAB">
        <w:rPr>
          <w:rFonts w:ascii="Arial" w:hAnsi="Arial" w:cs="Arial"/>
          <w:shd w:val="clear" w:color="auto" w:fill="FFFFFF"/>
        </w:rPr>
        <w:t xml:space="preserve"> konstatuoja, kad prašymo dalykas iš esmės yra susijęs su teismo administracine</w:t>
      </w:r>
      <w:r w:rsidR="009E419F">
        <w:rPr>
          <w:rFonts w:ascii="Arial" w:hAnsi="Arial" w:cs="Arial"/>
          <w:shd w:val="clear" w:color="auto" w:fill="FFFFFF"/>
        </w:rPr>
        <w:t>–</w:t>
      </w:r>
      <w:r w:rsidRPr="00D01AAB">
        <w:rPr>
          <w:rFonts w:ascii="Arial" w:hAnsi="Arial" w:cs="Arial"/>
          <w:shd w:val="clear" w:color="auto" w:fill="FFFFFF"/>
        </w:rPr>
        <w:t>organizacine veikla. Lietuvos Respublikos teismų įstatymo</w:t>
      </w:r>
      <w:r w:rsidR="009E419F">
        <w:rPr>
          <w:rFonts w:ascii="Arial" w:hAnsi="Arial" w:cs="Arial"/>
          <w:shd w:val="clear" w:color="auto" w:fill="FFFFFF"/>
        </w:rPr>
        <w:t xml:space="preserve"> (toliau – Teismų įstatymas)</w:t>
      </w:r>
      <w:r w:rsidRPr="00D01AAB">
        <w:rPr>
          <w:rFonts w:ascii="Arial" w:hAnsi="Arial" w:cs="Arial"/>
          <w:shd w:val="clear" w:color="auto" w:fill="FFFFFF"/>
        </w:rPr>
        <w:t xml:space="preserve"> 102 straipsnio 1 dalyje nustatyta, </w:t>
      </w:r>
      <w:r w:rsidR="00A36A28">
        <w:rPr>
          <w:rFonts w:ascii="Arial" w:hAnsi="Arial" w:cs="Arial"/>
          <w:shd w:val="clear" w:color="auto" w:fill="FFFFFF"/>
        </w:rPr>
        <w:t xml:space="preserve">kad </w:t>
      </w:r>
      <w:r w:rsidRPr="00D01AAB">
        <w:rPr>
          <w:rFonts w:ascii="Arial" w:hAnsi="Arial" w:cs="Arial"/>
          <w:shd w:val="clear" w:color="auto" w:fill="FFFFFF"/>
        </w:rPr>
        <w:t xml:space="preserve">administravimą teismuose sudaro teismo pareigūnų organizacinė veikla (vidinis teismo administravimas). </w:t>
      </w:r>
      <w:r w:rsidR="00A36A28">
        <w:rPr>
          <w:rFonts w:ascii="Arial" w:hAnsi="Arial" w:cs="Arial"/>
          <w:shd w:val="clear" w:color="auto" w:fill="FFFFFF"/>
        </w:rPr>
        <w:t>V</w:t>
      </w:r>
      <w:r w:rsidR="00A36A28" w:rsidRPr="00D01AAB">
        <w:rPr>
          <w:rFonts w:ascii="Arial" w:eastAsia="Calibri" w:hAnsi="Arial" w:cs="Arial"/>
          <w:shd w:val="clear" w:color="auto" w:fill="FFFFFF"/>
        </w:rPr>
        <w:t>idiniam teismų administravimui (teismo organizacinei veiklai) teisės aktų nustatyta tvarka vadovauja teismo pirmininkas</w:t>
      </w:r>
      <w:r w:rsidR="00A36A28">
        <w:rPr>
          <w:rFonts w:ascii="Arial" w:eastAsia="Calibri" w:hAnsi="Arial" w:cs="Arial"/>
          <w:shd w:val="clear" w:color="auto" w:fill="FFFFFF"/>
        </w:rPr>
        <w:t xml:space="preserve"> (Teismų įstatymo 103 straipsnio 1 dalis). </w:t>
      </w:r>
      <w:r w:rsidR="009C1C70">
        <w:rPr>
          <w:rFonts w:ascii="Arial" w:eastAsia="Calibri" w:hAnsi="Arial" w:cs="Arial"/>
          <w:shd w:val="clear" w:color="auto" w:fill="FFFFFF"/>
        </w:rPr>
        <w:t xml:space="preserve">Viena iš teismo pirmininko vykdomų vidinio teismo administravimo funkcijų yra </w:t>
      </w:r>
      <w:r w:rsidR="009C1C70" w:rsidRPr="009C1C70">
        <w:rPr>
          <w:rFonts w:ascii="Arial" w:eastAsia="Calibri" w:hAnsi="Arial" w:cs="Arial"/>
          <w:shd w:val="clear" w:color="auto" w:fill="FFFFFF"/>
        </w:rPr>
        <w:t>teisėjų specializacij</w:t>
      </w:r>
      <w:r w:rsidR="009C1C70">
        <w:rPr>
          <w:rFonts w:ascii="Arial" w:eastAsia="Calibri" w:hAnsi="Arial" w:cs="Arial"/>
          <w:shd w:val="clear" w:color="auto" w:fill="FFFFFF"/>
        </w:rPr>
        <w:t>os</w:t>
      </w:r>
      <w:r w:rsidR="009C1C70" w:rsidRPr="009C1C70">
        <w:rPr>
          <w:rFonts w:ascii="Arial" w:eastAsia="Calibri" w:hAnsi="Arial" w:cs="Arial"/>
          <w:shd w:val="clear" w:color="auto" w:fill="FFFFFF"/>
        </w:rPr>
        <w:t xml:space="preserve"> atskirų kategorijų byloms nagrinėti</w:t>
      </w:r>
      <w:r w:rsidR="009C1C70">
        <w:rPr>
          <w:rFonts w:ascii="Arial" w:eastAsia="Calibri" w:hAnsi="Arial" w:cs="Arial"/>
          <w:shd w:val="clear" w:color="auto" w:fill="FFFFFF"/>
        </w:rPr>
        <w:t xml:space="preserve"> nustatymas (Teismų įstatymo 103 straipsnio 2 dalis).</w:t>
      </w:r>
      <w:r w:rsidR="00E34C3B">
        <w:rPr>
          <w:rFonts w:ascii="Arial" w:eastAsia="Calibri" w:hAnsi="Arial" w:cs="Arial"/>
          <w:shd w:val="clear" w:color="auto" w:fill="FFFFFF"/>
        </w:rPr>
        <w:t xml:space="preserve"> </w:t>
      </w:r>
      <w:r w:rsidR="00E34C3B">
        <w:rPr>
          <w:rFonts w:ascii="Arial" w:hAnsi="Arial" w:cs="Arial"/>
          <w:color w:val="000000"/>
        </w:rPr>
        <w:t xml:space="preserve">Teisėjų tarybos </w:t>
      </w:r>
      <w:r w:rsidR="00E34C3B" w:rsidRPr="00527558">
        <w:rPr>
          <w:rFonts w:ascii="Arial" w:hAnsi="Arial" w:cs="Arial"/>
          <w:color w:val="000000"/>
        </w:rPr>
        <w:t>2017 m. gegužės 19</w:t>
      </w:r>
      <w:r w:rsidR="00E34C3B">
        <w:rPr>
          <w:rFonts w:ascii="Arial" w:hAnsi="Arial" w:cs="Arial"/>
          <w:color w:val="000000"/>
        </w:rPr>
        <w:t> </w:t>
      </w:r>
      <w:r w:rsidR="00E34C3B" w:rsidRPr="00527558">
        <w:rPr>
          <w:rFonts w:ascii="Arial" w:hAnsi="Arial" w:cs="Arial"/>
          <w:color w:val="000000"/>
        </w:rPr>
        <w:t xml:space="preserve">d. </w:t>
      </w:r>
      <w:r w:rsidR="00E34C3B">
        <w:rPr>
          <w:rFonts w:ascii="Arial" w:hAnsi="Arial" w:cs="Arial"/>
          <w:color w:val="000000"/>
        </w:rPr>
        <w:t xml:space="preserve">nutarimu </w:t>
      </w:r>
      <w:r w:rsidR="00E34C3B" w:rsidRPr="00527558">
        <w:rPr>
          <w:rFonts w:ascii="Arial" w:hAnsi="Arial" w:cs="Arial"/>
          <w:color w:val="000000"/>
        </w:rPr>
        <w:t>Nr. 13P-81-(7.1.2)</w:t>
      </w:r>
      <w:r w:rsidR="00E34C3B">
        <w:rPr>
          <w:rFonts w:ascii="Arial" w:hAnsi="Arial" w:cs="Arial"/>
          <w:color w:val="000000"/>
        </w:rPr>
        <w:t xml:space="preserve"> patvirtinto</w:t>
      </w:r>
      <w:r w:rsidR="00E34C3B" w:rsidRPr="00527558">
        <w:t xml:space="preserve"> </w:t>
      </w:r>
      <w:r w:rsidR="00E34C3B" w:rsidRPr="00527558">
        <w:rPr>
          <w:rFonts w:ascii="Arial" w:hAnsi="Arial" w:cs="Arial"/>
          <w:color w:val="000000"/>
        </w:rPr>
        <w:t>Teisėjų specializacijos tam tikrų kategorijų byloms nagrinėti nustatymo tvarkos apraš</w:t>
      </w:r>
      <w:r w:rsidR="00E34C3B">
        <w:rPr>
          <w:rFonts w:ascii="Arial" w:hAnsi="Arial" w:cs="Arial"/>
          <w:color w:val="000000"/>
        </w:rPr>
        <w:t>o</w:t>
      </w:r>
      <w:r w:rsidR="00E34C3B" w:rsidRPr="00527558">
        <w:rPr>
          <w:rFonts w:ascii="Arial" w:hAnsi="Arial" w:cs="Arial"/>
          <w:color w:val="000000"/>
        </w:rPr>
        <w:t xml:space="preserve"> </w:t>
      </w:r>
      <w:r w:rsidR="00E34C3B">
        <w:rPr>
          <w:rFonts w:ascii="Arial" w:hAnsi="Arial" w:cs="Arial"/>
          <w:color w:val="000000"/>
        </w:rPr>
        <w:t>8 punktas nustato nebaigtinį k</w:t>
      </w:r>
      <w:r w:rsidR="00E34C3B" w:rsidRPr="00E34C3B">
        <w:rPr>
          <w:rFonts w:ascii="Arial" w:hAnsi="Arial" w:cs="Arial"/>
          <w:color w:val="000000"/>
        </w:rPr>
        <w:t>riterij</w:t>
      </w:r>
      <w:r w:rsidR="00E34C3B">
        <w:rPr>
          <w:rFonts w:ascii="Arial" w:hAnsi="Arial" w:cs="Arial"/>
          <w:color w:val="000000"/>
        </w:rPr>
        <w:t>ų</w:t>
      </w:r>
      <w:r w:rsidR="00E34C3B" w:rsidRPr="00E34C3B">
        <w:rPr>
          <w:rFonts w:ascii="Arial" w:hAnsi="Arial" w:cs="Arial"/>
          <w:color w:val="000000"/>
        </w:rPr>
        <w:t>, į kuriuos turėtų būti atsižvelgiama paskiriant teisėjus į teisme nustatytas specializacijas</w:t>
      </w:r>
      <w:r w:rsidR="00E34C3B">
        <w:rPr>
          <w:rFonts w:ascii="Arial" w:hAnsi="Arial" w:cs="Arial"/>
          <w:color w:val="000000"/>
        </w:rPr>
        <w:t>, sąrašą, o 11 punktas reglamentuoja, kad k</w:t>
      </w:r>
      <w:r w:rsidR="00E34C3B" w:rsidRPr="00E34C3B">
        <w:rPr>
          <w:rFonts w:ascii="Arial" w:hAnsi="Arial" w:cs="Arial"/>
          <w:color w:val="000000"/>
        </w:rPr>
        <w:t>onkretaus teisėjo specializacija ir jos terminas nustatomi motyvuotu teismo pirmininko įsakymu</w:t>
      </w:r>
      <w:r w:rsidR="00E34C3B">
        <w:rPr>
          <w:rFonts w:ascii="Arial" w:hAnsi="Arial" w:cs="Arial"/>
          <w:color w:val="000000"/>
        </w:rPr>
        <w:t xml:space="preserve"> pagal tvarką, numatytą aprašo III dalyje</w:t>
      </w:r>
      <w:r w:rsidR="00E34C3B" w:rsidRPr="00E34C3B">
        <w:rPr>
          <w:rFonts w:ascii="Arial" w:hAnsi="Arial" w:cs="Arial"/>
          <w:color w:val="000000"/>
        </w:rPr>
        <w:t>.</w:t>
      </w:r>
    </w:p>
    <w:p w14:paraId="7C917233" w14:textId="39D5FAE1" w:rsidR="0017758A" w:rsidRPr="0017758A" w:rsidRDefault="00E34C3B" w:rsidP="0017758A">
      <w:pPr>
        <w:ind w:firstLine="851"/>
        <w:jc w:val="both"/>
        <w:rPr>
          <w:rFonts w:ascii="Arial" w:hAnsi="Arial" w:cs="Arial"/>
        </w:rPr>
      </w:pPr>
      <w:r w:rsidRPr="00E34C3B">
        <w:rPr>
          <w:rFonts w:ascii="Arial" w:hAnsi="Arial" w:cs="Arial"/>
          <w:color w:val="000000"/>
        </w:rPr>
        <w:t> </w:t>
      </w:r>
      <w:r w:rsidR="00EF1FC1" w:rsidRPr="00D01AAB">
        <w:rPr>
          <w:rFonts w:ascii="Arial" w:hAnsi="Arial" w:cs="Arial"/>
          <w:color w:val="000000"/>
          <w:shd w:val="clear" w:color="auto" w:fill="FFFFFF"/>
        </w:rPr>
        <w:t xml:space="preserve">Teisėjų etikos kodekso </w:t>
      </w:r>
      <w:r w:rsidR="00EF1FC1" w:rsidRPr="00D01AAB">
        <w:rPr>
          <w:rFonts w:ascii="Arial" w:hAnsi="Arial" w:cs="Arial"/>
        </w:rPr>
        <w:t>11 straipsn</w:t>
      </w:r>
      <w:r w:rsidR="00EF1FC1">
        <w:rPr>
          <w:rFonts w:ascii="Arial" w:hAnsi="Arial" w:cs="Arial"/>
        </w:rPr>
        <w:t>io</w:t>
      </w:r>
      <w:r w:rsidR="00EF1FC1" w:rsidRPr="00D01AAB">
        <w:rPr>
          <w:rFonts w:ascii="Arial" w:hAnsi="Arial" w:cs="Arial"/>
        </w:rPr>
        <w:t xml:space="preserve"> </w:t>
      </w:r>
      <w:r w:rsidR="00EF1FC1">
        <w:rPr>
          <w:rFonts w:ascii="Arial" w:hAnsi="Arial" w:cs="Arial"/>
        </w:rPr>
        <w:t xml:space="preserve">2 punkte </w:t>
      </w:r>
      <w:r w:rsidR="00EF1FC1" w:rsidRPr="00D01AAB">
        <w:rPr>
          <w:rFonts w:ascii="Arial" w:hAnsi="Arial" w:cs="Arial"/>
          <w:color w:val="000000"/>
          <w:shd w:val="clear" w:color="auto" w:fill="FFFFFF"/>
        </w:rPr>
        <w:t xml:space="preserve">įtvirtinta, kad vadovaudamasis </w:t>
      </w:r>
      <w:r w:rsidR="00EF1FC1" w:rsidRPr="00D01AAB">
        <w:rPr>
          <w:rFonts w:ascii="Arial" w:hAnsi="Arial" w:cs="Arial"/>
          <w:color w:val="000000"/>
        </w:rPr>
        <w:t>skaidrumo ir viešumo</w:t>
      </w:r>
      <w:r w:rsidR="00EF1FC1" w:rsidRPr="00D01AAB">
        <w:rPr>
          <w:rFonts w:ascii="Arial" w:hAnsi="Arial" w:cs="Arial"/>
          <w:color w:val="000000"/>
          <w:shd w:val="clear" w:color="auto" w:fill="FFFFFF"/>
        </w:rPr>
        <w:t xml:space="preserve"> principu teisėjas privalo </w:t>
      </w:r>
      <w:r w:rsidR="00EF1FC1" w:rsidRPr="00D01AAB">
        <w:rPr>
          <w:rFonts w:ascii="Arial" w:hAnsi="Arial" w:cs="Arial"/>
          <w:color w:val="000000"/>
        </w:rPr>
        <w:t>vengti viešųjų ir privačių interesų konflikto</w:t>
      </w:r>
      <w:r w:rsidR="00EF1FC1" w:rsidRPr="00D01AAB">
        <w:rPr>
          <w:rFonts w:ascii="Arial" w:hAnsi="Arial" w:cs="Arial"/>
          <w:color w:val="000000"/>
          <w:shd w:val="clear" w:color="auto" w:fill="FFFFFF"/>
        </w:rPr>
        <w:t>. Šio kodekso 12 straipsn</w:t>
      </w:r>
      <w:r w:rsidR="00EF1FC1">
        <w:rPr>
          <w:rFonts w:ascii="Arial" w:hAnsi="Arial" w:cs="Arial"/>
          <w:color w:val="000000"/>
          <w:shd w:val="clear" w:color="auto" w:fill="FFFFFF"/>
        </w:rPr>
        <w:t xml:space="preserve">io 1 punkte </w:t>
      </w:r>
      <w:r w:rsidR="00EF1FC1" w:rsidRPr="00D01AAB">
        <w:rPr>
          <w:rFonts w:ascii="Arial" w:hAnsi="Arial" w:cs="Arial"/>
          <w:color w:val="000000"/>
          <w:shd w:val="clear" w:color="auto" w:fill="FFFFFF"/>
        </w:rPr>
        <w:t xml:space="preserve">įtvirtinta, kad teisėjas privalo </w:t>
      </w:r>
      <w:r w:rsidR="00EF1FC1" w:rsidRPr="00D01AAB">
        <w:rPr>
          <w:rFonts w:ascii="Arial" w:hAnsi="Arial" w:cs="Arial"/>
          <w:color w:val="000000"/>
        </w:rPr>
        <w:t xml:space="preserve">elgtis taip, kad </w:t>
      </w:r>
      <w:r w:rsidR="00EF1FC1" w:rsidRPr="00D01AAB">
        <w:rPr>
          <w:rFonts w:ascii="Arial" w:hAnsi="Arial" w:cs="Arial"/>
        </w:rPr>
        <w:t>šeimos, visuomeniniai, socialiniai ir kitokie santykiai nekenktų teisėjo tiesioginių pareigų atlikimui</w:t>
      </w:r>
      <w:r w:rsidR="00EF1FC1">
        <w:rPr>
          <w:rFonts w:ascii="Arial" w:hAnsi="Arial" w:cs="Arial"/>
        </w:rPr>
        <w:t xml:space="preserve">. </w:t>
      </w:r>
      <w:r w:rsidR="00EF1FC1" w:rsidRPr="00D01AAB">
        <w:rPr>
          <w:rFonts w:ascii="Arial" w:hAnsi="Arial" w:cs="Arial"/>
        </w:rPr>
        <w:t>Teisėjų etikos kodekso 15 straipsnis, įtvirtinantis pareigingumo principą, be kita ko, nustato, kad teisėjas privalo</w:t>
      </w:r>
      <w:r w:rsidR="00EF1FC1" w:rsidRPr="00D01AAB">
        <w:rPr>
          <w:rFonts w:ascii="Arial" w:hAnsi="Arial" w:cs="Arial"/>
          <w:color w:val="000000"/>
        </w:rPr>
        <w:t xml:space="preserve"> nepažeisti Lietuvos Respublikos Konstitucijos, tarptautinių sutarčių, </w:t>
      </w:r>
      <w:r w:rsidR="00EF1FC1" w:rsidRPr="00D01AAB">
        <w:rPr>
          <w:rFonts w:ascii="Arial" w:hAnsi="Arial" w:cs="Arial"/>
          <w:color w:val="000000"/>
        </w:rPr>
        <w:lastRenderedPageBreak/>
        <w:t>įstatymų ir kitų teisės aktų</w:t>
      </w:r>
      <w:r w:rsidR="00EF1FC1" w:rsidRPr="00D01AAB">
        <w:rPr>
          <w:rFonts w:ascii="Arial" w:hAnsi="Arial" w:cs="Arial"/>
        </w:rPr>
        <w:t>.</w:t>
      </w:r>
      <w:r w:rsidR="00EF1FC1">
        <w:rPr>
          <w:rFonts w:ascii="Arial" w:hAnsi="Arial" w:cs="Arial"/>
        </w:rPr>
        <w:t xml:space="preserve"> </w:t>
      </w:r>
      <w:r w:rsidR="00EF1FC1" w:rsidRPr="00D01AAB">
        <w:rPr>
          <w:rFonts w:ascii="Arial" w:hAnsi="Arial" w:cs="Arial"/>
        </w:rPr>
        <w:t>Bangaloro teisėjų elgesio principų, priimtų 2002 m. Hagoje vykusiame teismų pirmininkų posėdyje</w:t>
      </w:r>
      <w:r w:rsidR="0017758A">
        <w:rPr>
          <w:rFonts w:ascii="Arial" w:hAnsi="Arial" w:cs="Arial"/>
        </w:rPr>
        <w:t xml:space="preserve"> (toliau – Principai)</w:t>
      </w:r>
      <w:r w:rsidR="00EF1FC1" w:rsidRPr="00D01AAB">
        <w:rPr>
          <w:rFonts w:ascii="Arial" w:hAnsi="Arial" w:cs="Arial"/>
        </w:rPr>
        <w:t>, 4.9 p</w:t>
      </w:r>
      <w:r w:rsidR="00EF1FC1">
        <w:rPr>
          <w:rFonts w:ascii="Arial" w:hAnsi="Arial" w:cs="Arial"/>
        </w:rPr>
        <w:t>apunktyje</w:t>
      </w:r>
      <w:r w:rsidR="00EF1FC1" w:rsidRPr="00D01AAB">
        <w:rPr>
          <w:rFonts w:ascii="Arial" w:hAnsi="Arial" w:cs="Arial"/>
        </w:rPr>
        <w:t xml:space="preserve"> </w:t>
      </w:r>
      <w:r w:rsidR="00EF1FC1">
        <w:rPr>
          <w:rFonts w:ascii="Arial" w:hAnsi="Arial" w:cs="Arial"/>
        </w:rPr>
        <w:t>įtvirtinta</w:t>
      </w:r>
      <w:r w:rsidR="00EF1FC1" w:rsidRPr="00D01AAB">
        <w:rPr>
          <w:rFonts w:ascii="Arial" w:hAnsi="Arial" w:cs="Arial"/>
        </w:rPr>
        <w:t>, kad teisėjas negali naudotis arba leisti kitiems naudotis jo padėtimi, siekiant asmeninės, savo šeimos narių ar kitų asmenų naudos.</w:t>
      </w:r>
      <w:r w:rsidR="00FC4CBD">
        <w:rPr>
          <w:rFonts w:ascii="Arial" w:hAnsi="Arial" w:cs="Arial"/>
        </w:rPr>
        <w:t xml:space="preserve"> </w:t>
      </w:r>
      <w:r w:rsidR="0017758A">
        <w:rPr>
          <w:rFonts w:ascii="Arial" w:hAnsi="Arial" w:cs="Arial"/>
        </w:rPr>
        <w:t xml:space="preserve">Principų 2.3 papunktis numato, kad teisėjas turi elgtis taip, kad sumažintų atvejų, kai jį reikia nušalinti nuo bylos nagrinėjimo ar sprendimo priėmimo, skaičių. Šios nuostatos komentare teigiama, kad dažnas teisėjo nusišalinimas </w:t>
      </w:r>
      <w:r w:rsidR="0017758A" w:rsidRPr="0017758A">
        <w:rPr>
          <w:rFonts w:ascii="Arial" w:hAnsi="Arial" w:cs="Arial"/>
        </w:rPr>
        <w:t>gali užtraukti visuomenės ne</w:t>
      </w:r>
      <w:r w:rsidR="0017758A">
        <w:rPr>
          <w:rFonts w:ascii="Arial" w:hAnsi="Arial" w:cs="Arial"/>
        </w:rPr>
        <w:t xml:space="preserve">pasitikėjimą </w:t>
      </w:r>
      <w:r w:rsidR="0017758A" w:rsidRPr="0017758A">
        <w:rPr>
          <w:rFonts w:ascii="Arial" w:hAnsi="Arial" w:cs="Arial"/>
        </w:rPr>
        <w:t>teismu ir pači</w:t>
      </w:r>
      <w:r w:rsidR="0017758A">
        <w:rPr>
          <w:rFonts w:ascii="Arial" w:hAnsi="Arial" w:cs="Arial"/>
        </w:rPr>
        <w:t>u</w:t>
      </w:r>
      <w:r w:rsidR="0017758A" w:rsidRPr="0017758A">
        <w:rPr>
          <w:rFonts w:ascii="Arial" w:hAnsi="Arial" w:cs="Arial"/>
        </w:rPr>
        <w:t xml:space="preserve"> teisėju</w:t>
      </w:r>
      <w:r w:rsidR="0017758A">
        <w:rPr>
          <w:rFonts w:ascii="Arial" w:hAnsi="Arial" w:cs="Arial"/>
        </w:rPr>
        <w:t xml:space="preserve"> </w:t>
      </w:r>
      <w:r w:rsidR="0017758A" w:rsidRPr="0017758A">
        <w:rPr>
          <w:rFonts w:ascii="Arial" w:hAnsi="Arial" w:cs="Arial"/>
        </w:rPr>
        <w:t>bei nepagrįstai apsunkinti teisėjo kolegų darbą.</w:t>
      </w:r>
    </w:p>
    <w:p w14:paraId="2B068D02" w14:textId="77777777" w:rsidR="00FC4CBD" w:rsidRDefault="00EF1FC1" w:rsidP="00FC4CBD">
      <w:pPr>
        <w:ind w:firstLine="851"/>
        <w:jc w:val="both"/>
        <w:rPr>
          <w:rFonts w:ascii="Arial" w:hAnsi="Arial" w:cs="Arial"/>
        </w:rPr>
      </w:pPr>
      <w:r w:rsidRPr="00053069">
        <w:rPr>
          <w:rFonts w:ascii="Arial" w:hAnsi="Arial" w:cs="Arial"/>
        </w:rPr>
        <w:t xml:space="preserve">Interesų konflikto apibrėžimas pateikiamas Lietuvos Respublikos viešųjų ir privačių interesų derinimo valstybinėje tarnyboje įstatymo (toliau – Įstatymas), kuris, be kita ko, taikomas ir teisėjams (2 straipsnio 5 dalis). Taigi, egzistuojant interesų konflikto situacijai, teisėjas turėtų naudotis Įstatymo </w:t>
      </w:r>
      <w:r>
        <w:rPr>
          <w:rFonts w:ascii="Arial" w:hAnsi="Arial" w:cs="Arial"/>
        </w:rPr>
        <w:t xml:space="preserve">ir proceso įstatymuose </w:t>
      </w:r>
      <w:r w:rsidRPr="00053069">
        <w:rPr>
          <w:rFonts w:ascii="Arial" w:hAnsi="Arial" w:cs="Arial"/>
        </w:rPr>
        <w:t>nustatytais būdais ir tvarka šiai situacijai spręsti, t. y. privačių interesų deklaracijoje nurodyti duomenis, galinčius kelti interesų konfliktą</w:t>
      </w:r>
      <w:r>
        <w:rPr>
          <w:rFonts w:ascii="Arial" w:hAnsi="Arial" w:cs="Arial"/>
        </w:rPr>
        <w:t xml:space="preserve">, </w:t>
      </w:r>
      <w:r w:rsidRPr="00053069">
        <w:rPr>
          <w:rFonts w:ascii="Arial" w:hAnsi="Arial" w:cs="Arial"/>
        </w:rPr>
        <w:t xml:space="preserve"> informuoti apie interesų konflikto situaciją, pareikšti nusišalinimą ir jokia forma nedalyvauti toliau atliekant tarnybines pareigas.</w:t>
      </w:r>
      <w:r>
        <w:rPr>
          <w:rFonts w:ascii="Arial" w:hAnsi="Arial" w:cs="Arial"/>
        </w:rPr>
        <w:t xml:space="preserve"> </w:t>
      </w:r>
    </w:p>
    <w:p w14:paraId="6D671E05" w14:textId="5400D8D3" w:rsidR="00FC4CBD" w:rsidRPr="00FC4CBD" w:rsidRDefault="00FC4CBD" w:rsidP="00FC4CBD">
      <w:pPr>
        <w:ind w:firstLine="851"/>
        <w:jc w:val="both"/>
        <w:rPr>
          <w:rFonts w:ascii="Arial" w:hAnsi="Arial" w:cs="Arial"/>
        </w:rPr>
      </w:pPr>
      <w:r w:rsidRPr="00D01AAB">
        <w:rPr>
          <w:rFonts w:ascii="Arial" w:hAnsi="Arial" w:cs="Arial"/>
          <w:shd w:val="clear" w:color="auto" w:fill="FFFFFF"/>
        </w:rPr>
        <w:t>Komisija, įvertinusi</w:t>
      </w:r>
      <w:r>
        <w:rPr>
          <w:rFonts w:ascii="Arial" w:hAnsi="Arial" w:cs="Arial"/>
          <w:shd w:val="clear" w:color="auto" w:fill="FFFFFF"/>
        </w:rPr>
        <w:t xml:space="preserve"> prašyme</w:t>
      </w:r>
      <w:r w:rsidRPr="00D01AAB">
        <w:rPr>
          <w:rFonts w:ascii="Arial" w:hAnsi="Arial" w:cs="Arial"/>
          <w:shd w:val="clear" w:color="auto" w:fill="FFFFFF"/>
        </w:rPr>
        <w:t xml:space="preserve"> pateiktų klausimų pobūdį bei atsižvelgusi į nustatytą teisinį reguliavimą, daro išvadą, kad keliami klausimai</w:t>
      </w:r>
      <w:r>
        <w:rPr>
          <w:rFonts w:ascii="Arial" w:hAnsi="Arial" w:cs="Arial"/>
          <w:shd w:val="clear" w:color="auto" w:fill="FFFFFF"/>
        </w:rPr>
        <w:t xml:space="preserve">, ar paskyrus konkrečią teisėją į </w:t>
      </w:r>
      <w:r w:rsidRPr="00E34C3B">
        <w:rPr>
          <w:rFonts w:ascii="Arial" w:hAnsi="Arial" w:cs="Arial"/>
          <w:color w:val="000000"/>
        </w:rPr>
        <w:t>teisme nustatyt</w:t>
      </w:r>
      <w:r>
        <w:rPr>
          <w:rFonts w:ascii="Arial" w:hAnsi="Arial" w:cs="Arial"/>
          <w:color w:val="000000"/>
        </w:rPr>
        <w:t>ą</w:t>
      </w:r>
      <w:r w:rsidRPr="00E34C3B">
        <w:rPr>
          <w:rFonts w:ascii="Arial" w:hAnsi="Arial" w:cs="Arial"/>
          <w:color w:val="000000"/>
        </w:rPr>
        <w:t> specializacij</w:t>
      </w:r>
      <w:r>
        <w:rPr>
          <w:rFonts w:ascii="Arial" w:hAnsi="Arial" w:cs="Arial"/>
          <w:color w:val="000000"/>
        </w:rPr>
        <w:t xml:space="preserve">ą dėl jos interesų konflikto bus užtikrintas </w:t>
      </w:r>
      <w:r w:rsidRPr="009B250E">
        <w:rPr>
          <w:rFonts w:ascii="Arial" w:hAnsi="Arial" w:cs="Arial"/>
          <w:color w:val="000000"/>
        </w:rPr>
        <w:t>tolyg</w:t>
      </w:r>
      <w:r>
        <w:rPr>
          <w:rFonts w:ascii="Arial" w:hAnsi="Arial" w:cs="Arial"/>
          <w:color w:val="000000"/>
        </w:rPr>
        <w:t>us</w:t>
      </w:r>
      <w:r w:rsidRPr="009B250E">
        <w:rPr>
          <w:rFonts w:ascii="Arial" w:hAnsi="Arial" w:cs="Arial"/>
          <w:color w:val="000000"/>
        </w:rPr>
        <w:t xml:space="preserve"> baudžiamųjų bylų ir ikiteisminio tyrimo dokumentų skirstym</w:t>
      </w:r>
      <w:r>
        <w:rPr>
          <w:rFonts w:ascii="Arial" w:hAnsi="Arial" w:cs="Arial"/>
          <w:color w:val="000000"/>
        </w:rPr>
        <w:t>as</w:t>
      </w:r>
      <w:r w:rsidRPr="009B250E">
        <w:rPr>
          <w:rFonts w:ascii="Arial" w:hAnsi="Arial" w:cs="Arial"/>
          <w:color w:val="000000"/>
        </w:rPr>
        <w:t xml:space="preserve"> teisme</w:t>
      </w:r>
      <w:r>
        <w:rPr>
          <w:rFonts w:ascii="Arial" w:hAnsi="Arial" w:cs="Arial"/>
          <w:color w:val="000000"/>
        </w:rPr>
        <w:t xml:space="preserve">, t. y. </w:t>
      </w:r>
      <w:r w:rsidRPr="00D01AAB">
        <w:rPr>
          <w:rFonts w:ascii="Arial" w:hAnsi="Arial" w:cs="Arial"/>
          <w:shd w:val="clear" w:color="auto" w:fill="FFFFFF"/>
        </w:rPr>
        <w:t>užtikrint</w:t>
      </w:r>
      <w:r>
        <w:rPr>
          <w:rFonts w:ascii="Arial" w:hAnsi="Arial" w:cs="Arial"/>
          <w:shd w:val="clear" w:color="auto" w:fill="FFFFFF"/>
        </w:rPr>
        <w:t>as</w:t>
      </w:r>
      <w:r w:rsidRPr="00D01AAB">
        <w:rPr>
          <w:rFonts w:ascii="Arial" w:hAnsi="Arial" w:cs="Arial"/>
          <w:color w:val="FF0000"/>
          <w:shd w:val="clear" w:color="auto" w:fill="FFFFFF"/>
        </w:rPr>
        <w:t xml:space="preserve"> </w:t>
      </w:r>
      <w:r w:rsidRPr="00D01AAB">
        <w:rPr>
          <w:rFonts w:ascii="Arial" w:hAnsi="Arial" w:cs="Arial"/>
          <w:color w:val="000000"/>
        </w:rPr>
        <w:t>teismo, teisėjų ir teismų personalo veiklos efektyvum</w:t>
      </w:r>
      <w:r>
        <w:rPr>
          <w:rFonts w:ascii="Arial" w:hAnsi="Arial" w:cs="Arial"/>
          <w:color w:val="000000"/>
        </w:rPr>
        <w:t xml:space="preserve">as, </w:t>
      </w:r>
      <w:r w:rsidRPr="00D01AAB">
        <w:rPr>
          <w:rFonts w:ascii="Arial" w:hAnsi="Arial" w:cs="Arial"/>
          <w:shd w:val="clear" w:color="auto" w:fill="FFFFFF"/>
        </w:rPr>
        <w:t xml:space="preserve">iš esmės susiję su teismo vidaus darbo organizavimo aspektais, kurių vertinti ir analizuoti teisėjų etikos aspektu </w:t>
      </w:r>
      <w:r>
        <w:rPr>
          <w:rFonts w:ascii="Arial" w:hAnsi="Arial" w:cs="Arial"/>
          <w:shd w:val="clear" w:color="auto" w:fill="FFFFFF"/>
        </w:rPr>
        <w:t>Komisija neturi pagrindo</w:t>
      </w:r>
      <w:r w:rsidRPr="00D01AAB">
        <w:rPr>
          <w:rFonts w:ascii="Arial" w:hAnsi="Arial" w:cs="Arial"/>
          <w:shd w:val="clear" w:color="auto" w:fill="FFFFFF"/>
        </w:rPr>
        <w:t xml:space="preserve">. </w:t>
      </w:r>
      <w:r>
        <w:rPr>
          <w:rFonts w:ascii="Arial" w:hAnsi="Arial" w:cs="Arial"/>
          <w:shd w:val="clear" w:color="auto" w:fill="FFFFFF"/>
        </w:rPr>
        <w:t xml:space="preserve">Tačiau </w:t>
      </w:r>
      <w:r w:rsidRPr="00D01AAB">
        <w:rPr>
          <w:rFonts w:ascii="Arial" w:hAnsi="Arial" w:cs="Arial"/>
        </w:rPr>
        <w:t xml:space="preserve">Komisija </w:t>
      </w:r>
      <w:r>
        <w:rPr>
          <w:rFonts w:ascii="Arial" w:hAnsi="Arial" w:cs="Arial"/>
        </w:rPr>
        <w:t xml:space="preserve">atkreipia dėmesį, kad </w:t>
      </w:r>
      <w:r w:rsidRPr="00FC4CBD">
        <w:rPr>
          <w:rFonts w:ascii="Arial" w:hAnsi="Arial" w:cs="Arial"/>
        </w:rPr>
        <w:t xml:space="preserve">savo praktikoje </w:t>
      </w:r>
      <w:r>
        <w:rPr>
          <w:rFonts w:ascii="Arial" w:hAnsi="Arial" w:cs="Arial"/>
        </w:rPr>
        <w:t>laikosi nuostatos</w:t>
      </w:r>
      <w:r w:rsidRPr="00FC4CBD">
        <w:rPr>
          <w:rFonts w:ascii="Arial" w:hAnsi="Arial" w:cs="Arial"/>
        </w:rPr>
        <w:t xml:space="preserve">, </w:t>
      </w:r>
      <w:r>
        <w:rPr>
          <w:rFonts w:ascii="Arial" w:hAnsi="Arial" w:cs="Arial"/>
        </w:rPr>
        <w:t xml:space="preserve">jog </w:t>
      </w:r>
      <w:r w:rsidRPr="00FC4CBD">
        <w:rPr>
          <w:rFonts w:ascii="Arial" w:hAnsi="Arial" w:cs="Arial"/>
        </w:rPr>
        <w:t>teismo pirmininkui, kaip vidiniam teismo administratoriui, teisės aktais suteikti platūs įgaliojimai ir pareigos, skirti teismo bei teisėjų veiklos efektyvumui užtikrinti. Teismo pirmininkas yra atsakingas už vidinio teismo administravimo tikslų</w:t>
      </w:r>
      <w:r>
        <w:rPr>
          <w:rFonts w:ascii="Arial" w:hAnsi="Arial" w:cs="Arial"/>
        </w:rPr>
        <w:t xml:space="preserve"> </w:t>
      </w:r>
      <w:r w:rsidRPr="00FC4CBD">
        <w:rPr>
          <w:rFonts w:ascii="Arial" w:hAnsi="Arial" w:cs="Arial"/>
        </w:rPr>
        <w:t xml:space="preserve">užtikrinimą ir turi teisę </w:t>
      </w:r>
      <w:r w:rsidR="0017758A">
        <w:rPr>
          <w:rFonts w:ascii="Arial" w:hAnsi="Arial" w:cs="Arial"/>
        </w:rPr>
        <w:t xml:space="preserve">bei </w:t>
      </w:r>
      <w:r w:rsidRPr="00FC4CBD">
        <w:rPr>
          <w:rFonts w:ascii="Arial" w:hAnsi="Arial" w:cs="Arial"/>
        </w:rPr>
        <w:t>pareigą taikyti teisės aktuose numatytas priemones teismo, teisėjų ir teismų personalo atžvilgiu</w:t>
      </w:r>
      <w:r>
        <w:rPr>
          <w:rFonts w:ascii="Arial" w:hAnsi="Arial" w:cs="Arial"/>
        </w:rPr>
        <w:t>.</w:t>
      </w:r>
      <w:r w:rsidRPr="00FC4CBD">
        <w:rPr>
          <w:rFonts w:ascii="Arial" w:hAnsi="Arial" w:cs="Arial"/>
        </w:rPr>
        <w:t xml:space="preserve"> Komisija savo praktikoje yra atkreipusi dėmesį, kad administravimo subjektai pagal teisės aktais jiems suteiktus įgaliojimus turi teisę nuspręsti dėl vidinio administravimo priemonių pasirinkimo individualioje situacijoje, taikyti Administravimo teismuose nuostatuose išvardintas ir kitas aktualias priemones (Komisijos 2019 m. gegužės 2 d. sprendimas Nr. 18P-2, 2020 m. gegužės 28 d. sprendimas Nr. 18P-4, 2025 m. gegužės 22</w:t>
      </w:r>
      <w:r w:rsidRPr="00FC4CBD">
        <w:rPr>
          <w:rFonts w:ascii="Arial" w:hAnsi="Arial" w:cs="Arial"/>
          <w:color w:val="FF0000"/>
        </w:rPr>
        <w:t xml:space="preserve"> </w:t>
      </w:r>
      <w:r w:rsidRPr="00FC4CBD">
        <w:rPr>
          <w:rFonts w:ascii="Arial" w:hAnsi="Arial" w:cs="Arial"/>
        </w:rPr>
        <w:t>d.</w:t>
      </w:r>
      <w:r w:rsidR="001F59DD">
        <w:rPr>
          <w:rFonts w:ascii="Arial" w:hAnsi="Arial" w:cs="Arial"/>
        </w:rPr>
        <w:t xml:space="preserve"> sprendimas</w:t>
      </w:r>
      <w:r w:rsidRPr="00FC4CBD">
        <w:rPr>
          <w:rFonts w:ascii="Arial" w:hAnsi="Arial" w:cs="Arial"/>
        </w:rPr>
        <w:t xml:space="preserve"> Nr.</w:t>
      </w:r>
      <w:r w:rsidRPr="00FC4CBD">
        <w:rPr>
          <w:rFonts w:ascii="Arial" w:hAnsi="Arial" w:cs="Arial"/>
          <w:color w:val="999999"/>
        </w:rPr>
        <w:t xml:space="preserve"> </w:t>
      </w:r>
      <w:r w:rsidRPr="00FC4CBD">
        <w:rPr>
          <w:rFonts w:ascii="Arial" w:hAnsi="Arial" w:cs="Arial"/>
        </w:rPr>
        <w:t>18 P-3).</w:t>
      </w:r>
    </w:p>
    <w:p w14:paraId="2754EBDC" w14:textId="77777777" w:rsidR="00527558" w:rsidRDefault="00527558" w:rsidP="00D01AAB">
      <w:pPr>
        <w:ind w:firstLine="851"/>
        <w:jc w:val="both"/>
        <w:rPr>
          <w:rFonts w:ascii="Arial" w:hAnsi="Arial" w:cs="Arial"/>
          <w:color w:val="000000"/>
        </w:rPr>
      </w:pPr>
    </w:p>
    <w:p w14:paraId="2B2E7503" w14:textId="77777777" w:rsidR="00527558" w:rsidRPr="00D01AAB" w:rsidRDefault="00527558" w:rsidP="00527558">
      <w:pPr>
        <w:jc w:val="both"/>
        <w:rPr>
          <w:rFonts w:ascii="Arial" w:hAnsi="Arial" w:cs="Arial"/>
          <w:color w:val="000000"/>
        </w:rPr>
      </w:pPr>
    </w:p>
    <w:p w14:paraId="730AAA58" w14:textId="062018D5" w:rsidR="00D01AAB" w:rsidRPr="00D01AAB" w:rsidRDefault="00D01AAB" w:rsidP="00D01AAB">
      <w:pPr>
        <w:tabs>
          <w:tab w:val="left" w:pos="1200"/>
        </w:tabs>
        <w:jc w:val="both"/>
        <w:rPr>
          <w:rFonts w:ascii="Arial" w:hAnsi="Arial" w:cs="Arial"/>
        </w:rPr>
      </w:pPr>
      <w:r w:rsidRPr="00D01AAB">
        <w:rPr>
          <w:rFonts w:ascii="Arial" w:hAnsi="Arial" w:cs="Arial"/>
        </w:rPr>
        <w:t xml:space="preserve">Pirmininkas </w:t>
      </w:r>
      <w:r w:rsidRPr="00D01AAB">
        <w:rPr>
          <w:rFonts w:ascii="Arial" w:hAnsi="Arial" w:cs="Arial"/>
        </w:rPr>
        <w:tab/>
      </w:r>
      <w:r w:rsidRPr="00D01AAB">
        <w:rPr>
          <w:rFonts w:ascii="Arial" w:hAnsi="Arial" w:cs="Arial"/>
        </w:rPr>
        <w:tab/>
      </w:r>
      <w:r w:rsidRPr="00D01AAB">
        <w:rPr>
          <w:rFonts w:ascii="Arial" w:hAnsi="Arial" w:cs="Arial"/>
        </w:rPr>
        <w:tab/>
      </w:r>
      <w:r w:rsidRPr="00D01AAB">
        <w:rPr>
          <w:rFonts w:ascii="Arial" w:hAnsi="Arial" w:cs="Arial"/>
        </w:rPr>
        <w:tab/>
      </w:r>
      <w:r w:rsidRPr="00D01AAB">
        <w:rPr>
          <w:rFonts w:ascii="Arial" w:hAnsi="Arial" w:cs="Arial"/>
        </w:rPr>
        <w:tab/>
      </w:r>
      <w:r w:rsidRPr="00D01AAB">
        <w:rPr>
          <w:rFonts w:ascii="Arial" w:hAnsi="Arial" w:cs="Arial"/>
        </w:rPr>
        <w:tab/>
      </w:r>
      <w:r w:rsidRPr="00D01AAB">
        <w:rPr>
          <w:rFonts w:ascii="Arial" w:hAnsi="Arial" w:cs="Arial"/>
        </w:rPr>
        <w:tab/>
        <w:t xml:space="preserve">                                  Marius Bajoras</w:t>
      </w:r>
    </w:p>
    <w:p w14:paraId="7B35F52A" w14:textId="77777777" w:rsidR="00D01AAB" w:rsidRPr="002B4610" w:rsidRDefault="00D01AAB" w:rsidP="00D01AAB"/>
    <w:p w14:paraId="600B4E8E" w14:textId="77777777" w:rsidR="00D01AAB" w:rsidRDefault="00D01AAB" w:rsidP="00D01AAB"/>
    <w:p w14:paraId="2CD198FF" w14:textId="77777777" w:rsidR="00D01AAB" w:rsidRDefault="00D01AAB" w:rsidP="00D01AAB"/>
    <w:p w14:paraId="7FE72854" w14:textId="77777777" w:rsidR="00D01AAB" w:rsidRDefault="00D01AAB" w:rsidP="00D01AAB"/>
    <w:p w14:paraId="62031979" w14:textId="77777777" w:rsidR="00D01AAB" w:rsidRDefault="00D01AAB" w:rsidP="00D01AAB"/>
    <w:p w14:paraId="2BF513A5" w14:textId="77777777" w:rsidR="00D01AAB" w:rsidRDefault="00D01AAB" w:rsidP="00D01AAB"/>
    <w:p w14:paraId="73FF6EDD" w14:textId="77777777" w:rsidR="00D01AAB" w:rsidRDefault="00D01AAB" w:rsidP="00D01AAB"/>
    <w:p w14:paraId="294D10E5" w14:textId="77777777" w:rsidR="00D01AAB" w:rsidRDefault="00D01AAB" w:rsidP="00D01AAB"/>
    <w:p w14:paraId="4CF5BB9F" w14:textId="77777777" w:rsidR="00D01AAB" w:rsidRDefault="00D01AAB" w:rsidP="00D01AAB"/>
    <w:p w14:paraId="7021EEAB" w14:textId="77777777" w:rsidR="00BE48E9" w:rsidRDefault="00BE48E9" w:rsidP="00D01AAB"/>
    <w:sectPr w:rsidR="00BE48E9" w:rsidSect="00D01AAB">
      <w:headerReference w:type="default" r:id="rId7"/>
      <w:headerReference w:type="first" r:id="rId8"/>
      <w:footerReference w:type="first" r:id="rId9"/>
      <w:pgSz w:w="11907" w:h="16840" w:code="9"/>
      <w:pgMar w:top="1134" w:right="567" w:bottom="1134"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5FD5" w14:textId="77777777" w:rsidR="00EA2641" w:rsidRDefault="00EA2641" w:rsidP="00D01AAB">
      <w:r>
        <w:separator/>
      </w:r>
    </w:p>
  </w:endnote>
  <w:endnote w:type="continuationSeparator" w:id="0">
    <w:p w14:paraId="2CA26A6F" w14:textId="77777777" w:rsidR="00EA2641" w:rsidRDefault="00EA2641" w:rsidP="00D0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A531" w14:textId="77777777" w:rsidR="00D01AAB" w:rsidRDefault="00D01AAB" w:rsidP="001539A4">
    <w:pPr>
      <w:pStyle w:val="Porat"/>
      <w:jc w:val="left"/>
    </w:pPr>
    <w:r>
      <w:rPr>
        <w:sz w:val="22"/>
        <w:szCs w:val="22"/>
      </w:rPr>
      <w:tab/>
    </w:r>
  </w:p>
  <w:p w14:paraId="63033153" w14:textId="77777777" w:rsidR="00D01AAB" w:rsidRPr="001539A4" w:rsidRDefault="00D01AAB"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19CE" w14:textId="77777777" w:rsidR="00EA2641" w:rsidRDefault="00EA2641" w:rsidP="00D01AAB">
      <w:r>
        <w:separator/>
      </w:r>
    </w:p>
  </w:footnote>
  <w:footnote w:type="continuationSeparator" w:id="0">
    <w:p w14:paraId="1D4F1121" w14:textId="77777777" w:rsidR="00EA2641" w:rsidRDefault="00EA2641" w:rsidP="00D0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C779" w14:textId="77777777" w:rsidR="00D01AAB" w:rsidRDefault="00D01AAB">
    <w:pPr>
      <w:pStyle w:val="Antrats"/>
      <w:tabs>
        <w:tab w:val="clear" w:pos="4153"/>
        <w:tab w:val="clear" w:pos="8306"/>
      </w:tabs>
      <w:jc w:val="center"/>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111A4C45" w14:textId="77777777" w:rsidR="00D01AAB" w:rsidRDefault="00D01AAB">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DC64" w14:textId="16C40B72" w:rsidR="00D01AAB" w:rsidRDefault="00D01AAB">
    <w:pPr>
      <w:pStyle w:val="Antrats"/>
      <w:tabs>
        <w:tab w:val="clear" w:pos="4153"/>
      </w:tabs>
      <w:jc w:val="center"/>
      <w:rPr>
        <w:sz w:val="20"/>
      </w:rPr>
    </w:pPr>
    <w:r>
      <w:rPr>
        <w:noProof/>
        <w:sz w:val="20"/>
      </w:rPr>
      <w:drawing>
        <wp:inline distT="0" distB="0" distL="0" distR="0" wp14:anchorId="6A02F110" wp14:editId="791787DC">
          <wp:extent cx="730250" cy="762000"/>
          <wp:effectExtent l="0" t="0" r="0" b="0"/>
          <wp:docPr id="5388251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6CA1992E" w14:textId="77777777" w:rsidR="00D01AAB" w:rsidRPr="00D01AAB" w:rsidRDefault="00D01AAB">
    <w:pPr>
      <w:pStyle w:val="Antrats"/>
      <w:pBdr>
        <w:bottom w:val="single" w:sz="4" w:space="1" w:color="auto"/>
      </w:pBdr>
      <w:tabs>
        <w:tab w:val="clear" w:pos="4153"/>
        <w:tab w:val="clear" w:pos="8306"/>
      </w:tabs>
      <w:jc w:val="center"/>
      <w:rPr>
        <w:rFonts w:ascii="Arial" w:hAnsi="Arial" w:cs="Arial"/>
        <w:b/>
        <w:caps/>
        <w:sz w:val="28"/>
        <w:szCs w:val="28"/>
      </w:rPr>
    </w:pPr>
    <w:r w:rsidRPr="00D01AAB">
      <w:rPr>
        <w:rFonts w:ascii="Arial" w:hAnsi="Arial" w:cs="Arial"/>
        <w:b/>
        <w:caps/>
        <w:sz w:val="28"/>
        <w:szCs w:val="28"/>
      </w:rPr>
      <w:t>Teisėjų etikos ir drausmės komisija</w:t>
    </w:r>
  </w:p>
  <w:p w14:paraId="0E7E640A" w14:textId="22E34B92" w:rsidR="00D01AAB" w:rsidRPr="00D01AAB" w:rsidRDefault="00D01AAB">
    <w:pPr>
      <w:pStyle w:val="Antrats"/>
      <w:pBdr>
        <w:bottom w:val="single" w:sz="4" w:space="1" w:color="auto"/>
      </w:pBdr>
      <w:tabs>
        <w:tab w:val="clear" w:pos="4153"/>
        <w:tab w:val="clear" w:pos="8306"/>
      </w:tabs>
      <w:jc w:val="center"/>
      <w:rPr>
        <w:rFonts w:ascii="Arial" w:hAnsi="Arial" w:cs="Arial"/>
        <w:sz w:val="20"/>
      </w:rPr>
    </w:pPr>
    <w:r w:rsidRPr="00D01AAB">
      <w:rPr>
        <w:rFonts w:ascii="Arial" w:hAnsi="Arial" w:cs="Arial"/>
        <w:sz w:val="20"/>
      </w:rPr>
      <w:t xml:space="preserve">L. Sapiegos g. 15, LT-10312 Vilnius, </w:t>
    </w:r>
    <w:r>
      <w:rPr>
        <w:rFonts w:ascii="Arial" w:hAnsi="Arial" w:cs="Arial"/>
        <w:sz w:val="20"/>
      </w:rPr>
      <w:t>E</w:t>
    </w:r>
    <w:r w:rsidRPr="00D01AAB">
      <w:rPr>
        <w:rFonts w:ascii="Arial" w:hAnsi="Arial" w:cs="Arial"/>
        <w:sz w:val="20"/>
      </w:rPr>
      <w:t>l. p. info@teismai.lt</w:t>
    </w:r>
  </w:p>
  <w:p w14:paraId="21D07D85" w14:textId="77777777" w:rsidR="00D01AAB" w:rsidRDefault="00D01AAB">
    <w:pPr>
      <w:pStyle w:val="Antrats"/>
      <w:pBdr>
        <w:bottom w:val="single" w:sz="4" w:space="1" w:color="auto"/>
      </w:pBdr>
      <w:tabs>
        <w:tab w:val="clear" w:pos="4153"/>
        <w:tab w:val="clear" w:pos="8306"/>
      </w:tabs>
      <w:jc w:val="center"/>
      <w:rPr>
        <w:b/>
        <w:sz w:val="8"/>
      </w:rPr>
    </w:pPr>
  </w:p>
  <w:p w14:paraId="566C1F65" w14:textId="77777777" w:rsidR="00D01AAB" w:rsidRDefault="00D01AAB">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9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D1733"/>
    <w:multiLevelType w:val="multilevel"/>
    <w:tmpl w:val="62944764"/>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510"/>
        </w:tabs>
        <w:ind w:left="510" w:hanging="45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16cid:durableId="460802399">
    <w:abstractNumId w:val="0"/>
  </w:num>
  <w:num w:numId="2" w16cid:durableId="59587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E6"/>
    <w:rsid w:val="00053069"/>
    <w:rsid w:val="00106DF6"/>
    <w:rsid w:val="0017758A"/>
    <w:rsid w:val="001A5EFE"/>
    <w:rsid w:val="001F5394"/>
    <w:rsid w:val="001F59DD"/>
    <w:rsid w:val="00245D84"/>
    <w:rsid w:val="002859C2"/>
    <w:rsid w:val="0031602E"/>
    <w:rsid w:val="00355EF5"/>
    <w:rsid w:val="00416759"/>
    <w:rsid w:val="0043756D"/>
    <w:rsid w:val="004B0D15"/>
    <w:rsid w:val="004C3E3B"/>
    <w:rsid w:val="004E28E6"/>
    <w:rsid w:val="00527558"/>
    <w:rsid w:val="00625423"/>
    <w:rsid w:val="0063467F"/>
    <w:rsid w:val="0065008C"/>
    <w:rsid w:val="00682B74"/>
    <w:rsid w:val="006C6A17"/>
    <w:rsid w:val="006F5728"/>
    <w:rsid w:val="007373DA"/>
    <w:rsid w:val="007D00D7"/>
    <w:rsid w:val="008029A8"/>
    <w:rsid w:val="00851715"/>
    <w:rsid w:val="009B250E"/>
    <w:rsid w:val="009C1C70"/>
    <w:rsid w:val="009E419F"/>
    <w:rsid w:val="009E6757"/>
    <w:rsid w:val="00A36A28"/>
    <w:rsid w:val="00A566D9"/>
    <w:rsid w:val="00AE010C"/>
    <w:rsid w:val="00B21795"/>
    <w:rsid w:val="00B72238"/>
    <w:rsid w:val="00BD10A2"/>
    <w:rsid w:val="00BE1754"/>
    <w:rsid w:val="00BE2EDC"/>
    <w:rsid w:val="00BE48E9"/>
    <w:rsid w:val="00C16D2A"/>
    <w:rsid w:val="00C248DE"/>
    <w:rsid w:val="00C43574"/>
    <w:rsid w:val="00C87AAA"/>
    <w:rsid w:val="00CC5A71"/>
    <w:rsid w:val="00CD60DB"/>
    <w:rsid w:val="00D01AAB"/>
    <w:rsid w:val="00D10F4E"/>
    <w:rsid w:val="00D71BD4"/>
    <w:rsid w:val="00DC3714"/>
    <w:rsid w:val="00E34C3B"/>
    <w:rsid w:val="00E53FDB"/>
    <w:rsid w:val="00EA2641"/>
    <w:rsid w:val="00ED7571"/>
    <w:rsid w:val="00EF1FC1"/>
    <w:rsid w:val="00FA2DEF"/>
    <w:rsid w:val="00FB1765"/>
    <w:rsid w:val="00FC4CBD"/>
    <w:rsid w:val="00FD0079"/>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DEC3"/>
  <w15:chartTrackingRefBased/>
  <w15:docId w15:val="{4C86A522-2C1E-4EC9-9BB0-DF923E56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1AAB"/>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4E28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4E28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4E28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4E28E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4E28E6"/>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4E28E6"/>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4E28E6"/>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4E28E6"/>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4E28E6"/>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28E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28E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28E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28E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28E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28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28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28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28E6"/>
    <w:rPr>
      <w:rFonts w:eastAsiaTheme="majorEastAsia" w:cstheme="majorBidi"/>
      <w:color w:val="272727" w:themeColor="text1" w:themeTint="D8"/>
    </w:rPr>
  </w:style>
  <w:style w:type="paragraph" w:styleId="Pavadinimas">
    <w:name w:val="Title"/>
    <w:basedOn w:val="prastasis"/>
    <w:next w:val="prastasis"/>
    <w:link w:val="PavadinimasDiagrama"/>
    <w:qFormat/>
    <w:rsid w:val="004E28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rsid w:val="004E28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28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4E28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28E6"/>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4E28E6"/>
    <w:rPr>
      <w:i/>
      <w:iCs/>
      <w:color w:val="404040" w:themeColor="text1" w:themeTint="BF"/>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4E28E6"/>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4E28E6"/>
    <w:rPr>
      <w:i/>
      <w:iCs/>
      <w:color w:val="2F5496" w:themeColor="accent1" w:themeShade="BF"/>
    </w:rPr>
  </w:style>
  <w:style w:type="paragraph" w:styleId="Iskirtacitata">
    <w:name w:val="Intense Quote"/>
    <w:basedOn w:val="prastasis"/>
    <w:next w:val="prastasis"/>
    <w:link w:val="IskirtacitataDiagrama"/>
    <w:uiPriority w:val="30"/>
    <w:qFormat/>
    <w:rsid w:val="004E28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4E28E6"/>
    <w:rPr>
      <w:i/>
      <w:iCs/>
      <w:color w:val="2F5496" w:themeColor="accent1" w:themeShade="BF"/>
    </w:rPr>
  </w:style>
  <w:style w:type="character" w:styleId="Rykinuoroda">
    <w:name w:val="Intense Reference"/>
    <w:basedOn w:val="Numatytasispastraiposriftas"/>
    <w:uiPriority w:val="32"/>
    <w:qFormat/>
    <w:rsid w:val="004E28E6"/>
    <w:rPr>
      <w:b/>
      <w:bCs/>
      <w:smallCaps/>
      <w:color w:val="2F5496" w:themeColor="accent1" w:themeShade="BF"/>
      <w:spacing w:val="5"/>
    </w:rPr>
  </w:style>
  <w:style w:type="paragraph" w:styleId="Antrats">
    <w:name w:val="header"/>
    <w:basedOn w:val="prastasis"/>
    <w:link w:val="AntratsDiagrama"/>
    <w:rsid w:val="00D01AAB"/>
    <w:pPr>
      <w:tabs>
        <w:tab w:val="center" w:pos="4153"/>
        <w:tab w:val="right" w:pos="8306"/>
      </w:tabs>
    </w:pPr>
  </w:style>
  <w:style w:type="character" w:customStyle="1" w:styleId="AntratsDiagrama">
    <w:name w:val="Antraštės Diagrama"/>
    <w:basedOn w:val="Numatytasispastraiposriftas"/>
    <w:link w:val="Antrats"/>
    <w:rsid w:val="00D01AAB"/>
    <w:rPr>
      <w:rFonts w:ascii="Times New Roman" w:eastAsia="Times New Roman" w:hAnsi="Times New Roman" w:cs="Times New Roman"/>
      <w:kern w:val="0"/>
      <w:lang w:val="lt-LT"/>
      <w14:ligatures w14:val="none"/>
    </w:rPr>
  </w:style>
  <w:style w:type="paragraph" w:styleId="Porat">
    <w:name w:val="footer"/>
    <w:basedOn w:val="prastasis"/>
    <w:link w:val="PoratDiagrama"/>
    <w:rsid w:val="00D01AAB"/>
    <w:pPr>
      <w:tabs>
        <w:tab w:val="right" w:pos="8306"/>
      </w:tabs>
      <w:jc w:val="right"/>
    </w:pPr>
    <w:rPr>
      <w:sz w:val="16"/>
    </w:rPr>
  </w:style>
  <w:style w:type="character" w:customStyle="1" w:styleId="PoratDiagrama">
    <w:name w:val="Poraštė Diagrama"/>
    <w:basedOn w:val="Numatytasispastraiposriftas"/>
    <w:link w:val="Porat"/>
    <w:rsid w:val="00D01AAB"/>
    <w:rPr>
      <w:rFonts w:ascii="Times New Roman" w:eastAsia="Times New Roman" w:hAnsi="Times New Roman" w:cs="Times New Roman"/>
      <w:kern w:val="0"/>
      <w:sz w:val="16"/>
      <w:lang w:val="lt-LT"/>
      <w14:ligatures w14:val="none"/>
    </w:rPr>
  </w:style>
  <w:style w:type="character" w:styleId="Puslapionumeris">
    <w:name w:val="page number"/>
    <w:basedOn w:val="Numatytasispastraiposriftas"/>
    <w:rsid w:val="00D01AAB"/>
  </w:style>
  <w:style w:type="character" w:styleId="Hipersaitas">
    <w:name w:val="Hyperlink"/>
    <w:rsid w:val="00D01AAB"/>
    <w:rPr>
      <w:color w:val="0000FF"/>
      <w:u w:val="single"/>
    </w:rPr>
  </w:style>
  <w:style w:type="paragraph" w:customStyle="1" w:styleId="Adresas">
    <w:name w:val="Adresas"/>
    <w:basedOn w:val="prastasis"/>
    <w:rsid w:val="00D01AAB"/>
    <w:pPr>
      <w:spacing w:before="40" w:after="40"/>
      <w:ind w:right="316"/>
    </w:pPr>
  </w:style>
  <w:style w:type="character" w:customStyle="1" w:styleId="bold">
    <w:name w:val="bold"/>
    <w:basedOn w:val="Numatytasispastraiposriftas"/>
    <w:rsid w:val="00D01AAB"/>
  </w:style>
  <w:style w:type="character" w:customStyle="1" w:styleId="normal-h">
    <w:name w:val="normal-h"/>
    <w:basedOn w:val="Numatytasispastraiposriftas"/>
    <w:rsid w:val="00D01AAB"/>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FC4CBD"/>
  </w:style>
  <w:style w:type="character" w:customStyle="1" w:styleId="DateChar">
    <w:name w:val="Date Char"/>
    <w:link w:val="Date858D7CFB-ED40-4347-BF05-701D383B685F858D7CFB-ED40-4347-BF05-701D383B685F"/>
    <w:rsid w:val="00FC4CBD"/>
    <w:rPr>
      <w:rFonts w:ascii="Times New Roman" w:eastAsia="Times New Roman" w:hAnsi="Times New Roman" w:cs="Times New Roman"/>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FC4CBD"/>
    <w:pPr>
      <w:tabs>
        <w:tab w:val="clear" w:pos="4153"/>
        <w:tab w:val="clear" w:pos="8306"/>
      </w:tabs>
      <w:jc w:val="center"/>
    </w:pPr>
    <w:rPr>
      <w:kern w:val="2"/>
      <w:szCs w:val="20"/>
      <w:lang w:val="en-US" w:eastAsia="lt-LT"/>
      <w14:ligatures w14:val="standardContextual"/>
    </w:rPr>
  </w:style>
  <w:style w:type="paragraph" w:styleId="HTMLiankstoformatuotas">
    <w:name w:val="HTML Preformatted"/>
    <w:basedOn w:val="prastasis"/>
    <w:link w:val="HTMLiankstoformatuotasDiagrama"/>
    <w:uiPriority w:val="99"/>
    <w:semiHidden/>
    <w:unhideWhenUsed/>
    <w:rsid w:val="0017758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7758A"/>
    <w:rPr>
      <w:rFonts w:ascii="Consolas" w:eastAsia="Times New Roman" w:hAnsi="Consolas"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5338</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ms.licencijos2022.2@gmail.com</dc:creator>
  <cp:keywords/>
  <dc:description/>
  <cp:lastModifiedBy>ms.licencijos2022.2@gmail.com</cp:lastModifiedBy>
  <cp:revision>3</cp:revision>
  <cp:lastPrinted>2026-01-13T08:05:00Z</cp:lastPrinted>
  <dcterms:created xsi:type="dcterms:W3CDTF">2026-01-15T09:41:00Z</dcterms:created>
  <dcterms:modified xsi:type="dcterms:W3CDTF">2026-01-15T09:43:00Z</dcterms:modified>
</cp:coreProperties>
</file>