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5D38" w14:textId="77777777" w:rsidR="00E4076C" w:rsidRPr="007C7491" w:rsidRDefault="00E4076C" w:rsidP="00D0623C">
      <w:pPr>
        <w:pStyle w:val="Date"/>
        <w:spacing w:line="276" w:lineRule="auto"/>
        <w:jc w:val="left"/>
        <w:rPr>
          <w:rFonts w:ascii="Arial" w:hAnsi="Arial" w:cs="Arial"/>
        </w:rPr>
      </w:pPr>
    </w:p>
    <w:p w14:paraId="420136C2" w14:textId="439E7DA7" w:rsidR="00C97037" w:rsidRDefault="00C97037" w:rsidP="00FD21FF">
      <w:pPr>
        <w:pStyle w:val="Title"/>
        <w:spacing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2474CF4" wp14:editId="74600BF2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8BD1C" w14:textId="77777777" w:rsidR="00C97037" w:rsidRDefault="00C97037" w:rsidP="00FD21FF">
      <w:pPr>
        <w:pStyle w:val="Title"/>
        <w:spacing w:line="240" w:lineRule="auto"/>
        <w:rPr>
          <w:rFonts w:ascii="Arial" w:hAnsi="Arial" w:cs="Arial"/>
          <w:sz w:val="24"/>
        </w:rPr>
      </w:pPr>
    </w:p>
    <w:p w14:paraId="1A36907F" w14:textId="59CA53E4" w:rsidR="00792B59" w:rsidRPr="007C7491" w:rsidRDefault="00AD296E" w:rsidP="00FD21FF">
      <w:pPr>
        <w:pStyle w:val="Title"/>
        <w:spacing w:line="240" w:lineRule="auto"/>
        <w:rPr>
          <w:rFonts w:ascii="Arial" w:hAnsi="Arial" w:cs="Arial"/>
          <w:sz w:val="24"/>
        </w:rPr>
      </w:pPr>
      <w:r w:rsidRPr="007C7491">
        <w:rPr>
          <w:rFonts w:ascii="Arial" w:hAnsi="Arial" w:cs="Arial"/>
          <w:sz w:val="24"/>
        </w:rPr>
        <w:t>TEIS</w:t>
      </w:r>
      <w:r w:rsidR="00AC4A51" w:rsidRPr="007C7491">
        <w:rPr>
          <w:rFonts w:ascii="Arial" w:hAnsi="Arial" w:cs="Arial"/>
          <w:sz w:val="24"/>
        </w:rPr>
        <w:t>ĖJ</w:t>
      </w:r>
      <w:r w:rsidRPr="007C7491">
        <w:rPr>
          <w:rFonts w:ascii="Arial" w:hAnsi="Arial" w:cs="Arial"/>
          <w:sz w:val="24"/>
        </w:rPr>
        <w:t>Ų TARYBA</w:t>
      </w:r>
    </w:p>
    <w:p w14:paraId="26093CDA" w14:textId="77777777" w:rsidR="00441293" w:rsidRDefault="00441293" w:rsidP="00FD21FF">
      <w:pPr>
        <w:pStyle w:val="Title"/>
        <w:spacing w:line="240" w:lineRule="auto"/>
        <w:rPr>
          <w:rFonts w:ascii="Arial" w:hAnsi="Arial" w:cs="Arial"/>
          <w:sz w:val="24"/>
        </w:rPr>
      </w:pPr>
    </w:p>
    <w:p w14:paraId="3A521341" w14:textId="241B2003" w:rsidR="00541C29" w:rsidRPr="00E4076C" w:rsidRDefault="00AB2877" w:rsidP="00FD21FF">
      <w:pPr>
        <w:pStyle w:val="Title"/>
        <w:spacing w:line="240" w:lineRule="auto"/>
        <w:rPr>
          <w:rFonts w:ascii="Arial" w:hAnsi="Arial" w:cs="Arial"/>
          <w:sz w:val="24"/>
        </w:rPr>
      </w:pPr>
      <w:r w:rsidRPr="00E4076C">
        <w:rPr>
          <w:rFonts w:ascii="Arial" w:hAnsi="Arial" w:cs="Arial"/>
          <w:sz w:val="24"/>
        </w:rPr>
        <w:t>NUTARIMAS</w:t>
      </w:r>
    </w:p>
    <w:p w14:paraId="3450E3DC" w14:textId="197D0512" w:rsidR="002D2D43" w:rsidRPr="00E4076C" w:rsidRDefault="00AB2877" w:rsidP="00FD21FF">
      <w:pPr>
        <w:pStyle w:val="Title"/>
        <w:spacing w:line="240" w:lineRule="auto"/>
        <w:rPr>
          <w:rFonts w:ascii="Arial" w:hAnsi="Arial" w:cs="Arial"/>
          <w:sz w:val="24"/>
        </w:rPr>
      </w:pPr>
      <w:r w:rsidRPr="00E4076C">
        <w:rPr>
          <w:rFonts w:ascii="Arial" w:hAnsi="Arial" w:cs="Arial"/>
          <w:sz w:val="24"/>
        </w:rPr>
        <w:t xml:space="preserve">DĖL DARBO GRUPĖS </w:t>
      </w:r>
      <w:r w:rsidRPr="00E4076C">
        <w:rPr>
          <w:rFonts w:ascii="Arial" w:hAnsi="Arial" w:cs="Arial"/>
          <w:color w:val="000000"/>
          <w:sz w:val="24"/>
          <w:lang w:eastAsia="lt-LT"/>
        </w:rPr>
        <w:t>ŠAKINIO LIETUVOS TEISMŲ SISTEMOS KORUPCIJOS PREVENCIJOS VEIKSMŲ PLANO 2026–2029 M. ĮGYVENDINIM</w:t>
      </w:r>
      <w:r w:rsidR="008A68AB">
        <w:rPr>
          <w:rFonts w:ascii="Arial" w:hAnsi="Arial" w:cs="Arial"/>
          <w:color w:val="000000"/>
          <w:sz w:val="24"/>
          <w:lang w:eastAsia="lt-LT"/>
        </w:rPr>
        <w:t>UI</w:t>
      </w:r>
      <w:r w:rsidRPr="00E4076C">
        <w:rPr>
          <w:rFonts w:ascii="Arial" w:hAnsi="Arial" w:cs="Arial"/>
          <w:color w:val="000000"/>
          <w:sz w:val="24"/>
          <w:lang w:eastAsia="lt-LT"/>
        </w:rPr>
        <w:t xml:space="preserve"> </w:t>
      </w:r>
      <w:r w:rsidR="00A50774" w:rsidRPr="00E4076C">
        <w:rPr>
          <w:rFonts w:ascii="Arial" w:hAnsi="Arial" w:cs="Arial"/>
          <w:color w:val="000000"/>
          <w:sz w:val="24"/>
          <w:lang w:eastAsia="lt-LT"/>
        </w:rPr>
        <w:t>KOORDINUOTI</w:t>
      </w:r>
      <w:r w:rsidR="00A50774">
        <w:rPr>
          <w:rFonts w:ascii="Arial" w:hAnsi="Arial" w:cs="Arial"/>
          <w:color w:val="000000"/>
          <w:sz w:val="24"/>
          <w:lang w:eastAsia="lt-LT"/>
        </w:rPr>
        <w:t xml:space="preserve"> SUDARYMO</w:t>
      </w:r>
    </w:p>
    <w:p w14:paraId="51A9126C" w14:textId="03B3EF16" w:rsidR="00541C29" w:rsidRPr="007C7491" w:rsidRDefault="00541C29" w:rsidP="00FD21FF">
      <w:pPr>
        <w:pStyle w:val="Title"/>
        <w:spacing w:line="240" w:lineRule="auto"/>
        <w:rPr>
          <w:rFonts w:ascii="Arial" w:hAnsi="Arial" w:cs="Arial"/>
          <w:sz w:val="24"/>
        </w:rPr>
      </w:pPr>
    </w:p>
    <w:p w14:paraId="30591BEF" w14:textId="2749ED5B" w:rsidR="001F2269" w:rsidRPr="007C7491" w:rsidRDefault="001F7FF6" w:rsidP="00FD21FF">
      <w:pPr>
        <w:pStyle w:val="Date"/>
        <w:rPr>
          <w:rFonts w:ascii="Arial" w:hAnsi="Arial" w:cs="Arial"/>
        </w:rPr>
      </w:pPr>
      <w:r w:rsidRPr="007C7491">
        <w:rPr>
          <w:rFonts w:ascii="Arial" w:hAnsi="Arial" w:cs="Arial"/>
        </w:rPr>
        <w:t>20</w:t>
      </w:r>
      <w:r w:rsidR="002372A4" w:rsidRPr="007C7491">
        <w:rPr>
          <w:rFonts w:ascii="Arial" w:hAnsi="Arial" w:cs="Arial"/>
        </w:rPr>
        <w:t>2</w:t>
      </w:r>
      <w:r w:rsidR="002D2D43">
        <w:rPr>
          <w:rFonts w:ascii="Arial" w:hAnsi="Arial" w:cs="Arial"/>
        </w:rPr>
        <w:t>6</w:t>
      </w:r>
      <w:r w:rsidR="004530F3" w:rsidRPr="007C7491">
        <w:rPr>
          <w:rFonts w:ascii="Arial" w:hAnsi="Arial" w:cs="Arial"/>
        </w:rPr>
        <w:t xml:space="preserve"> m. </w:t>
      </w:r>
      <w:r w:rsidR="002D2D43">
        <w:rPr>
          <w:rFonts w:ascii="Arial" w:hAnsi="Arial" w:cs="Arial"/>
        </w:rPr>
        <w:t>vasario</w:t>
      </w:r>
      <w:r w:rsidR="00C97037">
        <w:rPr>
          <w:rFonts w:ascii="Arial" w:hAnsi="Arial" w:cs="Arial"/>
        </w:rPr>
        <w:t xml:space="preserve"> 27 </w:t>
      </w:r>
      <w:r w:rsidR="004530F3" w:rsidRPr="007C7491">
        <w:rPr>
          <w:rFonts w:ascii="Arial" w:hAnsi="Arial" w:cs="Arial"/>
        </w:rPr>
        <w:t>d.</w:t>
      </w:r>
      <w:r w:rsidR="00872B7C" w:rsidRPr="007C7491">
        <w:rPr>
          <w:rFonts w:ascii="Arial" w:hAnsi="Arial" w:cs="Arial"/>
        </w:rPr>
        <w:t xml:space="preserve"> </w:t>
      </w:r>
      <w:r w:rsidR="004530F3" w:rsidRPr="007C7491">
        <w:rPr>
          <w:rFonts w:ascii="Arial" w:hAnsi="Arial" w:cs="Arial"/>
        </w:rPr>
        <w:t xml:space="preserve">Nr. </w:t>
      </w:r>
      <w:r w:rsidR="001F2269" w:rsidRPr="007C7491">
        <w:rPr>
          <w:rFonts w:ascii="Arial" w:hAnsi="Arial" w:cs="Arial"/>
          <w:bCs/>
        </w:rPr>
        <w:t>13P-</w:t>
      </w:r>
      <w:r w:rsidR="00DB3F66">
        <w:rPr>
          <w:rFonts w:ascii="Arial" w:hAnsi="Arial" w:cs="Arial"/>
          <w:bCs/>
        </w:rPr>
        <w:t>23</w:t>
      </w:r>
      <w:r w:rsidR="007857FD" w:rsidRPr="007C7491">
        <w:rPr>
          <w:rFonts w:ascii="Arial" w:hAnsi="Arial" w:cs="Arial"/>
          <w:bCs/>
        </w:rPr>
        <w:t>-</w:t>
      </w:r>
      <w:r w:rsidR="001F2269" w:rsidRPr="007C7491">
        <w:rPr>
          <w:rFonts w:ascii="Arial" w:hAnsi="Arial" w:cs="Arial"/>
          <w:bCs/>
        </w:rPr>
        <w:t xml:space="preserve">(7.1.2.E)  </w:t>
      </w:r>
    </w:p>
    <w:p w14:paraId="39679A89" w14:textId="5E2ECD17" w:rsidR="00541C29" w:rsidRDefault="00C719C1" w:rsidP="00FD21FF">
      <w:pPr>
        <w:pStyle w:val="Date"/>
        <w:rPr>
          <w:rFonts w:ascii="Arial" w:hAnsi="Arial" w:cs="Arial"/>
        </w:rPr>
      </w:pPr>
      <w:r w:rsidRPr="007C7491">
        <w:rPr>
          <w:rFonts w:ascii="Arial" w:hAnsi="Arial" w:cs="Arial"/>
        </w:rPr>
        <w:t>Vilnius</w:t>
      </w:r>
    </w:p>
    <w:p w14:paraId="2AE245FC" w14:textId="77777777" w:rsidR="00441293" w:rsidRPr="007C7491" w:rsidRDefault="00441293" w:rsidP="00FD21FF">
      <w:pPr>
        <w:pStyle w:val="Date"/>
        <w:rPr>
          <w:rFonts w:ascii="Arial" w:hAnsi="Arial" w:cs="Arial"/>
        </w:rPr>
      </w:pPr>
    </w:p>
    <w:p w14:paraId="45F7EDAC" w14:textId="0A6A4A58" w:rsidR="00FB72A1" w:rsidRPr="007C7491" w:rsidRDefault="00A305F1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375E02">
        <w:rPr>
          <w:rFonts w:ascii="Arial" w:hAnsi="Arial" w:cs="Arial"/>
          <w:color w:val="000000"/>
          <w:lang w:eastAsia="lt-LT"/>
        </w:rPr>
        <w:t>Vadovaudamasi Teisėjų tarybos darbo reglamento, patvirtinto Teisėjų tarybos 2017 m. vasario 24 d. nutarimu Nr. 13P-30-(7.1.2) „Dėl Teisėjų tarybos darbo reglamento patvirtinimo“, 56</w:t>
      </w:r>
      <w:r>
        <w:rPr>
          <w:rFonts w:ascii="Arial" w:hAnsi="Arial" w:cs="Arial"/>
          <w:color w:val="000000"/>
          <w:lang w:eastAsia="lt-LT"/>
        </w:rPr>
        <w:t xml:space="preserve">, </w:t>
      </w:r>
      <w:r w:rsidRPr="00375E02">
        <w:rPr>
          <w:rFonts w:ascii="Arial" w:hAnsi="Arial" w:cs="Arial"/>
          <w:color w:val="000000"/>
          <w:lang w:eastAsia="lt-LT"/>
        </w:rPr>
        <w:t>57, 59 punktais</w:t>
      </w:r>
      <w:r w:rsidR="00D44ED9">
        <w:rPr>
          <w:rFonts w:ascii="Arial" w:hAnsi="Arial" w:cs="Arial"/>
          <w:color w:val="000000"/>
          <w:lang w:eastAsia="lt-LT"/>
        </w:rPr>
        <w:t>, a</w:t>
      </w:r>
      <w:r w:rsidR="00CC441B" w:rsidRPr="007C7491">
        <w:rPr>
          <w:rFonts w:ascii="Arial" w:hAnsi="Arial" w:cs="Arial"/>
          <w:color w:val="000000"/>
          <w:lang w:eastAsia="lt-LT"/>
        </w:rPr>
        <w:t xml:space="preserve">tsižvelgdama į Teisėjų tarybos </w:t>
      </w:r>
      <w:r w:rsidR="00FF411A" w:rsidRPr="007C7491">
        <w:rPr>
          <w:rFonts w:ascii="Arial" w:hAnsi="Arial" w:cs="Arial"/>
          <w:color w:val="000000"/>
          <w:lang w:eastAsia="lt-LT"/>
        </w:rPr>
        <w:t xml:space="preserve">2025 m. kovo 21 d. nutarimu Nr. 13P-65-(7.1.2.E) </w:t>
      </w:r>
      <w:r w:rsidR="00CC441B" w:rsidRPr="007C7491">
        <w:rPr>
          <w:rFonts w:ascii="Arial" w:hAnsi="Arial" w:cs="Arial"/>
          <w:color w:val="000000"/>
          <w:lang w:eastAsia="lt-LT"/>
        </w:rPr>
        <w:t>„</w:t>
      </w:r>
      <w:r w:rsidR="00FF411A" w:rsidRPr="007C7491">
        <w:rPr>
          <w:rFonts w:ascii="Arial" w:hAnsi="Arial" w:cs="Arial"/>
          <w:color w:val="000000"/>
          <w:lang w:eastAsia="lt-LT"/>
        </w:rPr>
        <w:t>Dėl darbo grupės neteisėto poveikio rizikų valdymo metodikai (modeliui) sukurti ir pasiūlymams dėl naujų korupcijos prevencijos priemonių teismuose pateikti sudarymo</w:t>
      </w:r>
      <w:r w:rsidR="00CC441B" w:rsidRPr="007C7491">
        <w:rPr>
          <w:rFonts w:ascii="Arial" w:hAnsi="Arial" w:cs="Arial"/>
          <w:color w:val="000000"/>
          <w:lang w:eastAsia="lt-LT"/>
        </w:rPr>
        <w:t>“ sudarytos darbo grupės</w:t>
      </w:r>
      <w:r w:rsidR="00DB2E99">
        <w:rPr>
          <w:rFonts w:ascii="Arial" w:hAnsi="Arial" w:cs="Arial"/>
          <w:color w:val="000000"/>
          <w:lang w:eastAsia="lt-LT"/>
        </w:rPr>
        <w:t xml:space="preserve"> </w:t>
      </w:r>
      <w:r w:rsidR="00CC441B" w:rsidRPr="00741B38">
        <w:rPr>
          <w:rFonts w:ascii="Arial" w:hAnsi="Arial" w:cs="Arial"/>
          <w:color w:val="000000"/>
          <w:lang w:eastAsia="lt-LT"/>
        </w:rPr>
        <w:t>202</w:t>
      </w:r>
      <w:r w:rsidR="00057319" w:rsidRPr="00741B38">
        <w:rPr>
          <w:rFonts w:ascii="Arial" w:hAnsi="Arial" w:cs="Arial"/>
          <w:color w:val="000000"/>
          <w:lang w:eastAsia="lt-LT"/>
        </w:rPr>
        <w:t>6</w:t>
      </w:r>
      <w:r w:rsidR="00CC441B" w:rsidRPr="00741B38">
        <w:rPr>
          <w:rFonts w:ascii="Arial" w:hAnsi="Arial" w:cs="Arial"/>
          <w:color w:val="000000"/>
          <w:lang w:eastAsia="lt-LT"/>
        </w:rPr>
        <w:t xml:space="preserve"> m. </w:t>
      </w:r>
      <w:r w:rsidR="00057319" w:rsidRPr="00741B38">
        <w:rPr>
          <w:rFonts w:ascii="Arial" w:hAnsi="Arial" w:cs="Arial"/>
          <w:color w:val="000000"/>
          <w:lang w:eastAsia="lt-LT"/>
        </w:rPr>
        <w:t>vasario</w:t>
      </w:r>
      <w:r w:rsidR="00C97037">
        <w:rPr>
          <w:rFonts w:ascii="Arial" w:hAnsi="Arial" w:cs="Arial"/>
          <w:color w:val="000000"/>
          <w:lang w:eastAsia="lt-LT"/>
        </w:rPr>
        <w:t xml:space="preserve"> 24 </w:t>
      </w:r>
      <w:r w:rsidR="00CC441B" w:rsidRPr="00741B38">
        <w:rPr>
          <w:rFonts w:ascii="Arial" w:hAnsi="Arial" w:cs="Arial"/>
          <w:color w:val="000000"/>
          <w:lang w:eastAsia="lt-LT"/>
        </w:rPr>
        <w:t xml:space="preserve">d. </w:t>
      </w:r>
      <w:r w:rsidR="00057319" w:rsidRPr="00741B38">
        <w:rPr>
          <w:rFonts w:ascii="Arial" w:hAnsi="Arial" w:cs="Arial"/>
          <w:color w:val="000000"/>
          <w:lang w:eastAsia="lt-LT"/>
        </w:rPr>
        <w:t>raštą</w:t>
      </w:r>
      <w:r w:rsidR="00CC441B" w:rsidRPr="00741B38">
        <w:rPr>
          <w:rFonts w:ascii="Arial" w:hAnsi="Arial" w:cs="Arial"/>
          <w:color w:val="000000"/>
          <w:lang w:eastAsia="lt-LT"/>
        </w:rPr>
        <w:t xml:space="preserve"> Nr.</w:t>
      </w:r>
      <w:r w:rsidR="00A163F0" w:rsidRPr="00741B38">
        <w:rPr>
          <w:rFonts w:ascii="Arial" w:hAnsi="Arial" w:cs="Arial"/>
          <w:color w:val="000000"/>
          <w:lang w:eastAsia="lt-LT"/>
        </w:rPr>
        <w:t xml:space="preserve"> 5T</w:t>
      </w:r>
      <w:r w:rsidR="002138BF">
        <w:rPr>
          <w:rFonts w:ascii="Arial" w:hAnsi="Arial" w:cs="Arial"/>
          <w:color w:val="000000"/>
          <w:lang w:eastAsia="lt-LT"/>
        </w:rPr>
        <w:t>V</w:t>
      </w:r>
      <w:r w:rsidR="00A163F0" w:rsidRPr="00741B38">
        <w:rPr>
          <w:rFonts w:ascii="Arial" w:hAnsi="Arial" w:cs="Arial"/>
          <w:color w:val="000000"/>
          <w:lang w:eastAsia="lt-LT"/>
        </w:rPr>
        <w:t>-</w:t>
      </w:r>
      <w:r w:rsidR="00C97037">
        <w:rPr>
          <w:rFonts w:ascii="Arial" w:hAnsi="Arial" w:cs="Arial"/>
          <w:color w:val="000000"/>
          <w:lang w:eastAsia="lt-LT"/>
        </w:rPr>
        <w:t>2</w:t>
      </w:r>
      <w:r w:rsidR="00FF411A" w:rsidRPr="00741B38">
        <w:rPr>
          <w:rFonts w:ascii="Arial" w:hAnsi="Arial" w:cs="Arial"/>
          <w:color w:val="000000"/>
          <w:lang w:eastAsia="lt-LT"/>
        </w:rPr>
        <w:t>-(</w:t>
      </w:r>
      <w:r w:rsidR="00A416EF">
        <w:rPr>
          <w:rFonts w:ascii="Arial" w:hAnsi="Arial" w:cs="Arial"/>
          <w:color w:val="000000"/>
          <w:lang w:eastAsia="lt-LT"/>
        </w:rPr>
        <w:t>1.17</w:t>
      </w:r>
      <w:r w:rsidR="00FF411A" w:rsidRPr="00741B38">
        <w:rPr>
          <w:rFonts w:ascii="Arial" w:hAnsi="Arial" w:cs="Arial"/>
          <w:color w:val="000000"/>
          <w:lang w:eastAsia="lt-LT"/>
        </w:rPr>
        <w:t>.</w:t>
      </w:r>
      <w:r w:rsidR="00A416EF">
        <w:rPr>
          <w:rFonts w:ascii="Arial" w:hAnsi="Arial" w:cs="Arial"/>
          <w:color w:val="000000"/>
          <w:lang w:eastAsia="lt-LT"/>
        </w:rPr>
        <w:t>E</w:t>
      </w:r>
      <w:r w:rsidR="00FF411A" w:rsidRPr="00741B38">
        <w:rPr>
          <w:rFonts w:ascii="Arial" w:hAnsi="Arial" w:cs="Arial"/>
          <w:color w:val="000000"/>
          <w:lang w:eastAsia="lt-LT"/>
        </w:rPr>
        <w:t>)</w:t>
      </w:r>
      <w:r w:rsidR="00CC441B" w:rsidRPr="00741B38">
        <w:rPr>
          <w:rFonts w:ascii="Arial" w:hAnsi="Arial" w:cs="Arial"/>
          <w:color w:val="000000"/>
          <w:lang w:eastAsia="lt-LT"/>
        </w:rPr>
        <w:t>,</w:t>
      </w:r>
      <w:r w:rsidR="00CC441B" w:rsidRPr="007C7491">
        <w:rPr>
          <w:rFonts w:ascii="Arial" w:hAnsi="Arial" w:cs="Arial"/>
          <w:color w:val="000000"/>
          <w:lang w:eastAsia="lt-LT"/>
        </w:rPr>
        <w:t xml:space="preserve"> Teisėjų taryba n u t a r i a:</w:t>
      </w:r>
      <w:r w:rsidR="00FB72A1"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13A5F19F" w14:textId="7FD1A864" w:rsidR="00FB72A1" w:rsidRPr="007C7491" w:rsidRDefault="00FB72A1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color w:val="000000"/>
          <w:lang w:eastAsia="lt-LT"/>
        </w:rPr>
        <w:t xml:space="preserve">1. Sudaryti </w:t>
      </w:r>
      <w:r w:rsidR="008A68AB">
        <w:rPr>
          <w:rFonts w:ascii="Arial" w:hAnsi="Arial" w:cs="Arial"/>
          <w:color w:val="000000"/>
          <w:lang w:eastAsia="lt-LT"/>
        </w:rPr>
        <w:t xml:space="preserve">Teisėjų tarybos įgaliojimų laikotarpiui </w:t>
      </w:r>
      <w:r w:rsidRPr="007C7491">
        <w:rPr>
          <w:rFonts w:ascii="Arial" w:hAnsi="Arial" w:cs="Arial"/>
          <w:color w:val="000000"/>
          <w:lang w:eastAsia="lt-LT"/>
        </w:rPr>
        <w:t xml:space="preserve">šios sudėties </w:t>
      </w:r>
      <w:bookmarkStart w:id="0" w:name="_Hlk188541202"/>
      <w:r w:rsidRPr="007C7491">
        <w:rPr>
          <w:rFonts w:ascii="Arial" w:hAnsi="Arial" w:cs="Arial"/>
          <w:color w:val="000000"/>
          <w:lang w:eastAsia="lt-LT"/>
        </w:rPr>
        <w:t xml:space="preserve">darbo grupę </w:t>
      </w:r>
      <w:r w:rsidR="00742661">
        <w:rPr>
          <w:rFonts w:ascii="Arial" w:hAnsi="Arial" w:cs="Arial"/>
          <w:color w:val="000000"/>
          <w:lang w:eastAsia="lt-LT"/>
        </w:rPr>
        <w:t>Šakinio Lietuvos teismų sistemos korupcijos prevencijos veiksmų plano 2026–2029 m. įgyvendinim</w:t>
      </w:r>
      <w:r w:rsidR="008A68AB">
        <w:rPr>
          <w:rFonts w:ascii="Arial" w:hAnsi="Arial" w:cs="Arial"/>
          <w:color w:val="000000"/>
          <w:lang w:eastAsia="lt-LT"/>
        </w:rPr>
        <w:t>ui</w:t>
      </w:r>
      <w:r w:rsidR="00742661">
        <w:rPr>
          <w:rFonts w:ascii="Arial" w:hAnsi="Arial" w:cs="Arial"/>
          <w:color w:val="000000"/>
          <w:lang w:eastAsia="lt-LT"/>
        </w:rPr>
        <w:t xml:space="preserve"> koordinuoti</w:t>
      </w:r>
      <w:r w:rsidRPr="007C7491">
        <w:rPr>
          <w:rFonts w:ascii="Arial" w:hAnsi="Arial" w:cs="Arial"/>
        </w:rPr>
        <w:t xml:space="preserve"> </w:t>
      </w:r>
      <w:bookmarkEnd w:id="0"/>
      <w:r w:rsidRPr="007C7491">
        <w:rPr>
          <w:rFonts w:ascii="Arial" w:hAnsi="Arial" w:cs="Arial"/>
          <w:color w:val="000000"/>
          <w:lang w:eastAsia="lt-LT"/>
        </w:rPr>
        <w:t>(</w:t>
      </w:r>
      <w:bookmarkStart w:id="1" w:name="_Hlk188540580"/>
      <w:r w:rsidRPr="007C7491">
        <w:rPr>
          <w:rFonts w:ascii="Arial" w:hAnsi="Arial" w:cs="Arial"/>
          <w:color w:val="000000"/>
          <w:lang w:eastAsia="lt-LT"/>
        </w:rPr>
        <w:t>toliau – Darbo grupė):</w:t>
      </w:r>
      <w:bookmarkStart w:id="2" w:name="_Hlk190359029"/>
      <w:bookmarkEnd w:id="1"/>
      <w:r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3FB9424E" w14:textId="40AE513D" w:rsidR="00FB72A1" w:rsidRPr="007C7491" w:rsidRDefault="00FB72A1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</w:rPr>
        <w:t>Arūnas Budrys</w:t>
      </w:r>
      <w:r w:rsidR="00925884">
        <w:rPr>
          <w:rFonts w:ascii="Arial" w:hAnsi="Arial" w:cs="Arial"/>
        </w:rPr>
        <w:t xml:space="preserve"> </w:t>
      </w:r>
      <w:r w:rsidR="00925884" w:rsidRPr="007C7491">
        <w:rPr>
          <w:rFonts w:ascii="Arial" w:hAnsi="Arial" w:cs="Arial"/>
          <w:color w:val="000000"/>
          <w:lang w:eastAsia="lt-LT"/>
        </w:rPr>
        <w:t>–</w:t>
      </w:r>
      <w:r w:rsidRPr="007C7491">
        <w:rPr>
          <w:rFonts w:ascii="Arial" w:hAnsi="Arial" w:cs="Arial"/>
        </w:rPr>
        <w:t xml:space="preserve"> Lietuvos Aukščiausiojo Teismo teisėjas;</w:t>
      </w:r>
      <w:r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069975AB" w14:textId="77777777" w:rsidR="00FB72A1" w:rsidRPr="007C7491" w:rsidRDefault="00FB72A1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color w:val="000000"/>
          <w:lang w:eastAsia="lt-LT"/>
        </w:rPr>
        <w:t xml:space="preserve">Ramūnas Gadliauskas – </w:t>
      </w:r>
      <w:r w:rsidRPr="007C7491">
        <w:rPr>
          <w:rFonts w:ascii="Arial" w:eastAsia="Calibri" w:hAnsi="Arial" w:cs="Arial"/>
          <w14:ligatures w14:val="standardContextual"/>
        </w:rPr>
        <w:t>Teisėjų tarybos narys, Lietuvos vyriausiojo administracinio teismo teisėjas</w:t>
      </w:r>
      <w:r w:rsidRPr="007C7491">
        <w:rPr>
          <w:rFonts w:ascii="Arial" w:hAnsi="Arial" w:cs="Arial"/>
          <w:color w:val="000000"/>
          <w:lang w:eastAsia="lt-LT"/>
        </w:rPr>
        <w:t>;</w:t>
      </w:r>
      <w:r w:rsidRPr="007C7491">
        <w:rPr>
          <w:rFonts w:ascii="Arial" w:eastAsia="Calibri" w:hAnsi="Arial" w:cs="Arial"/>
          <w14:ligatures w14:val="standardContextual"/>
        </w:rPr>
        <w:t xml:space="preserve"> </w:t>
      </w:r>
    </w:p>
    <w:p w14:paraId="02EA0BE0" w14:textId="20F8DF41" w:rsidR="00FB72A1" w:rsidRPr="007C7491" w:rsidRDefault="00FB72A1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eastAsia="Calibri" w:hAnsi="Arial" w:cs="Arial"/>
          <w14:ligatures w14:val="standardContextual"/>
        </w:rPr>
        <w:t>E</w:t>
      </w:r>
      <w:r w:rsidRPr="007C7491">
        <w:rPr>
          <w:rFonts w:ascii="Arial" w:hAnsi="Arial" w:cs="Arial"/>
          <w:color w:val="000000"/>
          <w:lang w:eastAsia="lt-LT"/>
        </w:rPr>
        <w:t xml:space="preserve">valdas Pašilis – Lietuvos apeliacinio teismo teisėjas; </w:t>
      </w:r>
    </w:p>
    <w:p w14:paraId="091B0110" w14:textId="03CDC7E0" w:rsidR="00FB72A1" w:rsidRPr="007C7491" w:rsidRDefault="00FB72A1" w:rsidP="00834F37">
      <w:pPr>
        <w:spacing w:after="5"/>
        <w:ind w:firstLine="720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eastAsia="Calibri" w:hAnsi="Arial" w:cs="Arial"/>
          <w14:ligatures w14:val="standardContextual"/>
        </w:rPr>
        <w:t>Jūratė Bliznikaitė</w:t>
      </w:r>
      <w:r w:rsidR="00563501">
        <w:rPr>
          <w:rFonts w:ascii="Arial" w:eastAsia="Calibri" w:hAnsi="Arial" w:cs="Arial"/>
          <w14:ligatures w14:val="standardContextual"/>
        </w:rPr>
        <w:t xml:space="preserve"> </w:t>
      </w:r>
      <w:r w:rsidRPr="007C7491">
        <w:rPr>
          <w:rFonts w:ascii="Arial" w:eastAsia="Calibri" w:hAnsi="Arial" w:cs="Arial"/>
          <w14:ligatures w14:val="standardContextual"/>
        </w:rPr>
        <w:t>–</w:t>
      </w:r>
      <w:r w:rsidR="00563501">
        <w:rPr>
          <w:rFonts w:ascii="Arial" w:eastAsia="Calibri" w:hAnsi="Arial" w:cs="Arial"/>
          <w14:ligatures w14:val="standardContextual"/>
        </w:rPr>
        <w:t xml:space="preserve"> </w:t>
      </w:r>
      <w:r w:rsidRPr="007C7491">
        <w:rPr>
          <w:rFonts w:ascii="Arial" w:eastAsia="Calibri" w:hAnsi="Arial" w:cs="Arial"/>
          <w14:ligatures w14:val="standardContextual"/>
        </w:rPr>
        <w:t>Povilanskienė – Regiono administracinio teismo Vilniaus rūmų teisėja;</w:t>
      </w:r>
    </w:p>
    <w:p w14:paraId="23E04FBB" w14:textId="77777777" w:rsidR="00FB72A1" w:rsidRPr="007C7491" w:rsidRDefault="00FB72A1" w:rsidP="00834F37">
      <w:pPr>
        <w:spacing w:after="5"/>
        <w:ind w:firstLine="720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eastAsia="Calibri" w:hAnsi="Arial" w:cs="Arial"/>
          <w14:ligatures w14:val="standardContextual"/>
        </w:rPr>
        <w:t>Linas Zinkevičius – Vilniaus apygardos teismo teisėjas;</w:t>
      </w:r>
      <w:r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56E645F1" w14:textId="75038A5F" w:rsidR="00FB72A1" w:rsidRPr="007C7491" w:rsidRDefault="00FB72A1" w:rsidP="00834F37">
      <w:pPr>
        <w:spacing w:after="5"/>
        <w:ind w:firstLine="720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lang w:eastAsia="lt-LT"/>
        </w:rPr>
        <w:t xml:space="preserve">Irena Vapsvienė – Utenos apylinkės teismo Ignalinos rūmų teisėja; </w:t>
      </w:r>
    </w:p>
    <w:p w14:paraId="5B1608FD" w14:textId="7C910C0B" w:rsidR="00FB72A1" w:rsidRPr="007C7491" w:rsidRDefault="00FB72A1" w:rsidP="00834F37">
      <w:pPr>
        <w:spacing w:after="5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7C7491">
        <w:rPr>
          <w:rFonts w:ascii="Arial" w:eastAsia="Calibri" w:hAnsi="Arial" w:cs="Arial"/>
          <w14:ligatures w14:val="standardContextual"/>
        </w:rPr>
        <w:t>Justinas Bagdžius</w:t>
      </w:r>
      <w:r w:rsidRPr="007C7491">
        <w:rPr>
          <w:rFonts w:ascii="Arial" w:hAnsi="Arial" w:cs="Arial"/>
          <w:lang w:eastAsia="lt-LT"/>
        </w:rPr>
        <w:t xml:space="preserve"> – </w:t>
      </w:r>
      <w:r w:rsidRPr="007C7491">
        <w:rPr>
          <w:rFonts w:ascii="Arial" w:eastAsia="Calibri" w:hAnsi="Arial" w:cs="Arial"/>
          <w14:ligatures w14:val="standardContextual"/>
        </w:rPr>
        <w:t>Kauno apylinkės teismo Kauno rūmų teisėjas;</w:t>
      </w:r>
    </w:p>
    <w:bookmarkEnd w:id="2"/>
    <w:p w14:paraId="7763B4F6" w14:textId="7897BC21" w:rsidR="00FB72A1" w:rsidRPr="007C7491" w:rsidRDefault="00FB72A1" w:rsidP="00834F37">
      <w:pPr>
        <w:spacing w:after="5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7C7491">
        <w:rPr>
          <w:rFonts w:ascii="Arial" w:hAnsi="Arial" w:cs="Arial"/>
        </w:rPr>
        <w:t xml:space="preserve">Dina Drutel </w:t>
      </w:r>
      <w:r w:rsidRPr="007C7491">
        <w:rPr>
          <w:rFonts w:ascii="Arial" w:eastAsia="Calibri" w:hAnsi="Arial" w:cs="Arial"/>
          <w14:ligatures w14:val="standardContextual"/>
        </w:rPr>
        <w:t xml:space="preserve">– </w:t>
      </w:r>
      <w:r w:rsidRPr="007C7491">
        <w:rPr>
          <w:rFonts w:ascii="Arial" w:hAnsi="Arial" w:cs="Arial"/>
        </w:rPr>
        <w:t>Lietuvos vyriausiojo administracinio teismo Personalo ir administravimo skyriaus vedėja</w:t>
      </w:r>
      <w:r w:rsidR="00E13255">
        <w:rPr>
          <w:rFonts w:ascii="Arial" w:hAnsi="Arial" w:cs="Arial"/>
        </w:rPr>
        <w:t>.</w:t>
      </w:r>
    </w:p>
    <w:p w14:paraId="129C192D" w14:textId="7D078C76" w:rsidR="00E13255" w:rsidRDefault="00FB72A1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color w:val="000000"/>
          <w:lang w:eastAsia="lt-LT"/>
        </w:rPr>
        <w:t xml:space="preserve">2. </w:t>
      </w:r>
      <w:r w:rsidR="00E13255" w:rsidRPr="00E13255">
        <w:rPr>
          <w:rFonts w:ascii="Arial" w:hAnsi="Arial" w:cs="Arial"/>
          <w:color w:val="000000"/>
          <w:lang w:eastAsia="lt-LT"/>
        </w:rPr>
        <w:t>Darbo grupės pirmininku skirti Teisėjų tarybos narį, Lietuvos vyriausiojo administracinio teismo teisėją Ramūną Gadliauską.</w:t>
      </w:r>
    </w:p>
    <w:p w14:paraId="0D0E8B65" w14:textId="271ABC0D" w:rsidR="00B77413" w:rsidRDefault="00E13255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>
        <w:rPr>
          <w:rFonts w:ascii="Arial" w:hAnsi="Arial" w:cs="Arial"/>
          <w:color w:val="000000"/>
          <w:lang w:eastAsia="lt-LT"/>
        </w:rPr>
        <w:t xml:space="preserve">3. </w:t>
      </w:r>
      <w:r w:rsidRPr="00E13255">
        <w:rPr>
          <w:rFonts w:ascii="Arial" w:hAnsi="Arial" w:cs="Arial"/>
          <w:color w:val="000000"/>
          <w:lang w:eastAsia="lt-LT"/>
        </w:rPr>
        <w:t xml:space="preserve">Pavesti Darbo grupei </w:t>
      </w:r>
      <w:r w:rsidR="00630D34">
        <w:rPr>
          <w:rFonts w:ascii="Arial" w:hAnsi="Arial" w:cs="Arial"/>
          <w:color w:val="000000"/>
          <w:lang w:eastAsia="lt-LT"/>
        </w:rPr>
        <w:t>koordinuoti Šakinio Lietuvos teismų sistemos korupcijos prevencijos veiksmų plano 2026–2029 m.</w:t>
      </w:r>
      <w:r w:rsidR="004276AC">
        <w:rPr>
          <w:rFonts w:ascii="Arial" w:hAnsi="Arial" w:cs="Arial"/>
          <w:color w:val="000000"/>
          <w:lang w:eastAsia="lt-LT"/>
        </w:rPr>
        <w:t xml:space="preserve"> </w:t>
      </w:r>
      <w:r w:rsidR="006414A3">
        <w:rPr>
          <w:rFonts w:ascii="Arial" w:hAnsi="Arial" w:cs="Arial"/>
          <w:color w:val="000000"/>
          <w:lang w:eastAsia="lt-LT"/>
        </w:rPr>
        <w:t>įgyvendinimą</w:t>
      </w:r>
      <w:r w:rsidR="008A68AB">
        <w:rPr>
          <w:rFonts w:ascii="Arial" w:hAnsi="Arial" w:cs="Arial"/>
          <w:color w:val="000000"/>
          <w:lang w:eastAsia="lt-LT"/>
        </w:rPr>
        <w:t>.</w:t>
      </w:r>
    </w:p>
    <w:p w14:paraId="0C658BFC" w14:textId="630C5A29" w:rsidR="00EC577F" w:rsidRDefault="00606A9B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>
        <w:rPr>
          <w:rFonts w:ascii="Arial" w:hAnsi="Arial" w:cs="Arial"/>
          <w:color w:val="000000"/>
          <w:lang w:eastAsia="lt-LT"/>
        </w:rPr>
        <w:t xml:space="preserve">4. Nustatyti, kad Darbo grupė </w:t>
      </w:r>
      <w:r w:rsidR="00EC577F">
        <w:rPr>
          <w:rFonts w:ascii="Arial" w:hAnsi="Arial" w:cs="Arial"/>
          <w:color w:val="000000"/>
          <w:lang w:eastAsia="lt-LT"/>
        </w:rPr>
        <w:t xml:space="preserve">savo veikloje </w:t>
      </w:r>
      <w:r w:rsidR="008A68AB" w:rsidRPr="008A68AB">
        <w:rPr>
          <w:rFonts w:ascii="Arial" w:hAnsi="Arial" w:cs="Arial"/>
          <w:i/>
          <w:iCs/>
          <w:color w:val="000000"/>
          <w:lang w:eastAsia="lt-LT"/>
        </w:rPr>
        <w:t>mutatis mutandis</w:t>
      </w:r>
      <w:r w:rsidR="00EC577F">
        <w:rPr>
          <w:rFonts w:ascii="Arial" w:hAnsi="Arial" w:cs="Arial"/>
          <w:color w:val="000000"/>
          <w:lang w:eastAsia="lt-LT"/>
        </w:rPr>
        <w:t xml:space="preserve"> vadovau</w:t>
      </w:r>
      <w:r>
        <w:rPr>
          <w:rFonts w:ascii="Arial" w:hAnsi="Arial" w:cs="Arial"/>
          <w:color w:val="000000"/>
          <w:lang w:eastAsia="lt-LT"/>
        </w:rPr>
        <w:t>jasi</w:t>
      </w:r>
      <w:r w:rsidR="00EC577F">
        <w:rPr>
          <w:rFonts w:ascii="Arial" w:hAnsi="Arial" w:cs="Arial"/>
          <w:color w:val="000000"/>
          <w:lang w:eastAsia="lt-LT"/>
        </w:rPr>
        <w:t xml:space="preserve"> </w:t>
      </w:r>
      <w:r>
        <w:rPr>
          <w:rFonts w:ascii="Arial" w:hAnsi="Arial" w:cs="Arial"/>
          <w:color w:val="000000"/>
          <w:lang w:eastAsia="lt-LT"/>
        </w:rPr>
        <w:t>Teisėjų tarybos nutarimu patvirtintu Teisėjų tarybos nuolatinių komitetų darbo tvarkos aprašu.</w:t>
      </w:r>
    </w:p>
    <w:p w14:paraId="6429AA1F" w14:textId="1A929DAD" w:rsidR="00EC577F" w:rsidRDefault="00EC577F" w:rsidP="00834F37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</w:p>
    <w:p w14:paraId="66F63B77" w14:textId="77777777" w:rsidR="00C70A23" w:rsidRPr="007C7491" w:rsidRDefault="00C70A23" w:rsidP="00E4076C">
      <w:pPr>
        <w:spacing w:after="5"/>
        <w:jc w:val="both"/>
        <w:rPr>
          <w:rFonts w:ascii="Arial" w:hAnsi="Arial" w:cs="Arial"/>
          <w:color w:val="000000"/>
          <w:lang w:eastAsia="lt-LT"/>
        </w:rPr>
      </w:pPr>
    </w:p>
    <w:tbl>
      <w:tblPr>
        <w:tblW w:w="269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923"/>
        <w:gridCol w:w="7088"/>
        <w:gridCol w:w="7088"/>
        <w:gridCol w:w="2849"/>
      </w:tblGrid>
      <w:tr w:rsidR="00195290" w:rsidRPr="007C7491" w14:paraId="773DCEC4" w14:textId="77777777" w:rsidTr="004A5E02">
        <w:tc>
          <w:tcPr>
            <w:tcW w:w="9923" w:type="dxa"/>
          </w:tcPr>
          <w:p w14:paraId="147CC277" w14:textId="6025C450" w:rsidR="00195290" w:rsidRDefault="00195290" w:rsidP="00CD4A79">
            <w:pPr>
              <w:ind w:firstLine="30"/>
              <w:rPr>
                <w:rFonts w:ascii="Arial" w:hAnsi="Arial" w:cs="Arial"/>
                <w:color w:val="000000"/>
              </w:rPr>
            </w:pPr>
            <w:r w:rsidRPr="007C7491">
              <w:rPr>
                <w:rFonts w:ascii="Arial" w:hAnsi="Arial" w:cs="Arial"/>
                <w:color w:val="000000"/>
              </w:rPr>
              <w:t>Pirminink</w:t>
            </w:r>
            <w:r w:rsidR="00AC2CC0">
              <w:rPr>
                <w:rFonts w:ascii="Arial" w:hAnsi="Arial" w:cs="Arial"/>
                <w:color w:val="000000"/>
              </w:rPr>
              <w:t>o pavaduotojas</w:t>
            </w:r>
            <w:r w:rsidR="004A5E02">
              <w:rPr>
                <w:rFonts w:ascii="Arial" w:hAnsi="Arial" w:cs="Arial"/>
                <w:color w:val="000000"/>
              </w:rPr>
              <w:t xml:space="preserve">                                                                      Nerijus Meilutis                      </w:t>
            </w:r>
          </w:p>
          <w:p w14:paraId="3541C0F4" w14:textId="3F4855EF" w:rsidR="00CD4A79" w:rsidRPr="00CD4A79" w:rsidRDefault="00CD4A79" w:rsidP="00CD4A79">
            <w:pPr>
              <w:ind w:firstLine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</w:tcPr>
          <w:p w14:paraId="36941F17" w14:textId="77777777" w:rsidR="00195290" w:rsidRPr="007C7491" w:rsidRDefault="00195290" w:rsidP="00323CF8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155D2AEA" w14:textId="5F96BF9D" w:rsidR="00195290" w:rsidRPr="007C7491" w:rsidRDefault="00195290" w:rsidP="00FD21F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324409EE" w14:textId="651B7C7C" w:rsidR="00195290" w:rsidRPr="007C7491" w:rsidRDefault="00195290" w:rsidP="00FD21FF">
            <w:pPr>
              <w:pStyle w:val="BodyText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</w:p>
        </w:tc>
      </w:tr>
      <w:tr w:rsidR="00195290" w:rsidRPr="007C7491" w14:paraId="3E1B670A" w14:textId="77777777" w:rsidTr="004A5E02">
        <w:tc>
          <w:tcPr>
            <w:tcW w:w="9923" w:type="dxa"/>
          </w:tcPr>
          <w:p w14:paraId="7CD4E774" w14:textId="7EB6A730" w:rsidR="004A5E02" w:rsidRDefault="004A5E02" w:rsidP="00FD21FF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                                                                                 Ramūnas Gadliauskas</w:t>
            </w:r>
          </w:p>
          <w:p w14:paraId="327CD712" w14:textId="11115FBA" w:rsidR="00195290" w:rsidRPr="007C7491" w:rsidRDefault="004A5E02" w:rsidP="00FD21FF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atliekantis s</w:t>
            </w:r>
            <w:r w:rsidR="00195290" w:rsidRPr="007C7491">
              <w:rPr>
                <w:rFonts w:ascii="Arial" w:hAnsi="Arial" w:cs="Arial"/>
              </w:rPr>
              <w:t>ekretor</w:t>
            </w:r>
            <w:r w:rsidR="00323CF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a</w:t>
            </w:r>
            <w:r w:rsidR="00323CF8"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</w:rPr>
              <w:t xml:space="preserve"> funkcijas                                                         </w:t>
            </w:r>
          </w:p>
        </w:tc>
        <w:tc>
          <w:tcPr>
            <w:tcW w:w="7088" w:type="dxa"/>
          </w:tcPr>
          <w:p w14:paraId="7A538941" w14:textId="2BD22A09" w:rsidR="00195290" w:rsidRPr="007C7491" w:rsidRDefault="00195290" w:rsidP="00FD21F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208A32F6" w14:textId="6B799603" w:rsidR="00195290" w:rsidRPr="007C7491" w:rsidRDefault="00195290" w:rsidP="00FD21F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70D1DD15" w14:textId="4DF3C184" w:rsidR="00195290" w:rsidRPr="007C7491" w:rsidRDefault="00195290" w:rsidP="00FD21FF">
            <w:pPr>
              <w:pStyle w:val="BodyText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</w:p>
        </w:tc>
      </w:tr>
    </w:tbl>
    <w:p w14:paraId="39001DA1" w14:textId="77777777" w:rsidR="009C02D3" w:rsidRPr="007C7491" w:rsidRDefault="009C02D3" w:rsidP="00E4076C">
      <w:pPr>
        <w:spacing w:after="5"/>
        <w:jc w:val="both"/>
        <w:rPr>
          <w:rFonts w:ascii="Arial" w:hAnsi="Arial" w:cs="Arial"/>
          <w:highlight w:val="yellow"/>
        </w:rPr>
      </w:pPr>
    </w:p>
    <w:sectPr w:rsidR="009C02D3" w:rsidRPr="007C7491" w:rsidSect="00426517">
      <w:pgSz w:w="11907" w:h="16840" w:code="9"/>
      <w:pgMar w:top="992" w:right="567" w:bottom="1134" w:left="1560" w:header="794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1B96" w14:textId="77777777" w:rsidR="005D2B68" w:rsidRDefault="005D2B68">
      <w:r>
        <w:separator/>
      </w:r>
    </w:p>
  </w:endnote>
  <w:endnote w:type="continuationSeparator" w:id="0">
    <w:p w14:paraId="6B6BE72C" w14:textId="77777777" w:rsidR="005D2B68" w:rsidRDefault="005D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0ABD" w14:textId="77777777" w:rsidR="005D2B68" w:rsidRDefault="005D2B68">
      <w:r>
        <w:separator/>
      </w:r>
    </w:p>
  </w:footnote>
  <w:footnote w:type="continuationSeparator" w:id="0">
    <w:p w14:paraId="05321B9C" w14:textId="77777777" w:rsidR="005D2B68" w:rsidRDefault="005D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35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57319"/>
    <w:rsid w:val="00064E2D"/>
    <w:rsid w:val="000651CD"/>
    <w:rsid w:val="000676D7"/>
    <w:rsid w:val="0006771B"/>
    <w:rsid w:val="00071FB9"/>
    <w:rsid w:val="00074959"/>
    <w:rsid w:val="00077314"/>
    <w:rsid w:val="00080A33"/>
    <w:rsid w:val="0008186C"/>
    <w:rsid w:val="00082983"/>
    <w:rsid w:val="000851A5"/>
    <w:rsid w:val="00085487"/>
    <w:rsid w:val="00085724"/>
    <w:rsid w:val="00085E1A"/>
    <w:rsid w:val="00090B80"/>
    <w:rsid w:val="00093963"/>
    <w:rsid w:val="00094EED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D7EAC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2E54"/>
    <w:rsid w:val="00103610"/>
    <w:rsid w:val="001127C3"/>
    <w:rsid w:val="0011319F"/>
    <w:rsid w:val="0011566E"/>
    <w:rsid w:val="00117DE8"/>
    <w:rsid w:val="00120CB4"/>
    <w:rsid w:val="00120F2E"/>
    <w:rsid w:val="001211EB"/>
    <w:rsid w:val="001222E9"/>
    <w:rsid w:val="001244F5"/>
    <w:rsid w:val="001272D9"/>
    <w:rsid w:val="001309D5"/>
    <w:rsid w:val="001319AB"/>
    <w:rsid w:val="001330E3"/>
    <w:rsid w:val="00134429"/>
    <w:rsid w:val="00135E78"/>
    <w:rsid w:val="001365F2"/>
    <w:rsid w:val="00136B3B"/>
    <w:rsid w:val="00140DF8"/>
    <w:rsid w:val="00144D88"/>
    <w:rsid w:val="00147BE0"/>
    <w:rsid w:val="00147E54"/>
    <w:rsid w:val="00147ECE"/>
    <w:rsid w:val="00154022"/>
    <w:rsid w:val="001641A4"/>
    <w:rsid w:val="001642EF"/>
    <w:rsid w:val="00165A16"/>
    <w:rsid w:val="00167A6D"/>
    <w:rsid w:val="0017006E"/>
    <w:rsid w:val="001725D8"/>
    <w:rsid w:val="00176640"/>
    <w:rsid w:val="00177944"/>
    <w:rsid w:val="00180482"/>
    <w:rsid w:val="001805AC"/>
    <w:rsid w:val="00180FE1"/>
    <w:rsid w:val="00181952"/>
    <w:rsid w:val="0018374A"/>
    <w:rsid w:val="001857B5"/>
    <w:rsid w:val="001869ED"/>
    <w:rsid w:val="00186EC8"/>
    <w:rsid w:val="001928B6"/>
    <w:rsid w:val="00192BA9"/>
    <w:rsid w:val="00193ECF"/>
    <w:rsid w:val="00193F00"/>
    <w:rsid w:val="0019442C"/>
    <w:rsid w:val="00195290"/>
    <w:rsid w:val="00195660"/>
    <w:rsid w:val="001A243D"/>
    <w:rsid w:val="001A2B21"/>
    <w:rsid w:val="001A3D99"/>
    <w:rsid w:val="001A5067"/>
    <w:rsid w:val="001B17C9"/>
    <w:rsid w:val="001B4B59"/>
    <w:rsid w:val="001C2E3B"/>
    <w:rsid w:val="001C3221"/>
    <w:rsid w:val="001C5CE5"/>
    <w:rsid w:val="001C73F5"/>
    <w:rsid w:val="001C77FE"/>
    <w:rsid w:val="001C78CC"/>
    <w:rsid w:val="001C7B44"/>
    <w:rsid w:val="001D057C"/>
    <w:rsid w:val="001D1B25"/>
    <w:rsid w:val="001D3EFE"/>
    <w:rsid w:val="001D4563"/>
    <w:rsid w:val="001D582E"/>
    <w:rsid w:val="001D7238"/>
    <w:rsid w:val="001E084F"/>
    <w:rsid w:val="001E1F73"/>
    <w:rsid w:val="001E4536"/>
    <w:rsid w:val="001E565D"/>
    <w:rsid w:val="001E75B5"/>
    <w:rsid w:val="001E7C29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38BF"/>
    <w:rsid w:val="00215985"/>
    <w:rsid w:val="002166C3"/>
    <w:rsid w:val="0022052E"/>
    <w:rsid w:val="00221DBC"/>
    <w:rsid w:val="0022334A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D86"/>
    <w:rsid w:val="00266E63"/>
    <w:rsid w:val="0026782E"/>
    <w:rsid w:val="002738E0"/>
    <w:rsid w:val="00274B65"/>
    <w:rsid w:val="00275217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466"/>
    <w:rsid w:val="00294FF2"/>
    <w:rsid w:val="0029551A"/>
    <w:rsid w:val="0029594C"/>
    <w:rsid w:val="002A039F"/>
    <w:rsid w:val="002A3E0B"/>
    <w:rsid w:val="002A4AF1"/>
    <w:rsid w:val="002B28E3"/>
    <w:rsid w:val="002B6C91"/>
    <w:rsid w:val="002C372B"/>
    <w:rsid w:val="002C5A85"/>
    <w:rsid w:val="002C6192"/>
    <w:rsid w:val="002C6EF3"/>
    <w:rsid w:val="002D2D4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3CF8"/>
    <w:rsid w:val="003257A5"/>
    <w:rsid w:val="003304CB"/>
    <w:rsid w:val="00330AB6"/>
    <w:rsid w:val="0033361D"/>
    <w:rsid w:val="00335535"/>
    <w:rsid w:val="00336F95"/>
    <w:rsid w:val="003421F7"/>
    <w:rsid w:val="00343598"/>
    <w:rsid w:val="003504A6"/>
    <w:rsid w:val="003518EA"/>
    <w:rsid w:val="00354580"/>
    <w:rsid w:val="00360DB7"/>
    <w:rsid w:val="00363B07"/>
    <w:rsid w:val="00365C0E"/>
    <w:rsid w:val="00367442"/>
    <w:rsid w:val="00370906"/>
    <w:rsid w:val="00370B4C"/>
    <w:rsid w:val="00372472"/>
    <w:rsid w:val="003738F6"/>
    <w:rsid w:val="0037461C"/>
    <w:rsid w:val="0037491E"/>
    <w:rsid w:val="003754E1"/>
    <w:rsid w:val="00375E02"/>
    <w:rsid w:val="00375FA8"/>
    <w:rsid w:val="00376826"/>
    <w:rsid w:val="00384929"/>
    <w:rsid w:val="00391CE1"/>
    <w:rsid w:val="00396B0D"/>
    <w:rsid w:val="00396C0B"/>
    <w:rsid w:val="003A1FC7"/>
    <w:rsid w:val="003A2CF0"/>
    <w:rsid w:val="003A3AA1"/>
    <w:rsid w:val="003A422E"/>
    <w:rsid w:val="003B241A"/>
    <w:rsid w:val="003B5C27"/>
    <w:rsid w:val="003B6473"/>
    <w:rsid w:val="003B743F"/>
    <w:rsid w:val="003B7F30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66E"/>
    <w:rsid w:val="003F32A4"/>
    <w:rsid w:val="003F4C22"/>
    <w:rsid w:val="003F5A95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01CC"/>
    <w:rsid w:val="00411737"/>
    <w:rsid w:val="00412FFB"/>
    <w:rsid w:val="00413721"/>
    <w:rsid w:val="0041733B"/>
    <w:rsid w:val="004174BA"/>
    <w:rsid w:val="00420757"/>
    <w:rsid w:val="00420960"/>
    <w:rsid w:val="004214CC"/>
    <w:rsid w:val="0042420B"/>
    <w:rsid w:val="00424BCD"/>
    <w:rsid w:val="00426517"/>
    <w:rsid w:val="004276AC"/>
    <w:rsid w:val="0043438D"/>
    <w:rsid w:val="004351BF"/>
    <w:rsid w:val="0043680A"/>
    <w:rsid w:val="00441293"/>
    <w:rsid w:val="004426B2"/>
    <w:rsid w:val="00445A71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1A5"/>
    <w:rsid w:val="004908D2"/>
    <w:rsid w:val="00490C2D"/>
    <w:rsid w:val="00491D9D"/>
    <w:rsid w:val="00492179"/>
    <w:rsid w:val="00492B56"/>
    <w:rsid w:val="00493C1D"/>
    <w:rsid w:val="004A5E02"/>
    <w:rsid w:val="004A5ED2"/>
    <w:rsid w:val="004A6CBD"/>
    <w:rsid w:val="004B6E3F"/>
    <w:rsid w:val="004B6F0A"/>
    <w:rsid w:val="004C2E6A"/>
    <w:rsid w:val="004C2FD7"/>
    <w:rsid w:val="004C3B53"/>
    <w:rsid w:val="004C539B"/>
    <w:rsid w:val="004C5CCD"/>
    <w:rsid w:val="004D5DAC"/>
    <w:rsid w:val="004D7442"/>
    <w:rsid w:val="004D752C"/>
    <w:rsid w:val="004E4B36"/>
    <w:rsid w:val="004E5A52"/>
    <w:rsid w:val="004E5CDC"/>
    <w:rsid w:val="004F042A"/>
    <w:rsid w:val="004F24B4"/>
    <w:rsid w:val="004F27CC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06BE6"/>
    <w:rsid w:val="00523F7D"/>
    <w:rsid w:val="00525BF0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501"/>
    <w:rsid w:val="00563DB8"/>
    <w:rsid w:val="00574C90"/>
    <w:rsid w:val="00581157"/>
    <w:rsid w:val="00581281"/>
    <w:rsid w:val="00581F73"/>
    <w:rsid w:val="00585CD0"/>
    <w:rsid w:val="00587D29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2B68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06A9B"/>
    <w:rsid w:val="006135E6"/>
    <w:rsid w:val="00613B55"/>
    <w:rsid w:val="00614794"/>
    <w:rsid w:val="00617B9F"/>
    <w:rsid w:val="00620CA0"/>
    <w:rsid w:val="0062171B"/>
    <w:rsid w:val="00624424"/>
    <w:rsid w:val="00624689"/>
    <w:rsid w:val="006260F4"/>
    <w:rsid w:val="006271F6"/>
    <w:rsid w:val="006302FA"/>
    <w:rsid w:val="00630D34"/>
    <w:rsid w:val="00633232"/>
    <w:rsid w:val="0063342D"/>
    <w:rsid w:val="00633B57"/>
    <w:rsid w:val="006355AF"/>
    <w:rsid w:val="00635BC1"/>
    <w:rsid w:val="00637205"/>
    <w:rsid w:val="00637359"/>
    <w:rsid w:val="006414A3"/>
    <w:rsid w:val="006428D6"/>
    <w:rsid w:val="0064318F"/>
    <w:rsid w:val="0064624F"/>
    <w:rsid w:val="00646CDC"/>
    <w:rsid w:val="00647B9D"/>
    <w:rsid w:val="006527CE"/>
    <w:rsid w:val="00657F6E"/>
    <w:rsid w:val="00660000"/>
    <w:rsid w:val="00660AB7"/>
    <w:rsid w:val="00661129"/>
    <w:rsid w:val="00661740"/>
    <w:rsid w:val="0066395D"/>
    <w:rsid w:val="00665E9A"/>
    <w:rsid w:val="00666CF3"/>
    <w:rsid w:val="00667EE8"/>
    <w:rsid w:val="00672CB4"/>
    <w:rsid w:val="006735A7"/>
    <w:rsid w:val="00673D3E"/>
    <w:rsid w:val="00674180"/>
    <w:rsid w:val="00681B2B"/>
    <w:rsid w:val="00682089"/>
    <w:rsid w:val="0068468B"/>
    <w:rsid w:val="006863EA"/>
    <w:rsid w:val="00693712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B6006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146B3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1B38"/>
    <w:rsid w:val="00742661"/>
    <w:rsid w:val="00742A5A"/>
    <w:rsid w:val="0074348A"/>
    <w:rsid w:val="00751D96"/>
    <w:rsid w:val="00753FCE"/>
    <w:rsid w:val="00754B08"/>
    <w:rsid w:val="00763F03"/>
    <w:rsid w:val="00764F65"/>
    <w:rsid w:val="00767AA3"/>
    <w:rsid w:val="0077170B"/>
    <w:rsid w:val="0077430B"/>
    <w:rsid w:val="007857FD"/>
    <w:rsid w:val="007859F4"/>
    <w:rsid w:val="00791BAF"/>
    <w:rsid w:val="00792739"/>
    <w:rsid w:val="00792B59"/>
    <w:rsid w:val="007950AB"/>
    <w:rsid w:val="00796952"/>
    <w:rsid w:val="007973BA"/>
    <w:rsid w:val="00797631"/>
    <w:rsid w:val="007A1EE7"/>
    <w:rsid w:val="007A2589"/>
    <w:rsid w:val="007A3CD1"/>
    <w:rsid w:val="007A40AF"/>
    <w:rsid w:val="007A51D8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491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1A1D"/>
    <w:rsid w:val="007E2B0B"/>
    <w:rsid w:val="007E56EE"/>
    <w:rsid w:val="007E73EF"/>
    <w:rsid w:val="007F0F0D"/>
    <w:rsid w:val="007F544B"/>
    <w:rsid w:val="00800C87"/>
    <w:rsid w:val="008022A4"/>
    <w:rsid w:val="00802417"/>
    <w:rsid w:val="00803155"/>
    <w:rsid w:val="00804824"/>
    <w:rsid w:val="00804A77"/>
    <w:rsid w:val="008126BB"/>
    <w:rsid w:val="00814655"/>
    <w:rsid w:val="00816D17"/>
    <w:rsid w:val="00817308"/>
    <w:rsid w:val="00817AF3"/>
    <w:rsid w:val="00821D1F"/>
    <w:rsid w:val="00824BD9"/>
    <w:rsid w:val="0082568C"/>
    <w:rsid w:val="00827FB9"/>
    <w:rsid w:val="0083061B"/>
    <w:rsid w:val="0083112B"/>
    <w:rsid w:val="008313DE"/>
    <w:rsid w:val="00834683"/>
    <w:rsid w:val="00834F37"/>
    <w:rsid w:val="0083583E"/>
    <w:rsid w:val="00840658"/>
    <w:rsid w:val="00841AA2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2B7C"/>
    <w:rsid w:val="00875D48"/>
    <w:rsid w:val="008763A2"/>
    <w:rsid w:val="00876661"/>
    <w:rsid w:val="008821ED"/>
    <w:rsid w:val="00883D3C"/>
    <w:rsid w:val="00884216"/>
    <w:rsid w:val="0088647C"/>
    <w:rsid w:val="00886A31"/>
    <w:rsid w:val="0088710C"/>
    <w:rsid w:val="00891D27"/>
    <w:rsid w:val="00893069"/>
    <w:rsid w:val="008939D4"/>
    <w:rsid w:val="00895770"/>
    <w:rsid w:val="00896C55"/>
    <w:rsid w:val="008A0789"/>
    <w:rsid w:val="008A244A"/>
    <w:rsid w:val="008A68AB"/>
    <w:rsid w:val="008A72C9"/>
    <w:rsid w:val="008B1C3B"/>
    <w:rsid w:val="008B1EE5"/>
    <w:rsid w:val="008B2431"/>
    <w:rsid w:val="008B27DB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137F"/>
    <w:rsid w:val="00923015"/>
    <w:rsid w:val="009248BB"/>
    <w:rsid w:val="00925884"/>
    <w:rsid w:val="00926677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3B3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AA9"/>
    <w:rsid w:val="00966CFA"/>
    <w:rsid w:val="00966D63"/>
    <w:rsid w:val="00967081"/>
    <w:rsid w:val="009721DB"/>
    <w:rsid w:val="00973DAC"/>
    <w:rsid w:val="00974D24"/>
    <w:rsid w:val="00981E6C"/>
    <w:rsid w:val="0098228E"/>
    <w:rsid w:val="00984C48"/>
    <w:rsid w:val="00984EB5"/>
    <w:rsid w:val="009859BF"/>
    <w:rsid w:val="009873E9"/>
    <w:rsid w:val="0098766C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E78BD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05E24"/>
    <w:rsid w:val="00A10036"/>
    <w:rsid w:val="00A104A0"/>
    <w:rsid w:val="00A11E05"/>
    <w:rsid w:val="00A132E3"/>
    <w:rsid w:val="00A148F4"/>
    <w:rsid w:val="00A14BEF"/>
    <w:rsid w:val="00A163F0"/>
    <w:rsid w:val="00A200CB"/>
    <w:rsid w:val="00A2131E"/>
    <w:rsid w:val="00A2733C"/>
    <w:rsid w:val="00A27C87"/>
    <w:rsid w:val="00A305F1"/>
    <w:rsid w:val="00A30830"/>
    <w:rsid w:val="00A319DF"/>
    <w:rsid w:val="00A320B3"/>
    <w:rsid w:val="00A32E0D"/>
    <w:rsid w:val="00A3506E"/>
    <w:rsid w:val="00A363A0"/>
    <w:rsid w:val="00A3701E"/>
    <w:rsid w:val="00A37382"/>
    <w:rsid w:val="00A416EF"/>
    <w:rsid w:val="00A445D4"/>
    <w:rsid w:val="00A465E3"/>
    <w:rsid w:val="00A46E6D"/>
    <w:rsid w:val="00A50202"/>
    <w:rsid w:val="00A50774"/>
    <w:rsid w:val="00A51F2F"/>
    <w:rsid w:val="00A5283D"/>
    <w:rsid w:val="00A52888"/>
    <w:rsid w:val="00A55E1A"/>
    <w:rsid w:val="00A57933"/>
    <w:rsid w:val="00A61312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52C4"/>
    <w:rsid w:val="00A9673B"/>
    <w:rsid w:val="00AA0BCF"/>
    <w:rsid w:val="00AA0EA5"/>
    <w:rsid w:val="00AA109B"/>
    <w:rsid w:val="00AA3226"/>
    <w:rsid w:val="00AA7CAC"/>
    <w:rsid w:val="00AB0B62"/>
    <w:rsid w:val="00AB22B7"/>
    <w:rsid w:val="00AB2877"/>
    <w:rsid w:val="00AB29D0"/>
    <w:rsid w:val="00AB3D66"/>
    <w:rsid w:val="00AB44AB"/>
    <w:rsid w:val="00AB74C4"/>
    <w:rsid w:val="00AB794E"/>
    <w:rsid w:val="00AC0E50"/>
    <w:rsid w:val="00AC200C"/>
    <w:rsid w:val="00AC2CC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56F1F"/>
    <w:rsid w:val="00B60467"/>
    <w:rsid w:val="00B60A1D"/>
    <w:rsid w:val="00B60FF2"/>
    <w:rsid w:val="00B65D35"/>
    <w:rsid w:val="00B67039"/>
    <w:rsid w:val="00B70FF3"/>
    <w:rsid w:val="00B71882"/>
    <w:rsid w:val="00B71A0E"/>
    <w:rsid w:val="00B71BD0"/>
    <w:rsid w:val="00B74EF3"/>
    <w:rsid w:val="00B75B2F"/>
    <w:rsid w:val="00B77413"/>
    <w:rsid w:val="00B80863"/>
    <w:rsid w:val="00B815A8"/>
    <w:rsid w:val="00B863FC"/>
    <w:rsid w:val="00B90E7C"/>
    <w:rsid w:val="00B93832"/>
    <w:rsid w:val="00B96014"/>
    <w:rsid w:val="00B9769E"/>
    <w:rsid w:val="00BA39A4"/>
    <w:rsid w:val="00BA5C67"/>
    <w:rsid w:val="00BA74F2"/>
    <w:rsid w:val="00BB1DDC"/>
    <w:rsid w:val="00BB255A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4192"/>
    <w:rsid w:val="00BE530A"/>
    <w:rsid w:val="00BF471F"/>
    <w:rsid w:val="00BF47C2"/>
    <w:rsid w:val="00BF702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272C"/>
    <w:rsid w:val="00C137A1"/>
    <w:rsid w:val="00C1692B"/>
    <w:rsid w:val="00C16E40"/>
    <w:rsid w:val="00C171EF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1D2B"/>
    <w:rsid w:val="00C628F6"/>
    <w:rsid w:val="00C63E35"/>
    <w:rsid w:val="00C649F6"/>
    <w:rsid w:val="00C64C81"/>
    <w:rsid w:val="00C64DE9"/>
    <w:rsid w:val="00C65AC6"/>
    <w:rsid w:val="00C66E96"/>
    <w:rsid w:val="00C70A23"/>
    <w:rsid w:val="00C719C1"/>
    <w:rsid w:val="00C75CF6"/>
    <w:rsid w:val="00C764B9"/>
    <w:rsid w:val="00C80F19"/>
    <w:rsid w:val="00C825AC"/>
    <w:rsid w:val="00C83ED1"/>
    <w:rsid w:val="00C84747"/>
    <w:rsid w:val="00C8563D"/>
    <w:rsid w:val="00C86495"/>
    <w:rsid w:val="00C864FA"/>
    <w:rsid w:val="00C93CDC"/>
    <w:rsid w:val="00C9523F"/>
    <w:rsid w:val="00C968A2"/>
    <w:rsid w:val="00C968CE"/>
    <w:rsid w:val="00C97037"/>
    <w:rsid w:val="00C97AD0"/>
    <w:rsid w:val="00CA2D4E"/>
    <w:rsid w:val="00CA357A"/>
    <w:rsid w:val="00CA44B1"/>
    <w:rsid w:val="00CA56CE"/>
    <w:rsid w:val="00CA5766"/>
    <w:rsid w:val="00CA5888"/>
    <w:rsid w:val="00CA5D0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27"/>
    <w:rsid w:val="00CC40E8"/>
    <w:rsid w:val="00CC441B"/>
    <w:rsid w:val="00CC501B"/>
    <w:rsid w:val="00CC5CA0"/>
    <w:rsid w:val="00CC62AA"/>
    <w:rsid w:val="00CD245D"/>
    <w:rsid w:val="00CD24AB"/>
    <w:rsid w:val="00CD3CEA"/>
    <w:rsid w:val="00CD4A79"/>
    <w:rsid w:val="00CE0C3F"/>
    <w:rsid w:val="00CE39B7"/>
    <w:rsid w:val="00CE427F"/>
    <w:rsid w:val="00CF0D85"/>
    <w:rsid w:val="00CF242D"/>
    <w:rsid w:val="00CF5EEA"/>
    <w:rsid w:val="00CF6EA9"/>
    <w:rsid w:val="00CF7928"/>
    <w:rsid w:val="00D00DE5"/>
    <w:rsid w:val="00D026C9"/>
    <w:rsid w:val="00D03810"/>
    <w:rsid w:val="00D0623C"/>
    <w:rsid w:val="00D06FBC"/>
    <w:rsid w:val="00D072C6"/>
    <w:rsid w:val="00D1017B"/>
    <w:rsid w:val="00D10A5B"/>
    <w:rsid w:val="00D144B9"/>
    <w:rsid w:val="00D160AE"/>
    <w:rsid w:val="00D17008"/>
    <w:rsid w:val="00D2318E"/>
    <w:rsid w:val="00D23EB9"/>
    <w:rsid w:val="00D24CEC"/>
    <w:rsid w:val="00D26322"/>
    <w:rsid w:val="00D27C2E"/>
    <w:rsid w:val="00D3448A"/>
    <w:rsid w:val="00D36AC3"/>
    <w:rsid w:val="00D376F8"/>
    <w:rsid w:val="00D403D5"/>
    <w:rsid w:val="00D4076D"/>
    <w:rsid w:val="00D40B66"/>
    <w:rsid w:val="00D40F7D"/>
    <w:rsid w:val="00D43E89"/>
    <w:rsid w:val="00D447E6"/>
    <w:rsid w:val="00D44ED9"/>
    <w:rsid w:val="00D4624B"/>
    <w:rsid w:val="00D46A0E"/>
    <w:rsid w:val="00D46C68"/>
    <w:rsid w:val="00D5043D"/>
    <w:rsid w:val="00D5090D"/>
    <w:rsid w:val="00D51CD2"/>
    <w:rsid w:val="00D5296D"/>
    <w:rsid w:val="00D5348E"/>
    <w:rsid w:val="00D53E72"/>
    <w:rsid w:val="00D54251"/>
    <w:rsid w:val="00D5556A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1D3A"/>
    <w:rsid w:val="00D82FF6"/>
    <w:rsid w:val="00D83CEA"/>
    <w:rsid w:val="00D83EF0"/>
    <w:rsid w:val="00D84DF8"/>
    <w:rsid w:val="00D85631"/>
    <w:rsid w:val="00D85864"/>
    <w:rsid w:val="00DA3665"/>
    <w:rsid w:val="00DA4DCD"/>
    <w:rsid w:val="00DB1622"/>
    <w:rsid w:val="00DB2E99"/>
    <w:rsid w:val="00DB3F66"/>
    <w:rsid w:val="00DB6402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6889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3255"/>
    <w:rsid w:val="00E15021"/>
    <w:rsid w:val="00E17201"/>
    <w:rsid w:val="00E17824"/>
    <w:rsid w:val="00E20E82"/>
    <w:rsid w:val="00E2134E"/>
    <w:rsid w:val="00E2381A"/>
    <w:rsid w:val="00E30731"/>
    <w:rsid w:val="00E35D42"/>
    <w:rsid w:val="00E40190"/>
    <w:rsid w:val="00E4076C"/>
    <w:rsid w:val="00E40885"/>
    <w:rsid w:val="00E40A7E"/>
    <w:rsid w:val="00E41FC3"/>
    <w:rsid w:val="00E422AB"/>
    <w:rsid w:val="00E45F02"/>
    <w:rsid w:val="00E464D7"/>
    <w:rsid w:val="00E4744A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134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4981"/>
    <w:rsid w:val="00EB595C"/>
    <w:rsid w:val="00EC25A2"/>
    <w:rsid w:val="00EC51A1"/>
    <w:rsid w:val="00EC51B8"/>
    <w:rsid w:val="00EC577F"/>
    <w:rsid w:val="00EC6B57"/>
    <w:rsid w:val="00EC6C0E"/>
    <w:rsid w:val="00EC7C9A"/>
    <w:rsid w:val="00ED34E5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1A6C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2CF5"/>
    <w:rsid w:val="00F72F79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4BA6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B72A1"/>
    <w:rsid w:val="00FC0564"/>
    <w:rsid w:val="00FC1ACB"/>
    <w:rsid w:val="00FC27D6"/>
    <w:rsid w:val="00FC403E"/>
    <w:rsid w:val="00FC4F87"/>
    <w:rsid w:val="00FC5763"/>
    <w:rsid w:val="00FC6603"/>
    <w:rsid w:val="00FC79BC"/>
    <w:rsid w:val="00FC7ABF"/>
    <w:rsid w:val="00FD0D03"/>
    <w:rsid w:val="00FD21FF"/>
    <w:rsid w:val="00FD6173"/>
    <w:rsid w:val="00FE0D5F"/>
    <w:rsid w:val="00FE22C7"/>
    <w:rsid w:val="00FE3C9A"/>
    <w:rsid w:val="00FE457D"/>
    <w:rsid w:val="00FE4C57"/>
    <w:rsid w:val="00FF1FFD"/>
    <w:rsid w:val="00FF27C6"/>
    <w:rsid w:val="00FF2DF8"/>
    <w:rsid w:val="00FF3591"/>
    <w:rsid w:val="00FF3A5B"/>
    <w:rsid w:val="00FF3ABB"/>
    <w:rsid w:val="00FF411A"/>
    <w:rsid w:val="00FF4607"/>
    <w:rsid w:val="00FF52BB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link w:val="BodyTextChar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BodyTextChar">
    <w:name w:val="Body Text Char"/>
    <w:basedOn w:val="DefaultParagraphFont"/>
    <w:link w:val="BodyText"/>
    <w:rsid w:val="00895770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rsid w:val="00F04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B7A79"/>
    <w:pPr>
      <w:ind w:left="720"/>
      <w:contextualSpacing/>
    </w:pPr>
  </w:style>
  <w:style w:type="character" w:styleId="CommentReference">
    <w:name w:val="annotation reference"/>
    <w:basedOn w:val="DefaultParagraphFont"/>
    <w:rsid w:val="009C02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02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0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3E70-A23D-41C0-9A4B-83E78B40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9</cp:revision>
  <cp:lastPrinted>2025-05-28T12:08:00Z</cp:lastPrinted>
  <dcterms:created xsi:type="dcterms:W3CDTF">2026-02-24T12:22:00Z</dcterms:created>
  <dcterms:modified xsi:type="dcterms:W3CDTF">2026-03-02T10:48:00Z</dcterms:modified>
</cp:coreProperties>
</file>