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15F9" w14:textId="77777777" w:rsidR="00CE291B" w:rsidRDefault="00CE291B" w:rsidP="00CE291B">
      <w:pPr>
        <w:shd w:val="clear" w:color="auto" w:fill="FFFFFF"/>
        <w:spacing w:before="100" w:beforeAutospacing="1" w:after="100" w:afterAutospacing="1" w:line="240" w:lineRule="auto"/>
        <w:jc w:val="center"/>
        <w:textAlignment w:val="top"/>
        <w:rPr>
          <w:rFonts w:ascii="Arial" w:eastAsia="Times New Roman" w:hAnsi="Arial" w:cs="Arial"/>
          <w:b/>
          <w:bCs/>
          <w:color w:val="000000"/>
          <w:sz w:val="24"/>
          <w:szCs w:val="24"/>
          <w:lang w:eastAsia="lt-LT"/>
        </w:rPr>
      </w:pPr>
      <w:r>
        <w:rPr>
          <w:rFonts w:ascii="Arial" w:eastAsia="Times New Roman" w:hAnsi="Arial" w:cs="Arial"/>
          <w:b/>
          <w:bCs/>
          <w:noProof/>
          <w:color w:val="000000"/>
          <w:sz w:val="24"/>
          <w:szCs w:val="24"/>
          <w:lang w:eastAsia="lt-LT"/>
        </w:rPr>
        <mc:AlternateContent>
          <mc:Choice Requires="wps">
            <w:drawing>
              <wp:anchor distT="0" distB="0" distL="114300" distR="114300" simplePos="0" relativeHeight="251659264" behindDoc="0" locked="0" layoutInCell="1" allowOverlap="1" wp14:anchorId="5C5BA8FB" wp14:editId="436E8AC9">
                <wp:simplePos x="0" y="0"/>
                <wp:positionH relativeFrom="column">
                  <wp:posOffset>40999</wp:posOffset>
                </wp:positionH>
                <wp:positionV relativeFrom="paragraph">
                  <wp:posOffset>-308858</wp:posOffset>
                </wp:positionV>
                <wp:extent cx="5740400" cy="508773"/>
                <wp:effectExtent l="57150" t="38100" r="69850" b="100965"/>
                <wp:wrapNone/>
                <wp:docPr id="1" name="Suapvalintas stačiakampis 1"/>
                <wp:cNvGraphicFramePr/>
                <a:graphic xmlns:a="http://schemas.openxmlformats.org/drawingml/2006/main">
                  <a:graphicData uri="http://schemas.microsoft.com/office/word/2010/wordprocessingShape">
                    <wps:wsp>
                      <wps:cNvSpPr/>
                      <wps:spPr>
                        <a:xfrm>
                          <a:off x="0" y="0"/>
                          <a:ext cx="5740400" cy="508773"/>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1D4F64E5" w14:textId="77777777" w:rsidR="00CE291B" w:rsidRDefault="00CE291B" w:rsidP="00CE291B">
                            <w:pPr>
                              <w:jc w:val="center"/>
                            </w:pPr>
                            <w:r w:rsidRPr="00AD3DA6">
                              <w:rPr>
                                <w:rFonts w:ascii="Arial" w:eastAsia="Times New Roman" w:hAnsi="Arial" w:cs="Arial"/>
                                <w:b/>
                                <w:bCs/>
                                <w:color w:val="000000"/>
                                <w:sz w:val="24"/>
                                <w:szCs w:val="24"/>
                                <w:lang w:eastAsia="lt-LT"/>
                              </w:rPr>
                              <w:t>Europos teisminis tinklas (ETT) baudžiamosiose</w:t>
                            </w:r>
                            <w:r w:rsidRPr="00CE291B">
                              <w:rPr>
                                <w:rFonts w:ascii="Arial" w:eastAsia="Times New Roman" w:hAnsi="Arial" w:cs="Arial"/>
                                <w:b/>
                                <w:bCs/>
                                <w:color w:val="000000"/>
                                <w:sz w:val="24"/>
                                <w:szCs w:val="24"/>
                                <w:lang w:eastAsia="lt-LT"/>
                              </w:rPr>
                              <w:t xml:space="preserve"> </w:t>
                            </w:r>
                            <w:r w:rsidRPr="00AD3DA6">
                              <w:rPr>
                                <w:rFonts w:ascii="Arial" w:eastAsia="Times New Roman" w:hAnsi="Arial" w:cs="Arial"/>
                                <w:b/>
                                <w:bCs/>
                                <w:color w:val="000000"/>
                                <w:sz w:val="24"/>
                                <w:szCs w:val="24"/>
                                <w:lang w:eastAsia="lt-LT"/>
                              </w:rPr>
                              <w:t>bylose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5BA8FB" id="Suapvalintas stačiakampis 1" o:spid="_x0000_s1026" style="position:absolute;left:0;text-align:left;margin-left:3.25pt;margin-top:-24.3pt;width:452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GDUQIAAAAFAAAOAAAAZHJzL2Uyb0RvYy54bWysVN9P2zAQfp+0/8Hy+0jaFQpVU1SBmCYh&#10;qICJZ9exaTTH553dJt1fv7OThoohbZr24px9v7/7LvPLtjZsp9BXYAs+Osk5U1ZCWdmXgn97uvl0&#10;zpkPwpbCgFUF3yvPLxcfP8wbN1Nj2IApFTIKYv2scQXfhOBmWeblRtXCn4BTlpQasBaBrviSlSga&#10;il6bbJznZ1kDWDoEqbyn1+tOyRcpvtZKhnutvQrMFJxqC+nEdK7jmS3mYvaCwm0q2Zch/qGKWlSW&#10;kg6hrkUQbIvVb6HqSiJ40OFEQp2B1pVUqQfqZpS/6eZxI5xKvRA43g0w+f8XVt7tHt0KCYbG+Zkn&#10;MXbRaqzjl+pjbQJrP4Cl2sAkPZ5OJ/kkJ0wl6U7z8+n0c0Qze/V26MMXBTWLQsERtrZ8oIkkoMTu&#10;1ofO/mBHzq9FJCnsjYp1GPugNKtKSjtK3okf6sog2wmarJBS2XDW50/W0U1XxgyO4z879vbRVSXu&#10;DM5/kXXwSJnBhsG5rizge9nL76O+ZN3ZHxDo+o4QhHbd9sNZQ7lfIUPoSOydvKkI2Fvhw0ogsZZm&#10;QZsY7unQBpqCQy9xtgH8+d57tCcykZazhrag4P7HVqDizHy1RLOL0WQS1yZdJqfTMV3wWLM+1tht&#10;fQU0jhHtvJNJjPbBHESNUD/Twi5jVlIJKyl3wWXAw+UqdNtJKy/VcpnMaFWcCLf20ckDASJnntpn&#10;ga5nVyBe3sFhY8TsDb862zgaC8ttAF0l8kWIO1x76GnNEof7X0Lc4+N7snr9cS1+AQAA//8DAFBL&#10;AwQUAAYACAAAACEAdLWDHt8AAAAIAQAADwAAAGRycy9kb3ducmV2LnhtbEyPwU7DMBBE70j8g7VI&#10;XFDrBGjUptlUFQgJ0UuaIs5ubJLQeB3FThv+nuUEx9kZzbzNNpPtxNkMvnWEEM8jEIYqp1uqEd4P&#10;L7MlCB8UadU5MgjfxsMmv77KVKrdhfbmXIZacAn5VCE0IfSplL5qjFV+7npD7H26warAcqilHtSF&#10;y20n76MokVa1xAuN6s1TY6pTOVqE4u5NHl79OH7IL1/snstiT6ct4u3NtF2DCGYKf2H4xWd0yJnp&#10;6EbSXnQIyYKDCLPHZQKC/VUc8eWI8BAvQOaZ/P9A/gMAAP//AwBQSwECLQAUAAYACAAAACEAtoM4&#10;kv4AAADhAQAAEwAAAAAAAAAAAAAAAAAAAAAAW0NvbnRlbnRfVHlwZXNdLnhtbFBLAQItABQABgAI&#10;AAAAIQA4/SH/1gAAAJQBAAALAAAAAAAAAAAAAAAAAC8BAABfcmVscy8ucmVsc1BLAQItABQABgAI&#10;AAAAIQBjy4GDUQIAAAAFAAAOAAAAAAAAAAAAAAAAAC4CAABkcnMvZTJvRG9jLnhtbFBLAQItABQA&#10;BgAIAAAAIQB0tYMe3wAAAAgBAAAPAAAAAAAAAAAAAAAAAKsEAABkcnMvZG93bnJldi54bWxQSwUG&#10;AAAAAAQABADzAAAAtwUAAAAA&#10;" fillcolor="#fbcaa2 [1625]" strokecolor="#f68c36 [3049]">
                <v:fill color2="#fdefe3 [505]" rotate="t" angle="180" colors="0 #ffbe86;22938f #ffd0aa;1 #ffebdb" focus="100%" type="gradient"/>
                <v:shadow on="t" color="black" opacity="24903f" origin=",.5" offset="0,.55556mm"/>
                <v:textbox>
                  <w:txbxContent>
                    <w:p w14:paraId="1D4F64E5" w14:textId="77777777" w:rsidR="00CE291B" w:rsidRDefault="00CE291B" w:rsidP="00CE291B">
                      <w:pPr>
                        <w:jc w:val="center"/>
                      </w:pPr>
                      <w:r w:rsidRPr="00AD3DA6">
                        <w:rPr>
                          <w:rFonts w:ascii="Arial" w:eastAsia="Times New Roman" w:hAnsi="Arial" w:cs="Arial"/>
                          <w:b/>
                          <w:bCs/>
                          <w:color w:val="000000"/>
                          <w:sz w:val="24"/>
                          <w:szCs w:val="24"/>
                          <w:lang w:eastAsia="lt-LT"/>
                        </w:rPr>
                        <w:t>Europos teisminis tinklas (ETT) baudžiamosiose</w:t>
                      </w:r>
                      <w:r w:rsidRPr="00CE291B">
                        <w:rPr>
                          <w:rFonts w:ascii="Arial" w:eastAsia="Times New Roman" w:hAnsi="Arial" w:cs="Arial"/>
                          <w:b/>
                          <w:bCs/>
                          <w:color w:val="000000"/>
                          <w:sz w:val="24"/>
                          <w:szCs w:val="24"/>
                          <w:lang w:eastAsia="lt-LT"/>
                        </w:rPr>
                        <w:t xml:space="preserve"> </w:t>
                      </w:r>
                      <w:r w:rsidRPr="00AD3DA6">
                        <w:rPr>
                          <w:rFonts w:ascii="Arial" w:eastAsia="Times New Roman" w:hAnsi="Arial" w:cs="Arial"/>
                          <w:b/>
                          <w:bCs/>
                          <w:color w:val="000000"/>
                          <w:sz w:val="24"/>
                          <w:szCs w:val="24"/>
                          <w:lang w:eastAsia="lt-LT"/>
                        </w:rPr>
                        <w:t>bylose</w:t>
                      </w:r>
                    </w:p>
                  </w:txbxContent>
                </v:textbox>
              </v:roundrect>
            </w:pict>
          </mc:Fallback>
        </mc:AlternateContent>
      </w:r>
    </w:p>
    <w:p w14:paraId="517DC886" w14:textId="77777777" w:rsidR="00F21C80" w:rsidRPr="00AD3DA6" w:rsidRDefault="00F21C80" w:rsidP="00CD0698">
      <w:pPr>
        <w:shd w:val="clear" w:color="auto" w:fill="FFFFFF"/>
        <w:spacing w:after="0" w:line="240" w:lineRule="auto"/>
        <w:jc w:val="both"/>
        <w:textAlignment w:val="top"/>
        <w:rPr>
          <w:rFonts w:ascii="Arial" w:eastAsia="Times New Roman" w:hAnsi="Arial" w:cs="Arial"/>
          <w:color w:val="000000"/>
          <w:lang w:eastAsia="lt-LT"/>
        </w:rPr>
      </w:pPr>
    </w:p>
    <w:p w14:paraId="61829911" w14:textId="77777777" w:rsidR="00F21C80" w:rsidRPr="00CE291B" w:rsidRDefault="00F21C80" w:rsidP="00CD0698">
      <w:pPr>
        <w:shd w:val="clear" w:color="auto" w:fill="FFFFFF"/>
        <w:spacing w:before="100" w:beforeAutospacing="1" w:after="100" w:afterAutospacing="1" w:line="240" w:lineRule="auto"/>
        <w:jc w:val="both"/>
        <w:textAlignment w:val="top"/>
        <w:outlineLvl w:val="1"/>
        <w:rPr>
          <w:rFonts w:ascii="Arial" w:eastAsia="Times New Roman" w:hAnsi="Arial" w:cs="Arial"/>
          <w:b/>
          <w:bCs/>
          <w:color w:val="000000"/>
          <w:u w:val="single"/>
          <w:lang w:eastAsia="lt-LT"/>
        </w:rPr>
      </w:pPr>
      <w:r w:rsidRPr="00CE291B">
        <w:rPr>
          <w:rFonts w:ascii="Arial" w:eastAsia="Times New Roman" w:hAnsi="Arial" w:cs="Arial"/>
          <w:b/>
          <w:bCs/>
          <w:color w:val="000000"/>
          <w:u w:val="single"/>
          <w:lang w:eastAsia="lt-LT"/>
        </w:rPr>
        <w:t>ETT</w:t>
      </w:r>
      <w:r w:rsidR="00AB5EFD" w:rsidRPr="00CE291B">
        <w:rPr>
          <w:rFonts w:ascii="Arial" w:eastAsia="Times New Roman" w:hAnsi="Arial" w:cs="Arial"/>
          <w:b/>
          <w:bCs/>
          <w:color w:val="000000"/>
          <w:u w:val="single"/>
          <w:lang w:eastAsia="lt-LT"/>
        </w:rPr>
        <w:t xml:space="preserve"> baudžiamosiose bylose</w:t>
      </w:r>
      <w:r w:rsidRPr="00CE291B">
        <w:rPr>
          <w:rFonts w:ascii="Arial" w:eastAsia="Times New Roman" w:hAnsi="Arial" w:cs="Arial"/>
          <w:b/>
          <w:bCs/>
          <w:color w:val="000000"/>
          <w:u w:val="single"/>
          <w:lang w:eastAsia="lt-LT"/>
        </w:rPr>
        <w:t xml:space="preserve"> tikslas</w:t>
      </w:r>
    </w:p>
    <w:p w14:paraId="6A36F997" w14:textId="16523216" w:rsidR="00AB5EFD" w:rsidRPr="00AD3DA6" w:rsidRDefault="00AB5EFD" w:rsidP="00CD0698">
      <w:pPr>
        <w:shd w:val="clear" w:color="auto" w:fill="FFFFFF"/>
        <w:spacing w:before="100" w:beforeAutospacing="1" w:after="100" w:afterAutospacing="1" w:line="240" w:lineRule="auto"/>
        <w:jc w:val="both"/>
        <w:textAlignment w:val="top"/>
        <w:rPr>
          <w:rFonts w:ascii="Arial" w:eastAsia="Times New Roman" w:hAnsi="Arial" w:cs="Arial"/>
          <w:color w:val="000000"/>
          <w:lang w:eastAsia="lt-LT"/>
        </w:rPr>
      </w:pPr>
      <w:r w:rsidRPr="00AD3DA6">
        <w:rPr>
          <w:rFonts w:ascii="Arial" w:eastAsia="Times New Roman" w:hAnsi="Arial" w:cs="Arial"/>
          <w:color w:val="000000"/>
          <w:lang w:eastAsia="lt-LT"/>
        </w:rPr>
        <w:t xml:space="preserve">Europos teisminis tinklas (toliau – ETT) baudžiamosiose bylose buvo </w:t>
      </w:r>
      <w:r w:rsidR="000E374E">
        <w:rPr>
          <w:rFonts w:ascii="Arial" w:eastAsia="Times New Roman" w:hAnsi="Arial" w:cs="Arial"/>
          <w:color w:val="000000"/>
          <w:lang w:eastAsia="lt-LT"/>
        </w:rPr>
        <w:t>įkurtas</w:t>
      </w:r>
      <w:r w:rsidR="000E374E" w:rsidRPr="00AD3DA6">
        <w:rPr>
          <w:rFonts w:ascii="Arial" w:eastAsia="Times New Roman" w:hAnsi="Arial" w:cs="Arial"/>
          <w:color w:val="000000"/>
          <w:lang w:eastAsia="lt-LT"/>
        </w:rPr>
        <w:t xml:space="preserve"> </w:t>
      </w:r>
      <w:r w:rsidRPr="00AD3DA6">
        <w:rPr>
          <w:rFonts w:ascii="Arial" w:eastAsia="Times New Roman" w:hAnsi="Arial" w:cs="Arial"/>
          <w:color w:val="000000"/>
          <w:lang w:eastAsia="lt-LT"/>
        </w:rPr>
        <w:t xml:space="preserve">1997 m. ir </w:t>
      </w:r>
      <w:r w:rsidR="000E374E">
        <w:rPr>
          <w:rFonts w:ascii="Arial" w:eastAsia="Times New Roman" w:hAnsi="Arial" w:cs="Arial"/>
          <w:color w:val="000000"/>
          <w:lang w:eastAsia="lt-LT"/>
        </w:rPr>
        <w:t>vienija</w:t>
      </w:r>
      <w:r w:rsidR="000E374E" w:rsidRPr="00AD3DA6">
        <w:rPr>
          <w:rFonts w:ascii="Arial" w:eastAsia="Times New Roman" w:hAnsi="Arial" w:cs="Arial"/>
          <w:color w:val="000000"/>
          <w:lang w:eastAsia="lt-LT"/>
        </w:rPr>
        <w:t xml:space="preserve"> </w:t>
      </w:r>
      <w:r w:rsidRPr="00AD3DA6">
        <w:rPr>
          <w:rFonts w:ascii="Arial" w:eastAsia="Times New Roman" w:hAnsi="Arial" w:cs="Arial"/>
          <w:color w:val="000000"/>
          <w:lang w:eastAsia="lt-LT"/>
        </w:rPr>
        <w:t>valstybių narių kontaktini</w:t>
      </w:r>
      <w:r w:rsidR="000E374E">
        <w:rPr>
          <w:rFonts w:ascii="Arial" w:eastAsia="Times New Roman" w:hAnsi="Arial" w:cs="Arial"/>
          <w:color w:val="000000"/>
          <w:lang w:eastAsia="lt-LT"/>
        </w:rPr>
        <w:t>us</w:t>
      </w:r>
      <w:r w:rsidRPr="00AD3DA6">
        <w:rPr>
          <w:rFonts w:ascii="Arial" w:eastAsia="Times New Roman" w:hAnsi="Arial" w:cs="Arial"/>
          <w:color w:val="000000"/>
          <w:lang w:eastAsia="lt-LT"/>
        </w:rPr>
        <w:t xml:space="preserve"> asmen</w:t>
      </w:r>
      <w:r w:rsidR="000E374E">
        <w:rPr>
          <w:rFonts w:ascii="Arial" w:eastAsia="Times New Roman" w:hAnsi="Arial" w:cs="Arial"/>
          <w:color w:val="000000"/>
          <w:lang w:eastAsia="lt-LT"/>
        </w:rPr>
        <w:t>is</w:t>
      </w:r>
      <w:r w:rsidRPr="00AD3DA6">
        <w:rPr>
          <w:rFonts w:ascii="Arial" w:eastAsia="Times New Roman" w:hAnsi="Arial" w:cs="Arial"/>
          <w:color w:val="000000"/>
          <w:lang w:eastAsia="lt-LT"/>
        </w:rPr>
        <w:t>, atrinkt</w:t>
      </w:r>
      <w:r w:rsidR="000E374E">
        <w:rPr>
          <w:rFonts w:ascii="Arial" w:eastAsia="Times New Roman" w:hAnsi="Arial" w:cs="Arial"/>
          <w:color w:val="000000"/>
          <w:lang w:eastAsia="lt-LT"/>
        </w:rPr>
        <w:t>us</w:t>
      </w:r>
      <w:r w:rsidRPr="00AD3DA6">
        <w:rPr>
          <w:rFonts w:ascii="Arial" w:eastAsia="Times New Roman" w:hAnsi="Arial" w:cs="Arial"/>
          <w:color w:val="000000"/>
          <w:lang w:eastAsia="lt-LT"/>
        </w:rPr>
        <w:t xml:space="preserve"> iš teisminių ar kitų institucijų, kurios turi konkrečių pareigų tarptautinio teisminio bendradarbiavimo srityje.</w:t>
      </w:r>
    </w:p>
    <w:p w14:paraId="5A11FC95" w14:textId="67BB7B7F" w:rsidR="00F21C80" w:rsidRPr="00AD3DA6" w:rsidRDefault="00F21C80" w:rsidP="00CD0698">
      <w:pPr>
        <w:shd w:val="clear" w:color="auto" w:fill="FFFFFF"/>
        <w:spacing w:before="100" w:beforeAutospacing="1" w:after="100" w:afterAutospacing="1" w:line="240" w:lineRule="auto"/>
        <w:jc w:val="both"/>
        <w:textAlignment w:val="top"/>
        <w:rPr>
          <w:rFonts w:ascii="Arial" w:eastAsia="Times New Roman" w:hAnsi="Arial" w:cs="Arial"/>
          <w:color w:val="000000"/>
          <w:lang w:eastAsia="lt-LT"/>
        </w:rPr>
      </w:pPr>
      <w:r w:rsidRPr="00AD3DA6">
        <w:rPr>
          <w:rFonts w:ascii="Arial" w:eastAsia="Times New Roman" w:hAnsi="Arial" w:cs="Arial"/>
          <w:color w:val="000000"/>
          <w:lang w:eastAsia="lt-LT"/>
        </w:rPr>
        <w:t xml:space="preserve">ETT </w:t>
      </w:r>
      <w:r w:rsidR="00AB5EFD" w:rsidRPr="00AD3DA6">
        <w:rPr>
          <w:rFonts w:ascii="Arial" w:eastAsia="Times New Roman" w:hAnsi="Arial" w:cs="Arial"/>
          <w:color w:val="000000"/>
          <w:lang w:eastAsia="lt-LT"/>
        </w:rPr>
        <w:t xml:space="preserve">baudžiamosiose bylose </w:t>
      </w:r>
      <w:r w:rsidR="0034742B">
        <w:rPr>
          <w:rFonts w:ascii="Arial" w:eastAsia="Times New Roman" w:hAnsi="Arial" w:cs="Arial"/>
          <w:color w:val="000000"/>
          <w:lang w:eastAsia="lt-LT"/>
        </w:rPr>
        <w:t xml:space="preserve">tikslas </w:t>
      </w:r>
      <w:r w:rsidR="00664932">
        <w:rPr>
          <w:rFonts w:ascii="Arial" w:eastAsia="Times New Roman" w:hAnsi="Arial" w:cs="Arial"/>
          <w:color w:val="000000"/>
          <w:lang w:eastAsia="lt-LT"/>
        </w:rPr>
        <w:t>–</w:t>
      </w:r>
      <w:r w:rsidR="00DB2FD5">
        <w:rPr>
          <w:rFonts w:ascii="Arial" w:eastAsia="Times New Roman" w:hAnsi="Arial" w:cs="Arial"/>
          <w:color w:val="000000"/>
          <w:lang w:eastAsia="lt-LT"/>
        </w:rPr>
        <w:t xml:space="preserve"> </w:t>
      </w:r>
      <w:r w:rsidRPr="00AD3DA6">
        <w:rPr>
          <w:rFonts w:ascii="Arial" w:eastAsia="Times New Roman" w:hAnsi="Arial" w:cs="Arial"/>
          <w:color w:val="000000"/>
          <w:lang w:eastAsia="lt-LT"/>
        </w:rPr>
        <w:t>gerinti Europos Sąjungos valstybių narių teisminį bendradarbiavimą teisiniu ir praktiniu lygiu</w:t>
      </w:r>
      <w:r w:rsidR="0034742B">
        <w:rPr>
          <w:rFonts w:ascii="Arial" w:eastAsia="Times New Roman" w:hAnsi="Arial" w:cs="Arial"/>
          <w:color w:val="000000"/>
          <w:lang w:eastAsia="lt-LT"/>
        </w:rPr>
        <w:t>,</w:t>
      </w:r>
      <w:r w:rsidRPr="00AD3DA6">
        <w:rPr>
          <w:rFonts w:ascii="Arial" w:eastAsia="Times New Roman" w:hAnsi="Arial" w:cs="Arial"/>
          <w:color w:val="000000"/>
          <w:lang w:eastAsia="lt-LT"/>
        </w:rPr>
        <w:t xml:space="preserve"> siekiant kovoti su sunki</w:t>
      </w:r>
      <w:r w:rsidR="0034742B">
        <w:rPr>
          <w:rFonts w:ascii="Arial" w:eastAsia="Times New Roman" w:hAnsi="Arial" w:cs="Arial"/>
          <w:color w:val="000000"/>
          <w:lang w:eastAsia="lt-LT"/>
        </w:rPr>
        <w:t xml:space="preserve">ais nusikaltimais – </w:t>
      </w:r>
      <w:r w:rsidRPr="00AD3DA6">
        <w:rPr>
          <w:rFonts w:ascii="Arial" w:eastAsia="Times New Roman" w:hAnsi="Arial" w:cs="Arial"/>
          <w:color w:val="000000"/>
          <w:lang w:eastAsia="lt-LT"/>
        </w:rPr>
        <w:t>organizuotu nusikalstamumu, korupcija, prekyba narkotikais ir terorizmu.</w:t>
      </w:r>
    </w:p>
    <w:p w14:paraId="7F13BB17" w14:textId="069A0239" w:rsidR="00F21C80" w:rsidRPr="00E85243" w:rsidRDefault="00F21C80" w:rsidP="00346370">
      <w:pPr>
        <w:pStyle w:val="NoSpacing"/>
        <w:jc w:val="both"/>
        <w:rPr>
          <w:rFonts w:ascii="Arial" w:hAnsi="Arial" w:cs="Arial"/>
          <w:lang w:eastAsia="lt-LT"/>
        </w:rPr>
      </w:pPr>
      <w:r w:rsidRPr="00E85243">
        <w:rPr>
          <w:rFonts w:ascii="Arial" w:hAnsi="Arial" w:cs="Arial"/>
          <w:lang w:eastAsia="lt-LT"/>
        </w:rPr>
        <w:t>ETT</w:t>
      </w:r>
      <w:r w:rsidR="0034742B" w:rsidRPr="00E85243">
        <w:rPr>
          <w:rFonts w:ascii="Arial" w:hAnsi="Arial" w:cs="Arial"/>
          <w:lang w:eastAsia="lt-LT"/>
        </w:rPr>
        <w:t xml:space="preserve"> baudžiamosiose bylose veikla grindžiama principu, kuris įpareigoja</w:t>
      </w:r>
      <w:r w:rsidRPr="00E85243">
        <w:rPr>
          <w:rFonts w:ascii="Arial" w:hAnsi="Arial" w:cs="Arial"/>
          <w:lang w:eastAsia="lt-LT"/>
        </w:rPr>
        <w:t xml:space="preserve"> kiekvienoje valstybėje narėje nustatyti kompetentingus asmenis, kurie praktikoje atlieka esminį vaidmenį teisminio bendradarbiavimo baudžiamosiose bylose srityje, </w:t>
      </w:r>
      <w:r w:rsidR="000E374E" w:rsidRPr="00E85243">
        <w:rPr>
          <w:rFonts w:ascii="Arial" w:hAnsi="Arial" w:cs="Arial"/>
          <w:lang w:eastAsia="lt-LT"/>
        </w:rPr>
        <w:t>ir taip sukurti</w:t>
      </w:r>
      <w:r w:rsidRPr="00E85243">
        <w:rPr>
          <w:rFonts w:ascii="Arial" w:hAnsi="Arial" w:cs="Arial"/>
          <w:lang w:eastAsia="lt-LT"/>
        </w:rPr>
        <w:t xml:space="preserve"> ekspertų tinkl</w:t>
      </w:r>
      <w:r w:rsidR="000E374E" w:rsidRPr="00E85243">
        <w:rPr>
          <w:rFonts w:ascii="Arial" w:hAnsi="Arial" w:cs="Arial"/>
          <w:lang w:eastAsia="lt-LT"/>
        </w:rPr>
        <w:t>ą</w:t>
      </w:r>
      <w:r w:rsidR="00E52D6B" w:rsidRPr="00E85243">
        <w:rPr>
          <w:rFonts w:ascii="Arial" w:hAnsi="Arial" w:cs="Arial"/>
          <w:lang w:eastAsia="lt-LT"/>
        </w:rPr>
        <w:t>,</w:t>
      </w:r>
      <w:r w:rsidRPr="00E85243">
        <w:rPr>
          <w:rFonts w:ascii="Arial" w:hAnsi="Arial" w:cs="Arial"/>
          <w:lang w:eastAsia="lt-LT"/>
        </w:rPr>
        <w:t xml:space="preserve"> </w:t>
      </w:r>
      <w:r w:rsidR="000E374E" w:rsidRPr="00E85243">
        <w:rPr>
          <w:rFonts w:ascii="Arial" w:hAnsi="Arial" w:cs="Arial"/>
          <w:lang w:eastAsia="lt-LT"/>
        </w:rPr>
        <w:t>užtikrinantį</w:t>
      </w:r>
      <w:r w:rsidRPr="00E85243">
        <w:rPr>
          <w:rFonts w:ascii="Arial" w:hAnsi="Arial" w:cs="Arial"/>
          <w:lang w:eastAsia="lt-LT"/>
        </w:rPr>
        <w:t xml:space="preserve"> tinkamą savitarpio tei</w:t>
      </w:r>
      <w:r w:rsidR="007C5D54">
        <w:rPr>
          <w:rFonts w:ascii="Arial" w:hAnsi="Arial" w:cs="Arial"/>
          <w:lang w:eastAsia="lt-LT"/>
        </w:rPr>
        <w:t>sinės pagalbos prašymų vykdymą.</w:t>
      </w:r>
    </w:p>
    <w:p w14:paraId="32FD4ED4" w14:textId="77777777" w:rsidR="00F21C80" w:rsidRPr="00CE291B" w:rsidRDefault="00F67D20" w:rsidP="00CD0698">
      <w:pPr>
        <w:shd w:val="clear" w:color="auto" w:fill="FFFFFF"/>
        <w:spacing w:before="100" w:beforeAutospacing="1" w:after="100" w:afterAutospacing="1" w:line="240" w:lineRule="auto"/>
        <w:jc w:val="both"/>
        <w:textAlignment w:val="top"/>
        <w:outlineLvl w:val="1"/>
        <w:rPr>
          <w:rFonts w:ascii="Arial" w:eastAsia="Times New Roman" w:hAnsi="Arial" w:cs="Arial"/>
          <w:b/>
          <w:bCs/>
          <w:color w:val="000000"/>
          <w:u w:val="single"/>
          <w:lang w:eastAsia="lt-LT"/>
        </w:rPr>
      </w:pPr>
      <w:r w:rsidRPr="00CE291B">
        <w:rPr>
          <w:rFonts w:ascii="Arial" w:eastAsia="Times New Roman" w:hAnsi="Arial" w:cs="Arial"/>
          <w:b/>
          <w:bCs/>
          <w:color w:val="000000"/>
          <w:u w:val="single"/>
          <w:lang w:eastAsia="lt-LT"/>
        </w:rPr>
        <w:t>N</w:t>
      </w:r>
      <w:r w:rsidR="00450BFA" w:rsidRPr="00CE291B">
        <w:rPr>
          <w:rFonts w:ascii="Arial" w:eastAsia="Times New Roman" w:hAnsi="Arial" w:cs="Arial"/>
          <w:b/>
          <w:bCs/>
          <w:color w:val="000000"/>
          <w:u w:val="single"/>
          <w:lang w:eastAsia="lt-LT"/>
        </w:rPr>
        <w:t>arystė ETT baudžiamosiose bylose</w:t>
      </w:r>
    </w:p>
    <w:p w14:paraId="53BD305B" w14:textId="59FBBB0F" w:rsidR="00F21C80" w:rsidRPr="00AD3DA6" w:rsidRDefault="00F21C80" w:rsidP="00CD0698">
      <w:pPr>
        <w:shd w:val="clear" w:color="auto" w:fill="FFFFFF"/>
        <w:spacing w:before="100" w:beforeAutospacing="1" w:after="100" w:afterAutospacing="1" w:line="240" w:lineRule="auto"/>
        <w:jc w:val="both"/>
        <w:textAlignment w:val="top"/>
        <w:rPr>
          <w:rFonts w:ascii="Arial" w:eastAsia="Times New Roman" w:hAnsi="Arial" w:cs="Arial"/>
          <w:color w:val="000000"/>
          <w:lang w:eastAsia="lt-LT"/>
        </w:rPr>
      </w:pPr>
      <w:r w:rsidRPr="00AD3DA6">
        <w:rPr>
          <w:rFonts w:ascii="Arial" w:eastAsia="Times New Roman" w:hAnsi="Arial" w:cs="Arial"/>
          <w:color w:val="000000"/>
          <w:lang w:eastAsia="lt-LT"/>
        </w:rPr>
        <w:t xml:space="preserve">ETT </w:t>
      </w:r>
      <w:r w:rsidR="0034742B" w:rsidRPr="00AD3DA6">
        <w:rPr>
          <w:rFonts w:ascii="Arial" w:eastAsia="Times New Roman" w:hAnsi="Arial" w:cs="Arial"/>
          <w:color w:val="000000"/>
          <w:lang w:eastAsia="lt-LT"/>
        </w:rPr>
        <w:t xml:space="preserve">baudžiamosiose bylose </w:t>
      </w:r>
      <w:r w:rsidRPr="00AD3DA6">
        <w:rPr>
          <w:rFonts w:ascii="Arial" w:eastAsia="Times New Roman" w:hAnsi="Arial" w:cs="Arial"/>
          <w:color w:val="000000"/>
          <w:lang w:eastAsia="lt-LT"/>
        </w:rPr>
        <w:t>sudaro valstybių narių ir Europos</w:t>
      </w:r>
      <w:r w:rsidR="00346370">
        <w:rPr>
          <w:rFonts w:ascii="Arial" w:eastAsia="Times New Roman" w:hAnsi="Arial" w:cs="Arial"/>
          <w:color w:val="000000"/>
          <w:lang w:eastAsia="lt-LT"/>
        </w:rPr>
        <w:t xml:space="preserve"> Komisijos kontaktiniai asmenys, kuriuos </w:t>
      </w:r>
      <w:r w:rsidRPr="00AD3DA6">
        <w:rPr>
          <w:rFonts w:ascii="Arial" w:eastAsia="Times New Roman" w:hAnsi="Arial" w:cs="Arial"/>
          <w:color w:val="000000"/>
          <w:lang w:eastAsia="lt-LT"/>
        </w:rPr>
        <w:t>kiekviena valstybė narė paskiria iš centrinių institucijų, atsakingų už tarptautinį teisminį bendradarbiavimą, teisminių institucijų ir kitų kompetentingų institucijų, kurios turi konkrečių pareigų tarptautinio teisminio bendradarbiavimo srityje tiek apskritai, tiek tam tikrų rūšių sunkių nusikaltimų, pavyzdžiui, organizuoto nusikalstamumo, korupcijos, prekybos narkotikais ar terorizmo</w:t>
      </w:r>
      <w:r w:rsidR="00DE4AA3">
        <w:rPr>
          <w:rFonts w:ascii="Arial" w:eastAsia="Times New Roman" w:hAnsi="Arial" w:cs="Arial"/>
          <w:color w:val="000000"/>
          <w:lang w:eastAsia="lt-LT"/>
        </w:rPr>
        <w:t>, atžvilgiu.</w:t>
      </w:r>
    </w:p>
    <w:p w14:paraId="1BF4F298" w14:textId="77777777" w:rsidR="00DE46F8" w:rsidRPr="00CE291B" w:rsidRDefault="00DE46F8" w:rsidP="00CD0698">
      <w:pPr>
        <w:shd w:val="clear" w:color="auto" w:fill="FFFFFF"/>
        <w:spacing w:before="100" w:beforeAutospacing="1" w:after="100" w:afterAutospacing="1" w:line="240" w:lineRule="auto"/>
        <w:jc w:val="both"/>
        <w:textAlignment w:val="top"/>
        <w:rPr>
          <w:rFonts w:ascii="Arial" w:eastAsia="Times New Roman" w:hAnsi="Arial" w:cs="Arial"/>
          <w:b/>
          <w:color w:val="000000"/>
          <w:u w:val="single"/>
          <w:lang w:eastAsia="lt-LT"/>
        </w:rPr>
      </w:pPr>
      <w:r w:rsidRPr="00CE291B">
        <w:rPr>
          <w:rFonts w:ascii="Arial" w:eastAsia="Times New Roman" w:hAnsi="Arial" w:cs="Arial"/>
          <w:b/>
          <w:color w:val="000000"/>
          <w:u w:val="single"/>
          <w:lang w:eastAsia="lt-LT"/>
        </w:rPr>
        <w:t xml:space="preserve">Lietuvos teismų sistemos kontaktiniai asmenys </w:t>
      </w:r>
    </w:p>
    <w:p w14:paraId="1F0B7B66" w14:textId="4F9CBDA4" w:rsidR="00DE46F8" w:rsidRPr="00AD3DA6" w:rsidRDefault="00DE46F8" w:rsidP="009839D3">
      <w:pPr>
        <w:shd w:val="clear" w:color="auto" w:fill="FFFFFF"/>
        <w:spacing w:before="100" w:beforeAutospacing="1" w:after="100" w:afterAutospacing="1" w:line="240" w:lineRule="auto"/>
        <w:jc w:val="both"/>
        <w:textAlignment w:val="top"/>
        <w:rPr>
          <w:rFonts w:ascii="Arial" w:eastAsia="Times New Roman" w:hAnsi="Arial" w:cs="Arial"/>
          <w:color w:val="000000"/>
          <w:lang w:eastAsia="lt-LT"/>
        </w:rPr>
      </w:pPr>
      <w:r w:rsidRPr="00AD3DA6">
        <w:rPr>
          <w:rFonts w:ascii="Arial" w:eastAsia="Times New Roman" w:hAnsi="Arial" w:cs="Arial"/>
          <w:color w:val="000000"/>
          <w:lang w:eastAsia="lt-LT"/>
        </w:rPr>
        <w:t>Lietuvos teismų sistemos kontaktiniu asmeniu šiame tinkle yra pa</w:t>
      </w:r>
      <w:r w:rsidR="00AB625B" w:rsidRPr="00AD3DA6">
        <w:rPr>
          <w:rFonts w:ascii="Arial" w:eastAsia="Times New Roman" w:hAnsi="Arial" w:cs="Arial"/>
          <w:color w:val="000000"/>
          <w:lang w:eastAsia="lt-LT"/>
        </w:rPr>
        <w:t>skirtas Lietuvos Aukščiausiojo T</w:t>
      </w:r>
      <w:r w:rsidRPr="00AD3DA6">
        <w:rPr>
          <w:rFonts w:ascii="Arial" w:eastAsia="Times New Roman" w:hAnsi="Arial" w:cs="Arial"/>
          <w:color w:val="000000"/>
          <w:lang w:eastAsia="lt-LT"/>
        </w:rPr>
        <w:t xml:space="preserve">eismo Baudžiamųjų bylų skyriaus </w:t>
      </w:r>
      <w:r w:rsidR="009839D3">
        <w:rPr>
          <w:rFonts w:ascii="Arial" w:eastAsia="Times New Roman" w:hAnsi="Arial" w:cs="Arial"/>
          <w:color w:val="000000"/>
          <w:lang w:eastAsia="lt-LT"/>
        </w:rPr>
        <w:t>pirmininkė</w:t>
      </w:r>
      <w:r w:rsidRPr="00AD3DA6">
        <w:rPr>
          <w:rFonts w:ascii="Arial" w:eastAsia="Times New Roman" w:hAnsi="Arial" w:cs="Arial"/>
          <w:color w:val="000000"/>
          <w:lang w:eastAsia="lt-LT"/>
        </w:rPr>
        <w:t xml:space="preserve"> </w:t>
      </w:r>
      <w:r w:rsidR="009839D3" w:rsidRPr="009839D3">
        <w:rPr>
          <w:rFonts w:ascii="Arial" w:eastAsia="Times New Roman" w:hAnsi="Arial" w:cs="Arial"/>
          <w:b/>
          <w:bCs/>
          <w:color w:val="000000"/>
          <w:lang w:eastAsia="lt-LT"/>
        </w:rPr>
        <w:t>Gabrielė Juodkaitė-Granskienė</w:t>
      </w:r>
      <w:r w:rsidRPr="00AD3DA6">
        <w:rPr>
          <w:rFonts w:ascii="Arial" w:eastAsia="Times New Roman" w:hAnsi="Arial" w:cs="Arial"/>
          <w:color w:val="000000"/>
          <w:lang w:eastAsia="lt-LT"/>
        </w:rPr>
        <w:t>.</w:t>
      </w:r>
    </w:p>
    <w:p w14:paraId="1689CB27" w14:textId="77777777" w:rsidR="00B95A1E" w:rsidRPr="00AD3DA6" w:rsidRDefault="00B95A1E" w:rsidP="00CD0698">
      <w:pPr>
        <w:spacing w:after="0"/>
        <w:jc w:val="both"/>
        <w:rPr>
          <w:rFonts w:ascii="Arial" w:eastAsia="Calibri" w:hAnsi="Arial" w:cs="Arial"/>
          <w:b/>
        </w:rPr>
      </w:pPr>
      <w:r w:rsidRPr="00AD3DA6">
        <w:rPr>
          <w:rFonts w:ascii="Arial" w:eastAsia="Calibri" w:hAnsi="Arial" w:cs="Arial"/>
          <w:b/>
        </w:rPr>
        <w:t>Kontaktiniai duomenys:</w:t>
      </w:r>
    </w:p>
    <w:p w14:paraId="3F435B81" w14:textId="3FEB01D2" w:rsidR="00B95A1E" w:rsidRPr="009839D3" w:rsidRDefault="00DE46F8" w:rsidP="00CD0698">
      <w:pPr>
        <w:shd w:val="clear" w:color="auto" w:fill="FFFFFF"/>
        <w:spacing w:after="0" w:line="240" w:lineRule="auto"/>
        <w:jc w:val="both"/>
        <w:textAlignment w:val="top"/>
        <w:rPr>
          <w:rFonts w:ascii="Arial" w:eastAsia="Times New Roman" w:hAnsi="Arial" w:cs="Arial"/>
          <w:color w:val="000000"/>
          <w:lang w:val="fr-FR" w:eastAsia="lt-LT"/>
        </w:rPr>
      </w:pPr>
      <w:r w:rsidRPr="00AD3DA6">
        <w:rPr>
          <w:rFonts w:ascii="Arial" w:eastAsia="Times New Roman" w:hAnsi="Arial" w:cs="Arial"/>
          <w:color w:val="000000"/>
          <w:lang w:eastAsia="lt-LT"/>
        </w:rPr>
        <w:t xml:space="preserve">El. paštas: </w:t>
      </w:r>
      <w:hyperlink r:id="rId6" w:history="1">
        <w:r w:rsidR="009839D3" w:rsidRPr="009839D3">
          <w:rPr>
            <w:rStyle w:val="Hyperlink"/>
            <w:rFonts w:asciiTheme="minorBidi" w:hAnsiTheme="minorBidi"/>
          </w:rPr>
          <w:t>g.granskiene@lat.lt</w:t>
        </w:r>
      </w:hyperlink>
    </w:p>
    <w:p w14:paraId="05C40AD4" w14:textId="77777777" w:rsidR="00CD0698" w:rsidRPr="00CE291B" w:rsidRDefault="00F67D20" w:rsidP="00CD0698">
      <w:pPr>
        <w:shd w:val="clear" w:color="auto" w:fill="FFFFFF"/>
        <w:spacing w:before="100" w:beforeAutospacing="1" w:after="100" w:afterAutospacing="1" w:line="240" w:lineRule="auto"/>
        <w:jc w:val="both"/>
        <w:textAlignment w:val="top"/>
        <w:outlineLvl w:val="1"/>
        <w:rPr>
          <w:rFonts w:ascii="Arial" w:eastAsia="Times New Roman" w:hAnsi="Arial" w:cs="Arial"/>
          <w:b/>
          <w:bCs/>
          <w:color w:val="000000"/>
          <w:u w:val="single"/>
          <w:lang w:eastAsia="lt-LT"/>
        </w:rPr>
      </w:pPr>
      <w:r w:rsidRPr="00CE291B">
        <w:rPr>
          <w:rFonts w:ascii="Arial" w:eastAsia="Times New Roman" w:hAnsi="Arial" w:cs="Arial"/>
          <w:b/>
          <w:bCs/>
          <w:color w:val="000000"/>
          <w:u w:val="single"/>
          <w:lang w:eastAsia="lt-LT"/>
        </w:rPr>
        <w:t>Pagrindinės ETT baudžiamosiose bylose kontaktinių asmenų funkcijos</w:t>
      </w:r>
    </w:p>
    <w:p w14:paraId="4CE01672" w14:textId="010EE568" w:rsidR="00F67D20" w:rsidRPr="00AD3DA6" w:rsidRDefault="00A42351" w:rsidP="00CD0698">
      <w:pPr>
        <w:pStyle w:val="ListParagraph"/>
        <w:numPr>
          <w:ilvl w:val="0"/>
          <w:numId w:val="2"/>
        </w:numPr>
        <w:shd w:val="clear" w:color="auto" w:fill="FFFFFF"/>
        <w:spacing w:before="100" w:beforeAutospacing="1" w:after="100" w:afterAutospacing="1" w:line="240" w:lineRule="auto"/>
        <w:jc w:val="both"/>
        <w:textAlignment w:val="top"/>
        <w:rPr>
          <w:rFonts w:ascii="Arial" w:eastAsia="Times New Roman" w:hAnsi="Arial" w:cs="Arial"/>
          <w:color w:val="000000"/>
          <w:lang w:eastAsia="lt-LT"/>
        </w:rPr>
      </w:pPr>
      <w:r>
        <w:rPr>
          <w:rFonts w:ascii="Arial" w:eastAsia="Times New Roman" w:hAnsi="Arial" w:cs="Arial"/>
          <w:color w:val="000000"/>
          <w:lang w:eastAsia="lt-LT"/>
        </w:rPr>
        <w:t xml:space="preserve">Esant poreikiui </w:t>
      </w:r>
      <w:r w:rsidR="006E228A">
        <w:rPr>
          <w:rFonts w:ascii="Arial" w:eastAsia="Times New Roman" w:hAnsi="Arial" w:cs="Arial"/>
          <w:color w:val="000000"/>
          <w:lang w:eastAsia="lt-LT"/>
        </w:rPr>
        <w:t>n</w:t>
      </w:r>
      <w:r w:rsidR="00F67D20" w:rsidRPr="00AD3DA6">
        <w:rPr>
          <w:rFonts w:ascii="Arial" w:eastAsia="Times New Roman" w:hAnsi="Arial" w:cs="Arial"/>
          <w:color w:val="000000"/>
          <w:lang w:eastAsia="lt-LT"/>
        </w:rPr>
        <w:t xml:space="preserve">ustatyti ir užmegzti tiesioginius ryšius su kitos </w:t>
      </w:r>
      <w:r w:rsidR="00D6120B">
        <w:rPr>
          <w:rFonts w:ascii="Arial" w:eastAsia="Times New Roman" w:hAnsi="Arial" w:cs="Arial"/>
          <w:color w:val="000000"/>
          <w:lang w:eastAsia="lt-LT"/>
        </w:rPr>
        <w:t>valstybės narės kompetentinga vietos valdžios institucija</w:t>
      </w:r>
      <w:r w:rsidR="00F67D20" w:rsidRPr="00AD3DA6">
        <w:rPr>
          <w:rFonts w:ascii="Arial" w:eastAsia="Times New Roman" w:hAnsi="Arial" w:cs="Arial"/>
          <w:color w:val="000000"/>
          <w:lang w:eastAsia="lt-LT"/>
        </w:rPr>
        <w:t>, kuriai ketinama siųsti teisminio bendradarbiavimo prašymą t.y. prašymą dėl Europos arešto orderi</w:t>
      </w:r>
      <w:r w:rsidR="00CD0698" w:rsidRPr="00AD3DA6">
        <w:rPr>
          <w:rFonts w:ascii="Arial" w:eastAsia="Times New Roman" w:hAnsi="Arial" w:cs="Arial"/>
          <w:color w:val="000000"/>
          <w:lang w:eastAsia="lt-LT"/>
        </w:rPr>
        <w:t>o ir abipusės teisinės pagalbos;</w:t>
      </w:r>
    </w:p>
    <w:p w14:paraId="4BC9EC6E" w14:textId="77777777" w:rsidR="00F67D20" w:rsidRPr="00AD3DA6" w:rsidRDefault="00F67D20" w:rsidP="00CD0698">
      <w:pPr>
        <w:pStyle w:val="ListParagraph"/>
        <w:shd w:val="clear" w:color="auto" w:fill="FFFFFF"/>
        <w:spacing w:before="100" w:beforeAutospacing="1" w:after="100" w:afterAutospacing="1" w:line="240" w:lineRule="auto"/>
        <w:jc w:val="both"/>
        <w:textAlignment w:val="top"/>
        <w:rPr>
          <w:rFonts w:ascii="Arial" w:eastAsia="Times New Roman" w:hAnsi="Arial" w:cs="Arial"/>
          <w:color w:val="000000"/>
          <w:lang w:eastAsia="lt-LT"/>
        </w:rPr>
      </w:pPr>
    </w:p>
    <w:p w14:paraId="1C8009B6" w14:textId="77777777" w:rsidR="00F67D20" w:rsidRPr="00AD3DA6" w:rsidRDefault="00F67D20" w:rsidP="00CD0698">
      <w:pPr>
        <w:pStyle w:val="ListParagraph"/>
        <w:numPr>
          <w:ilvl w:val="0"/>
          <w:numId w:val="2"/>
        </w:numPr>
        <w:shd w:val="clear" w:color="auto" w:fill="FFFFFF"/>
        <w:spacing w:before="100" w:beforeAutospacing="1" w:after="100" w:afterAutospacing="1" w:line="240" w:lineRule="auto"/>
        <w:jc w:val="both"/>
        <w:textAlignment w:val="top"/>
        <w:rPr>
          <w:rFonts w:ascii="Arial" w:eastAsia="Times New Roman" w:hAnsi="Arial" w:cs="Arial"/>
          <w:color w:val="000000"/>
          <w:lang w:eastAsia="lt-LT"/>
        </w:rPr>
      </w:pPr>
      <w:r w:rsidRPr="00AD3DA6">
        <w:rPr>
          <w:rFonts w:ascii="Arial" w:eastAsia="Times New Roman" w:hAnsi="Arial" w:cs="Arial"/>
          <w:color w:val="000000"/>
          <w:lang w:eastAsia="lt-LT"/>
        </w:rPr>
        <w:t xml:space="preserve">Gauti/suteikti teisinę ir praktinę informaciją apie teisminio bendradarbiavimo paslaugų teikimą kitoje valstybėje narėje; </w:t>
      </w:r>
      <w:r w:rsidR="00CD0698" w:rsidRPr="00AD3DA6">
        <w:rPr>
          <w:rFonts w:ascii="Arial" w:eastAsia="Times New Roman" w:hAnsi="Arial" w:cs="Arial"/>
          <w:color w:val="000000"/>
          <w:lang w:eastAsia="lt-LT"/>
        </w:rPr>
        <w:t>įskaitant informaciją</w:t>
      </w:r>
      <w:r w:rsidRPr="00AD3DA6">
        <w:rPr>
          <w:rFonts w:ascii="Arial" w:eastAsia="Times New Roman" w:hAnsi="Arial" w:cs="Arial"/>
          <w:color w:val="000000"/>
          <w:lang w:eastAsia="lt-LT"/>
        </w:rPr>
        <w:t>, padedanč</w:t>
      </w:r>
      <w:r w:rsidR="00D6120B">
        <w:rPr>
          <w:rFonts w:ascii="Arial" w:eastAsia="Times New Roman" w:hAnsi="Arial" w:cs="Arial"/>
          <w:color w:val="000000"/>
          <w:lang w:eastAsia="lt-LT"/>
        </w:rPr>
        <w:t>ią teisėjams parengti tinkamą</w:t>
      </w:r>
      <w:r w:rsidRPr="00AD3DA6">
        <w:rPr>
          <w:rFonts w:ascii="Arial" w:eastAsia="Times New Roman" w:hAnsi="Arial" w:cs="Arial"/>
          <w:color w:val="000000"/>
          <w:lang w:eastAsia="lt-LT"/>
        </w:rPr>
        <w:t xml:space="preserve"> prašymą dėl teisminio bendradarbiavimo;</w:t>
      </w:r>
    </w:p>
    <w:p w14:paraId="7701451C" w14:textId="77777777" w:rsidR="00F67D20" w:rsidRPr="00AD3DA6" w:rsidRDefault="00F67D20" w:rsidP="00CD0698">
      <w:pPr>
        <w:pStyle w:val="ListParagraph"/>
        <w:shd w:val="clear" w:color="auto" w:fill="FFFFFF"/>
        <w:spacing w:before="100" w:beforeAutospacing="1" w:after="100" w:afterAutospacing="1" w:line="240" w:lineRule="auto"/>
        <w:jc w:val="both"/>
        <w:textAlignment w:val="top"/>
        <w:rPr>
          <w:rFonts w:ascii="Arial" w:eastAsia="Times New Roman" w:hAnsi="Arial" w:cs="Arial"/>
          <w:color w:val="000000"/>
          <w:lang w:eastAsia="lt-LT"/>
        </w:rPr>
      </w:pPr>
    </w:p>
    <w:p w14:paraId="06C533A5" w14:textId="77777777" w:rsidR="00F67D20" w:rsidRPr="00AD3DA6" w:rsidRDefault="00F67D20" w:rsidP="00CD0698">
      <w:pPr>
        <w:pStyle w:val="ListParagraph"/>
        <w:numPr>
          <w:ilvl w:val="0"/>
          <w:numId w:val="2"/>
        </w:numPr>
        <w:shd w:val="clear" w:color="auto" w:fill="FFFFFF"/>
        <w:spacing w:before="100" w:beforeAutospacing="1" w:after="100" w:afterAutospacing="1" w:line="240" w:lineRule="auto"/>
        <w:jc w:val="both"/>
        <w:textAlignment w:val="top"/>
        <w:rPr>
          <w:rFonts w:ascii="Arial" w:eastAsia="Times New Roman" w:hAnsi="Arial" w:cs="Arial"/>
          <w:color w:val="000000"/>
          <w:lang w:eastAsia="lt-LT"/>
        </w:rPr>
      </w:pPr>
      <w:r w:rsidRPr="00AD3DA6">
        <w:rPr>
          <w:rFonts w:ascii="Arial" w:eastAsia="Times New Roman" w:hAnsi="Arial" w:cs="Arial"/>
          <w:color w:val="000000"/>
          <w:lang w:eastAsia="lt-LT"/>
        </w:rPr>
        <w:t>Tarpininkauti sprendžiant sunkumus ir vėlavimo problemas, kylančias vykdant teisminio bendradarbiavimo prašymus;</w:t>
      </w:r>
    </w:p>
    <w:p w14:paraId="565AE6C7" w14:textId="77777777" w:rsidR="00CD0698" w:rsidRPr="00AD3DA6" w:rsidRDefault="00CD0698" w:rsidP="00CD0698">
      <w:pPr>
        <w:pStyle w:val="ListParagraph"/>
        <w:jc w:val="both"/>
        <w:rPr>
          <w:rFonts w:ascii="Arial" w:eastAsia="Times New Roman" w:hAnsi="Arial" w:cs="Arial"/>
          <w:color w:val="000000"/>
          <w:lang w:eastAsia="lt-LT"/>
        </w:rPr>
      </w:pPr>
    </w:p>
    <w:p w14:paraId="4A2A4401" w14:textId="77777777" w:rsidR="006E228A" w:rsidRDefault="00CD0698" w:rsidP="006E228A">
      <w:pPr>
        <w:pStyle w:val="ListParagraph"/>
        <w:numPr>
          <w:ilvl w:val="0"/>
          <w:numId w:val="2"/>
        </w:numPr>
        <w:shd w:val="clear" w:color="auto" w:fill="FFFFFF"/>
        <w:spacing w:before="100" w:beforeAutospacing="1" w:after="100" w:afterAutospacing="1" w:line="240" w:lineRule="auto"/>
        <w:jc w:val="both"/>
        <w:textAlignment w:val="top"/>
        <w:rPr>
          <w:rFonts w:ascii="Arial" w:eastAsia="Times New Roman" w:hAnsi="Arial" w:cs="Arial"/>
          <w:color w:val="000000"/>
          <w:lang w:eastAsia="lt-LT"/>
        </w:rPr>
      </w:pPr>
      <w:r w:rsidRPr="00AD3DA6">
        <w:rPr>
          <w:rFonts w:ascii="Arial" w:eastAsia="Times New Roman" w:hAnsi="Arial" w:cs="Arial"/>
          <w:color w:val="000000"/>
          <w:lang w:eastAsia="lt-LT"/>
        </w:rPr>
        <w:t>Atlikti koordinatoriaus vaidmenį tais atvejais, kai dėl kelių valstybės narės vietos teisminių institucijų prašymų reikia imtis suderintų v</w:t>
      </w:r>
      <w:r w:rsidR="00CE291B">
        <w:rPr>
          <w:rFonts w:ascii="Arial" w:eastAsia="Times New Roman" w:hAnsi="Arial" w:cs="Arial"/>
          <w:color w:val="000000"/>
          <w:lang w:eastAsia="lt-LT"/>
        </w:rPr>
        <w:t>eiksmų kitoje valstybėje narėje;</w:t>
      </w:r>
    </w:p>
    <w:p w14:paraId="07848853" w14:textId="77777777" w:rsidR="006E228A" w:rsidRPr="006E228A" w:rsidRDefault="006E228A" w:rsidP="006E228A">
      <w:pPr>
        <w:pStyle w:val="ListParagraph"/>
        <w:rPr>
          <w:rFonts w:ascii="Arial" w:eastAsia="Times New Roman" w:hAnsi="Arial" w:cs="Arial"/>
          <w:color w:val="000000"/>
          <w:lang w:eastAsia="lt-LT"/>
        </w:rPr>
      </w:pPr>
    </w:p>
    <w:p w14:paraId="4D76A9C4" w14:textId="6B88DC2E" w:rsidR="000E374E" w:rsidRPr="007A4D82" w:rsidRDefault="00CD0698" w:rsidP="00E111AF">
      <w:pPr>
        <w:pStyle w:val="ListParagraph"/>
        <w:numPr>
          <w:ilvl w:val="0"/>
          <w:numId w:val="2"/>
        </w:numPr>
        <w:shd w:val="clear" w:color="auto" w:fill="FFFFFF"/>
        <w:spacing w:before="100" w:beforeAutospacing="1" w:after="100" w:afterAutospacing="1" w:line="240" w:lineRule="auto"/>
        <w:jc w:val="both"/>
        <w:textAlignment w:val="top"/>
        <w:rPr>
          <w:rFonts w:ascii="Arial" w:eastAsia="Times New Roman" w:hAnsi="Arial" w:cs="Arial"/>
          <w:color w:val="000000"/>
          <w:lang w:eastAsia="lt-LT"/>
        </w:rPr>
      </w:pPr>
      <w:r w:rsidRPr="006E228A">
        <w:rPr>
          <w:rFonts w:ascii="Arial" w:eastAsia="Times New Roman" w:hAnsi="Arial" w:cs="Arial"/>
          <w:color w:val="000000"/>
          <w:lang w:eastAsia="lt-LT"/>
        </w:rPr>
        <w:lastRenderedPageBreak/>
        <w:t>K</w:t>
      </w:r>
      <w:r w:rsidR="00F67D20" w:rsidRPr="006E228A">
        <w:rPr>
          <w:rFonts w:ascii="Arial" w:eastAsia="Times New Roman" w:hAnsi="Arial" w:cs="Arial"/>
          <w:color w:val="000000"/>
          <w:lang w:eastAsia="lt-LT"/>
        </w:rPr>
        <w:t>onsultuoti, kaip tinkamai pasirinkti</w:t>
      </w:r>
      <w:r w:rsidR="00ED0C23" w:rsidRPr="006E228A">
        <w:rPr>
          <w:rFonts w:ascii="Arial" w:eastAsia="Times New Roman" w:hAnsi="Arial" w:cs="Arial"/>
          <w:color w:val="000000"/>
          <w:lang w:eastAsia="lt-LT"/>
        </w:rPr>
        <w:t xml:space="preserve"> tinkamą</w:t>
      </w:r>
      <w:r w:rsidR="00F67D20" w:rsidRPr="006E228A">
        <w:rPr>
          <w:rFonts w:ascii="Arial" w:eastAsia="Times New Roman" w:hAnsi="Arial" w:cs="Arial"/>
          <w:color w:val="000000"/>
          <w:lang w:eastAsia="lt-LT"/>
        </w:rPr>
        <w:t xml:space="preserve"> </w:t>
      </w:r>
      <w:r w:rsidR="000E374E" w:rsidRPr="006E228A">
        <w:rPr>
          <w:rFonts w:ascii="Arial" w:eastAsia="Times New Roman" w:hAnsi="Arial" w:cs="Arial"/>
          <w:color w:val="000000"/>
          <w:lang w:eastAsia="lt-LT"/>
        </w:rPr>
        <w:t xml:space="preserve">bendradarbiavimo su </w:t>
      </w:r>
      <w:r w:rsidR="006E228A" w:rsidRPr="006E228A">
        <w:rPr>
          <w:rFonts w:ascii="Arial" w:eastAsia="Times New Roman" w:hAnsi="Arial" w:cs="Arial"/>
          <w:color w:val="000000"/>
          <w:lang w:eastAsia="lt-LT"/>
        </w:rPr>
        <w:t xml:space="preserve">valstybių narių </w:t>
      </w:r>
      <w:r w:rsidR="00F67D20" w:rsidRPr="006E228A">
        <w:rPr>
          <w:rFonts w:ascii="Arial" w:eastAsia="Times New Roman" w:hAnsi="Arial" w:cs="Arial"/>
          <w:color w:val="000000"/>
          <w:lang w:eastAsia="lt-LT"/>
        </w:rPr>
        <w:t>kompetenting</w:t>
      </w:r>
      <w:r w:rsidR="000E374E" w:rsidRPr="006E228A">
        <w:rPr>
          <w:rFonts w:ascii="Arial" w:eastAsia="Times New Roman" w:hAnsi="Arial" w:cs="Arial"/>
          <w:color w:val="000000"/>
          <w:lang w:eastAsia="lt-LT"/>
        </w:rPr>
        <w:t>omis</w:t>
      </w:r>
      <w:r w:rsidR="00F67D20" w:rsidRPr="006E228A">
        <w:rPr>
          <w:rFonts w:ascii="Arial" w:eastAsia="Times New Roman" w:hAnsi="Arial" w:cs="Arial"/>
          <w:color w:val="000000"/>
          <w:lang w:eastAsia="lt-LT"/>
        </w:rPr>
        <w:t xml:space="preserve"> valdžios institucij</w:t>
      </w:r>
      <w:r w:rsidR="00ED0C23" w:rsidRPr="006E228A">
        <w:rPr>
          <w:rFonts w:ascii="Arial" w:eastAsia="Times New Roman" w:hAnsi="Arial" w:cs="Arial"/>
          <w:color w:val="000000"/>
          <w:lang w:eastAsia="lt-LT"/>
        </w:rPr>
        <w:t>ų</w:t>
      </w:r>
      <w:r w:rsidR="00F67D20" w:rsidRPr="006E228A">
        <w:rPr>
          <w:rFonts w:ascii="Arial" w:eastAsia="Times New Roman" w:hAnsi="Arial" w:cs="Arial"/>
          <w:color w:val="000000"/>
          <w:lang w:eastAsia="lt-LT"/>
        </w:rPr>
        <w:t xml:space="preserve"> strategiją.</w:t>
      </w:r>
    </w:p>
    <w:sectPr w:rsidR="000E374E" w:rsidRPr="007A4D8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774E3"/>
    <w:multiLevelType w:val="hybridMultilevel"/>
    <w:tmpl w:val="FA8C7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94054F"/>
    <w:multiLevelType w:val="hybridMultilevel"/>
    <w:tmpl w:val="E8A23D26"/>
    <w:lvl w:ilvl="0" w:tplc="34CA8EC4">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20810402">
    <w:abstractNumId w:val="0"/>
  </w:num>
  <w:num w:numId="2" w16cid:durableId="834145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21F"/>
    <w:rsid w:val="00003939"/>
    <w:rsid w:val="00042FDA"/>
    <w:rsid w:val="0008267D"/>
    <w:rsid w:val="000933E8"/>
    <w:rsid w:val="000E374E"/>
    <w:rsid w:val="0014596A"/>
    <w:rsid w:val="001B75F2"/>
    <w:rsid w:val="0021173A"/>
    <w:rsid w:val="002246E0"/>
    <w:rsid w:val="00255751"/>
    <w:rsid w:val="002770AB"/>
    <w:rsid w:val="00346370"/>
    <w:rsid w:val="0034742B"/>
    <w:rsid w:val="00404C79"/>
    <w:rsid w:val="00450BFA"/>
    <w:rsid w:val="00555526"/>
    <w:rsid w:val="0056214E"/>
    <w:rsid w:val="005F70CC"/>
    <w:rsid w:val="005F7993"/>
    <w:rsid w:val="00612903"/>
    <w:rsid w:val="0066041C"/>
    <w:rsid w:val="00664932"/>
    <w:rsid w:val="006D37BB"/>
    <w:rsid w:val="006E228A"/>
    <w:rsid w:val="00747B6E"/>
    <w:rsid w:val="007512F5"/>
    <w:rsid w:val="0075421F"/>
    <w:rsid w:val="007734D8"/>
    <w:rsid w:val="007A4D82"/>
    <w:rsid w:val="007B77A6"/>
    <w:rsid w:val="007C5D54"/>
    <w:rsid w:val="007F08C6"/>
    <w:rsid w:val="009839D3"/>
    <w:rsid w:val="009E280D"/>
    <w:rsid w:val="00A321F1"/>
    <w:rsid w:val="00A42351"/>
    <w:rsid w:val="00A646E4"/>
    <w:rsid w:val="00AB5EFD"/>
    <w:rsid w:val="00AB625B"/>
    <w:rsid w:val="00AB71A6"/>
    <w:rsid w:val="00AD3DA6"/>
    <w:rsid w:val="00B95A1E"/>
    <w:rsid w:val="00C633DE"/>
    <w:rsid w:val="00CD0698"/>
    <w:rsid w:val="00CE291B"/>
    <w:rsid w:val="00CF6269"/>
    <w:rsid w:val="00D6120B"/>
    <w:rsid w:val="00DB2FD5"/>
    <w:rsid w:val="00DE46F8"/>
    <w:rsid w:val="00DE4AA3"/>
    <w:rsid w:val="00E111AF"/>
    <w:rsid w:val="00E52D6B"/>
    <w:rsid w:val="00E85243"/>
    <w:rsid w:val="00ED0C23"/>
    <w:rsid w:val="00EF10DB"/>
    <w:rsid w:val="00F21C80"/>
    <w:rsid w:val="00F6776D"/>
    <w:rsid w:val="00F67D2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4EF5"/>
  <w15:docId w15:val="{C10DE0AA-CBC3-43AF-9B31-4109D617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9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basedOn w:val="Normal"/>
    <w:rsid w:val="00F21C80"/>
    <w:pPr>
      <w:spacing w:before="120" w:after="0" w:line="240" w:lineRule="auto"/>
      <w:jc w:val="both"/>
    </w:pPr>
    <w:rPr>
      <w:rFonts w:ascii="Times New Roman" w:eastAsia="Times New Roman" w:hAnsi="Times New Roman" w:cs="Times New Roman"/>
      <w:sz w:val="24"/>
      <w:szCs w:val="24"/>
      <w:lang w:eastAsia="lt-LT"/>
    </w:rPr>
  </w:style>
  <w:style w:type="paragraph" w:customStyle="1" w:styleId="sti-art">
    <w:name w:val="sti-art"/>
    <w:basedOn w:val="Normal"/>
    <w:rsid w:val="00F21C80"/>
    <w:pPr>
      <w:spacing w:before="60" w:after="120" w:line="240" w:lineRule="auto"/>
      <w:jc w:val="center"/>
    </w:pPr>
    <w:rPr>
      <w:rFonts w:ascii="Times New Roman" w:eastAsia="Times New Roman" w:hAnsi="Times New Roman" w:cs="Times New Roman"/>
      <w:b/>
      <w:bCs/>
      <w:sz w:val="24"/>
      <w:szCs w:val="24"/>
      <w:lang w:eastAsia="lt-LT"/>
    </w:rPr>
  </w:style>
  <w:style w:type="paragraph" w:styleId="BalloonText">
    <w:name w:val="Balloon Text"/>
    <w:basedOn w:val="Normal"/>
    <w:link w:val="BalloonTextChar"/>
    <w:uiPriority w:val="99"/>
    <w:semiHidden/>
    <w:unhideWhenUsed/>
    <w:rsid w:val="00F21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C80"/>
    <w:rPr>
      <w:rFonts w:ascii="Tahoma" w:hAnsi="Tahoma" w:cs="Tahoma"/>
      <w:sz w:val="16"/>
      <w:szCs w:val="16"/>
    </w:rPr>
  </w:style>
  <w:style w:type="character" w:styleId="Hyperlink">
    <w:name w:val="Hyperlink"/>
    <w:basedOn w:val="DefaultParagraphFont"/>
    <w:uiPriority w:val="99"/>
    <w:unhideWhenUsed/>
    <w:rsid w:val="005F70CC"/>
    <w:rPr>
      <w:color w:val="0000FF" w:themeColor="hyperlink"/>
      <w:u w:val="single"/>
    </w:rPr>
  </w:style>
  <w:style w:type="paragraph" w:styleId="ListParagraph">
    <w:name w:val="List Paragraph"/>
    <w:basedOn w:val="Normal"/>
    <w:uiPriority w:val="34"/>
    <w:qFormat/>
    <w:rsid w:val="0021173A"/>
    <w:pPr>
      <w:ind w:left="720"/>
      <w:contextualSpacing/>
    </w:pPr>
  </w:style>
  <w:style w:type="character" w:styleId="FollowedHyperlink">
    <w:name w:val="FollowedHyperlink"/>
    <w:basedOn w:val="DefaultParagraphFont"/>
    <w:uiPriority w:val="99"/>
    <w:semiHidden/>
    <w:unhideWhenUsed/>
    <w:rsid w:val="00F67D20"/>
    <w:rPr>
      <w:color w:val="800080" w:themeColor="followedHyperlink"/>
      <w:u w:val="single"/>
    </w:rPr>
  </w:style>
  <w:style w:type="character" w:styleId="CommentReference">
    <w:name w:val="annotation reference"/>
    <w:basedOn w:val="DefaultParagraphFont"/>
    <w:uiPriority w:val="99"/>
    <w:semiHidden/>
    <w:unhideWhenUsed/>
    <w:rsid w:val="000E374E"/>
    <w:rPr>
      <w:sz w:val="16"/>
      <w:szCs w:val="16"/>
    </w:rPr>
  </w:style>
  <w:style w:type="paragraph" w:styleId="CommentText">
    <w:name w:val="annotation text"/>
    <w:basedOn w:val="Normal"/>
    <w:link w:val="CommentTextChar"/>
    <w:uiPriority w:val="99"/>
    <w:semiHidden/>
    <w:unhideWhenUsed/>
    <w:rsid w:val="000E374E"/>
    <w:pPr>
      <w:spacing w:line="240" w:lineRule="auto"/>
    </w:pPr>
    <w:rPr>
      <w:sz w:val="20"/>
      <w:szCs w:val="20"/>
    </w:rPr>
  </w:style>
  <w:style w:type="character" w:customStyle="1" w:styleId="CommentTextChar">
    <w:name w:val="Comment Text Char"/>
    <w:basedOn w:val="DefaultParagraphFont"/>
    <w:link w:val="CommentText"/>
    <w:uiPriority w:val="99"/>
    <w:semiHidden/>
    <w:rsid w:val="000E374E"/>
    <w:rPr>
      <w:sz w:val="20"/>
      <w:szCs w:val="20"/>
    </w:rPr>
  </w:style>
  <w:style w:type="paragraph" w:styleId="CommentSubject">
    <w:name w:val="annotation subject"/>
    <w:basedOn w:val="CommentText"/>
    <w:next w:val="CommentText"/>
    <w:link w:val="CommentSubjectChar"/>
    <w:uiPriority w:val="99"/>
    <w:semiHidden/>
    <w:unhideWhenUsed/>
    <w:rsid w:val="000E374E"/>
    <w:rPr>
      <w:b/>
      <w:bCs/>
    </w:rPr>
  </w:style>
  <w:style w:type="character" w:customStyle="1" w:styleId="CommentSubjectChar">
    <w:name w:val="Comment Subject Char"/>
    <w:basedOn w:val="CommentTextChar"/>
    <w:link w:val="CommentSubject"/>
    <w:uiPriority w:val="99"/>
    <w:semiHidden/>
    <w:rsid w:val="000E374E"/>
    <w:rPr>
      <w:b/>
      <w:bCs/>
      <w:sz w:val="20"/>
      <w:szCs w:val="20"/>
    </w:rPr>
  </w:style>
  <w:style w:type="paragraph" w:styleId="NoSpacing">
    <w:name w:val="No Spacing"/>
    <w:uiPriority w:val="1"/>
    <w:qFormat/>
    <w:rsid w:val="00AB71A6"/>
    <w:pPr>
      <w:spacing w:after="0" w:line="240" w:lineRule="auto"/>
    </w:pPr>
  </w:style>
  <w:style w:type="character" w:styleId="UnresolvedMention">
    <w:name w:val="Unresolved Mention"/>
    <w:basedOn w:val="DefaultParagraphFont"/>
    <w:uiPriority w:val="99"/>
    <w:semiHidden/>
    <w:unhideWhenUsed/>
    <w:rsid w:val="0098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granskiene@la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EB7FB-896D-4E98-9F5F-4D12EF2F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1714</Words>
  <Characters>977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Bernotienė</dc:creator>
  <cp:lastModifiedBy>Vilija Nemunytė-Ročė</cp:lastModifiedBy>
  <cp:revision>35</cp:revision>
  <dcterms:created xsi:type="dcterms:W3CDTF">2015-05-08T05:25:00Z</dcterms:created>
  <dcterms:modified xsi:type="dcterms:W3CDTF">2026-03-19T06:30:00Z</dcterms:modified>
</cp:coreProperties>
</file>