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195F" w14:textId="77777777" w:rsidR="006134D9" w:rsidRPr="00277144" w:rsidRDefault="0014792C" w:rsidP="009D11ED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eastAsia="lt-LT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A890C" wp14:editId="35C843F0">
                <wp:simplePos x="0" y="0"/>
                <wp:positionH relativeFrom="column">
                  <wp:posOffset>9194</wp:posOffset>
                </wp:positionH>
                <wp:positionV relativeFrom="paragraph">
                  <wp:posOffset>-285005</wp:posOffset>
                </wp:positionV>
                <wp:extent cx="5987332" cy="556592"/>
                <wp:effectExtent l="57150" t="38100" r="71120" b="91440"/>
                <wp:wrapNone/>
                <wp:docPr id="1" name="Suapvalintas 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5565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82FB" w14:textId="77777777" w:rsidR="0014792C" w:rsidRPr="0092333A" w:rsidRDefault="0014792C" w:rsidP="001479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333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Europos teisminis tinklas (ETT) civilinėse ir komercinėse bylose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A890C" id="Suapvalintas stačiakampis 1" o:spid="_x0000_s1026" style="position:absolute;left:0;text-align:left;margin-left:.7pt;margin-top:-22.45pt;width:471.4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2BC82FB" w14:textId="77777777" w:rsidR="0014792C" w:rsidRPr="0092333A" w:rsidRDefault="0014792C" w:rsidP="001479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2333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lt-LT"/>
                        </w:rPr>
                        <w:t>Europos teisminis tinklas (ETT) civilinėse ir komercinėse bylose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82D4D" w14:textId="77777777" w:rsidR="009D11ED" w:rsidRDefault="009D11ED" w:rsidP="009D11ED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</w:pPr>
    </w:p>
    <w:p w14:paraId="12CEAA02" w14:textId="77777777" w:rsidR="00804DF8" w:rsidRPr="009D11ED" w:rsidRDefault="00804DF8" w:rsidP="009D11ED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</w:pPr>
      <w:r w:rsidRPr="009D11ED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ETT civilinėse ir komercinėse bylose tikslas</w:t>
      </w:r>
    </w:p>
    <w:p w14:paraId="1D5CC9B3" w14:textId="77777777" w:rsidR="00B3351E" w:rsidRDefault="00DB5F24" w:rsidP="007F462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eastAsia="Times New Roman" w:hAnsi="Arial" w:cs="Arial"/>
          <w:bCs/>
          <w:color w:val="000000"/>
          <w:lang w:eastAsia="lt-LT"/>
        </w:rPr>
      </w:pPr>
      <w:r w:rsidRPr="009D423C">
        <w:rPr>
          <w:rFonts w:ascii="Arial" w:eastAsia="Times New Roman" w:hAnsi="Arial" w:cs="Arial"/>
          <w:bCs/>
          <w:color w:val="000000"/>
          <w:lang w:eastAsia="lt-LT"/>
        </w:rPr>
        <w:t>Europos teisminis tinklas (</w:t>
      </w:r>
      <w:r w:rsidR="00570883">
        <w:rPr>
          <w:rFonts w:ascii="Arial" w:eastAsia="Times New Roman" w:hAnsi="Arial" w:cs="Arial"/>
          <w:bCs/>
          <w:color w:val="000000"/>
          <w:lang w:eastAsia="lt-LT"/>
        </w:rPr>
        <w:t xml:space="preserve">toliau – </w:t>
      </w:r>
      <w:r w:rsidRPr="009D423C">
        <w:rPr>
          <w:rFonts w:ascii="Arial" w:eastAsia="Times New Roman" w:hAnsi="Arial" w:cs="Arial"/>
          <w:bCs/>
          <w:color w:val="000000"/>
          <w:lang w:eastAsia="lt-LT"/>
        </w:rPr>
        <w:t>ETT) c</w:t>
      </w:r>
      <w:r w:rsidR="00FF1CA6">
        <w:rPr>
          <w:rFonts w:ascii="Arial" w:eastAsia="Times New Roman" w:hAnsi="Arial" w:cs="Arial"/>
          <w:bCs/>
          <w:color w:val="000000"/>
          <w:lang w:eastAsia="lt-LT"/>
        </w:rPr>
        <w:t>ivilinėse ir komercinėse bylose</w:t>
      </w:r>
      <w:r w:rsidRPr="009D423C">
        <w:rPr>
          <w:rFonts w:ascii="Arial" w:eastAsia="Times New Roman" w:hAnsi="Arial" w:cs="Arial"/>
          <w:bCs/>
          <w:color w:val="000000"/>
          <w:lang w:eastAsia="lt-LT"/>
        </w:rPr>
        <w:t xml:space="preserve"> yra valstybių narių kontaktinių asmenų, atrinktų iš teisminių ar kitų institucijų, kurios turi konkrečių pareigų tarptautinio teisminio bendradarbiavimo srityje, tinklas.</w:t>
      </w:r>
    </w:p>
    <w:p w14:paraId="0BB289A2" w14:textId="4A626635" w:rsidR="00521E91" w:rsidRPr="00570883" w:rsidRDefault="00B3351E" w:rsidP="007F462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eastAsia="Times New Roman" w:hAnsi="Arial" w:cs="Arial"/>
          <w:bCs/>
          <w:color w:val="000000"/>
          <w:lang w:eastAsia="lt-LT"/>
        </w:rPr>
      </w:pPr>
      <w:r>
        <w:rPr>
          <w:rFonts w:ascii="Arial" w:eastAsia="Times New Roman" w:hAnsi="Arial" w:cs="Arial"/>
          <w:bCs/>
          <w:color w:val="000000"/>
          <w:lang w:eastAsia="lt-LT"/>
        </w:rPr>
        <w:t xml:space="preserve">ETT </w:t>
      </w:r>
      <w:r w:rsidRPr="009D423C">
        <w:rPr>
          <w:rFonts w:ascii="Arial" w:eastAsia="Times New Roman" w:hAnsi="Arial" w:cs="Arial"/>
          <w:bCs/>
          <w:color w:val="000000"/>
          <w:lang w:eastAsia="lt-LT"/>
        </w:rPr>
        <w:t>civilinėse ir komercinėse bylose</w:t>
      </w:r>
      <w:r w:rsidRPr="00570883">
        <w:rPr>
          <w:rFonts w:ascii="Arial" w:eastAsia="Times New Roman" w:hAnsi="Arial" w:cs="Arial"/>
          <w:bCs/>
          <w:color w:val="000000"/>
          <w:lang w:eastAsia="lt-LT"/>
        </w:rPr>
        <w:t xml:space="preserve"> įsteigtas</w:t>
      </w:r>
      <w:r>
        <w:rPr>
          <w:rFonts w:ascii="Arial" w:eastAsia="Times New Roman" w:hAnsi="Arial" w:cs="Arial"/>
          <w:bCs/>
          <w:color w:val="000000"/>
          <w:lang w:eastAsia="lt-LT"/>
        </w:rPr>
        <w:t xml:space="preserve"> 2001 m.</w:t>
      </w:r>
      <w:r w:rsidR="007F4621">
        <w:rPr>
          <w:rFonts w:ascii="Arial" w:eastAsia="Times New Roman" w:hAnsi="Arial" w:cs="Arial"/>
          <w:bCs/>
          <w:color w:val="000000"/>
          <w:lang w:eastAsia="lt-LT"/>
        </w:rPr>
        <w:t xml:space="preserve"> Tarybos sprendimu</w:t>
      </w:r>
      <w:r w:rsidR="00632ECC">
        <w:rPr>
          <w:rFonts w:ascii="Arial" w:eastAsia="Times New Roman" w:hAnsi="Arial" w:cs="Arial"/>
          <w:bCs/>
          <w:color w:val="000000"/>
          <w:lang w:eastAsia="lt-LT"/>
        </w:rPr>
        <w:t>, siekiant</w:t>
      </w:r>
      <w:r>
        <w:rPr>
          <w:rFonts w:ascii="Arial" w:eastAsia="Times New Roman" w:hAnsi="Arial" w:cs="Arial"/>
          <w:bCs/>
          <w:color w:val="000000"/>
          <w:lang w:eastAsia="lt-LT"/>
        </w:rPr>
        <w:t xml:space="preserve"> </w:t>
      </w:r>
      <w:r w:rsidR="00632ECC" w:rsidRPr="00521E91">
        <w:rPr>
          <w:rFonts w:ascii="Arial" w:eastAsia="Times New Roman" w:hAnsi="Arial" w:cs="Arial"/>
          <w:bCs/>
          <w:color w:val="000000"/>
          <w:lang w:eastAsia="lt-LT"/>
        </w:rPr>
        <w:t>supaprastinti tarpvalstybines teisingumo ir teisminio bendradarbiavimo procedūras.</w:t>
      </w:r>
      <w:r w:rsidR="00632ECC">
        <w:rPr>
          <w:rFonts w:ascii="Arial" w:eastAsia="Times New Roman" w:hAnsi="Arial" w:cs="Arial"/>
          <w:bCs/>
          <w:color w:val="000000"/>
          <w:lang w:eastAsia="lt-LT"/>
        </w:rPr>
        <w:t xml:space="preserve"> </w:t>
      </w:r>
      <w:r w:rsidR="00521E91" w:rsidRPr="00521E91">
        <w:rPr>
          <w:rFonts w:ascii="Arial" w:eastAsia="Times New Roman" w:hAnsi="Arial" w:cs="Arial"/>
          <w:bCs/>
          <w:color w:val="000000"/>
          <w:lang w:eastAsia="lt-LT"/>
        </w:rPr>
        <w:t xml:space="preserve">Tinklas užtikrina paprastesnį tarpvalstybinių bylų nagrinėjimą, leidžia paprasčiau užmegzti valstybių narių teisminį bendradarbiavimą (pvz., padeda įteikti dokumentus arba surinkti įrodymus) ir užtikrina, kad </w:t>
      </w:r>
      <w:r w:rsidR="00FF1CA6">
        <w:rPr>
          <w:rFonts w:ascii="Arial" w:eastAsia="Times New Roman" w:hAnsi="Arial" w:cs="Arial"/>
          <w:bCs/>
          <w:color w:val="000000"/>
          <w:lang w:eastAsia="lt-LT"/>
        </w:rPr>
        <w:t xml:space="preserve">Europos </w:t>
      </w:r>
      <w:r w:rsidR="00521E91" w:rsidRPr="00521E91">
        <w:rPr>
          <w:rFonts w:ascii="Arial" w:eastAsia="Times New Roman" w:hAnsi="Arial" w:cs="Arial"/>
          <w:bCs/>
          <w:color w:val="000000"/>
          <w:lang w:eastAsia="lt-LT"/>
        </w:rPr>
        <w:t>Sąjungos teisės aktai ir valstybių narių susitarimai būtų tinkamai taikomi.</w:t>
      </w:r>
      <w:r w:rsidR="00632ECC">
        <w:rPr>
          <w:rFonts w:ascii="Arial" w:eastAsia="Times New Roman" w:hAnsi="Arial" w:cs="Arial"/>
          <w:bCs/>
          <w:color w:val="000000"/>
          <w:lang w:eastAsia="lt-LT"/>
        </w:rPr>
        <w:t xml:space="preserve"> Tinklas taip pat daug dėmesio skiria visuomenės informavimui</w:t>
      </w:r>
      <w:r w:rsidR="00521E91" w:rsidRPr="00521E91">
        <w:rPr>
          <w:rFonts w:ascii="Arial" w:eastAsia="Times New Roman" w:hAnsi="Arial" w:cs="Arial"/>
          <w:bCs/>
          <w:color w:val="000000"/>
          <w:lang w:eastAsia="lt-LT"/>
        </w:rPr>
        <w:t xml:space="preserve"> apie teisę kreiptis į teismą kitoje valstybėje narėje</w:t>
      </w:r>
      <w:r w:rsidR="00632ECC">
        <w:rPr>
          <w:rFonts w:ascii="Arial" w:eastAsia="Times New Roman" w:hAnsi="Arial" w:cs="Arial"/>
          <w:bCs/>
          <w:color w:val="000000"/>
          <w:lang w:eastAsia="lt-LT"/>
        </w:rPr>
        <w:t xml:space="preserve"> (pvz., rengiami informaciniai biuleteniai).</w:t>
      </w:r>
    </w:p>
    <w:p w14:paraId="5B56C8C4" w14:textId="77777777" w:rsidR="00804DF8" w:rsidRPr="002C2D05" w:rsidRDefault="00804DF8" w:rsidP="00794A4D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</w:pPr>
      <w:r w:rsidRPr="002C2D05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Narystė ETT civilinėse ir komercinėse bylose</w:t>
      </w:r>
    </w:p>
    <w:p w14:paraId="2B60FAE5" w14:textId="77777777" w:rsidR="009D423C" w:rsidRPr="009D423C" w:rsidRDefault="009D423C" w:rsidP="007F4621">
      <w:p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>Tinklui priklauso daugiau nei 500 narių, kurie priskiriami toliau nurodytoms penkioms kategorijoms:</w:t>
      </w:r>
    </w:p>
    <w:p w14:paraId="4285E80D" w14:textId="77777777" w:rsidR="009D423C" w:rsidRPr="009D423C" w:rsidRDefault="009D423C" w:rsidP="007F4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>valstybių narių įsteigti informacijos centrai;</w:t>
      </w:r>
    </w:p>
    <w:p w14:paraId="262411CB" w14:textId="77777777" w:rsidR="009D423C" w:rsidRPr="009D423C" w:rsidRDefault="009D423C" w:rsidP="007F4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 xml:space="preserve">įstaigos ir centrinės institucijos, nurodytos </w:t>
      </w:r>
      <w:r w:rsidR="00FF1CA6">
        <w:rPr>
          <w:rFonts w:ascii="Arial" w:hAnsi="Arial" w:cs="Arial"/>
        </w:rPr>
        <w:t xml:space="preserve">Europos </w:t>
      </w:r>
      <w:r w:rsidRPr="009D423C">
        <w:rPr>
          <w:rFonts w:ascii="Arial" w:hAnsi="Arial" w:cs="Arial"/>
        </w:rPr>
        <w:t>Sąjungos teisės aktuose, tarptautinės teisės aktuose, prie kurių valstybės narės yra prisijungusios, arba nacionalinės teisės aktuose dėl teisminio bendradarbiavimo civilinėse ir komercinėse bylose;</w:t>
      </w:r>
    </w:p>
    <w:p w14:paraId="50CB4EC5" w14:textId="77777777" w:rsidR="009D423C" w:rsidRPr="009D423C" w:rsidRDefault="009D423C" w:rsidP="007F4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 xml:space="preserve">už bendradarbiavimą civilinėse ir komercinėse bylose atsakingi ryšių palaikymo teisėjai; </w:t>
      </w:r>
    </w:p>
    <w:p w14:paraId="2299B3FC" w14:textId="77777777" w:rsidR="009D423C" w:rsidRPr="009D423C" w:rsidRDefault="009D423C" w:rsidP="007F4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>kitos už teisminį bendradarbiavimą civilinėse ir komercinėse bylose atsakingos teisminės arba administracinės institucijos, kurių narystę tinkle valstybė narė laiko naudinga;</w:t>
      </w:r>
    </w:p>
    <w:p w14:paraId="7D9A8AE8" w14:textId="77777777" w:rsidR="009D423C" w:rsidRDefault="009D423C" w:rsidP="007F46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23C">
        <w:rPr>
          <w:rFonts w:ascii="Arial" w:hAnsi="Arial" w:cs="Arial"/>
        </w:rPr>
        <w:t xml:space="preserve">profesinės asociacijos, vienijančios praktikuojančius teisininkus, kurie tiesiogiai taiko </w:t>
      </w:r>
      <w:r w:rsidR="00FF1CA6">
        <w:rPr>
          <w:rFonts w:ascii="Arial" w:hAnsi="Arial" w:cs="Arial"/>
        </w:rPr>
        <w:t xml:space="preserve">Europos </w:t>
      </w:r>
      <w:r w:rsidRPr="009D423C">
        <w:rPr>
          <w:rFonts w:ascii="Arial" w:hAnsi="Arial" w:cs="Arial"/>
        </w:rPr>
        <w:t>Sąjungos teisės ir tarptautinės teisės aktus civilinėse ir komercinėse bylose, kurias nacionaliniu lygmeniu nagrinėja valstybės narės.</w:t>
      </w:r>
    </w:p>
    <w:p w14:paraId="2CCFE79C" w14:textId="77777777" w:rsidR="00632ECC" w:rsidRPr="009D423C" w:rsidRDefault="00632ECC" w:rsidP="007F4621">
      <w:pPr>
        <w:jc w:val="both"/>
        <w:rPr>
          <w:rFonts w:ascii="Arial" w:hAnsi="Arial" w:cs="Arial"/>
        </w:rPr>
      </w:pPr>
      <w:r w:rsidRPr="00632ECC">
        <w:rPr>
          <w:rFonts w:ascii="Arial" w:hAnsi="Arial" w:cs="Arial"/>
        </w:rPr>
        <w:t>Atkreiptinas dėmesys, jog Danija šiame tinkle nedalyvauja.</w:t>
      </w:r>
    </w:p>
    <w:p w14:paraId="3EF512EE" w14:textId="77777777" w:rsidR="00C474A7" w:rsidRPr="002C2D05" w:rsidRDefault="00804DF8" w:rsidP="00C474A7">
      <w:pPr>
        <w:jc w:val="both"/>
        <w:rPr>
          <w:rFonts w:ascii="Arial" w:hAnsi="Arial" w:cs="Arial"/>
          <w:bCs/>
          <w:u w:val="single"/>
        </w:rPr>
      </w:pPr>
      <w:r w:rsidRPr="002C2D05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Lietuvos teismų sistemos kontaktiniai asmenys</w:t>
      </w:r>
      <w:r w:rsidR="00C474A7" w:rsidRPr="002C2D05">
        <w:rPr>
          <w:rFonts w:ascii="Arial" w:hAnsi="Arial" w:cs="Arial"/>
          <w:bCs/>
          <w:u w:val="single"/>
        </w:rPr>
        <w:t xml:space="preserve"> </w:t>
      </w:r>
    </w:p>
    <w:p w14:paraId="5AE40455" w14:textId="0B4B02D3" w:rsidR="002422A3" w:rsidRPr="006C613F" w:rsidRDefault="002422A3" w:rsidP="007F4621">
      <w:pPr>
        <w:tabs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23C">
        <w:rPr>
          <w:rFonts w:ascii="Arial" w:hAnsi="Arial" w:cs="Arial"/>
          <w:bCs/>
        </w:rPr>
        <w:t>Lietuvos teismų sistemos kontaktiniais asmenimis Europos teisminiame tinkle</w:t>
      </w:r>
      <w:r w:rsidR="00C474A7" w:rsidRPr="009D423C">
        <w:rPr>
          <w:rFonts w:ascii="Arial" w:hAnsi="Arial" w:cs="Arial"/>
          <w:bCs/>
        </w:rPr>
        <w:t xml:space="preserve"> c</w:t>
      </w:r>
      <w:r w:rsidRPr="009D423C">
        <w:rPr>
          <w:rFonts w:ascii="Arial" w:hAnsi="Arial" w:cs="Arial"/>
          <w:bCs/>
        </w:rPr>
        <w:t>ivilinėse ir komercinėse bylose yra paskirtos Lietuvos Aukščiausiojo Teismo teisėj</w:t>
      </w:r>
      <w:r w:rsidR="007F4621">
        <w:rPr>
          <w:rFonts w:ascii="Arial" w:hAnsi="Arial" w:cs="Arial"/>
          <w:bCs/>
        </w:rPr>
        <w:t xml:space="preserve">a </w:t>
      </w:r>
      <w:r w:rsidR="00C474A7" w:rsidRPr="006C613F">
        <w:rPr>
          <w:rFonts w:ascii="Arial" w:hAnsi="Arial" w:cs="Arial"/>
          <w:b/>
          <w:bCs/>
        </w:rPr>
        <w:t>Dalia Vasarienė</w:t>
      </w:r>
      <w:r w:rsidR="007F4621">
        <w:rPr>
          <w:rFonts w:ascii="Arial" w:hAnsi="Arial" w:cs="Arial"/>
          <w:b/>
          <w:bCs/>
        </w:rPr>
        <w:t xml:space="preserve"> </w:t>
      </w:r>
      <w:r w:rsidR="007F4621" w:rsidRPr="007F4621">
        <w:rPr>
          <w:rFonts w:ascii="Arial" w:hAnsi="Arial" w:cs="Arial"/>
        </w:rPr>
        <w:t xml:space="preserve">ir </w:t>
      </w:r>
      <w:r w:rsidR="007F4621" w:rsidRPr="007F4621">
        <w:rPr>
          <w:rFonts w:ascii="Arial" w:hAnsi="Arial" w:cs="Arial"/>
        </w:rPr>
        <w:t>Nacionalinės teismų administracijos Teisės ir administravimo departamento Teismų veiklos skyriaus vedėja</w:t>
      </w:r>
      <w:r w:rsidR="007F4621">
        <w:rPr>
          <w:rFonts w:ascii="Arial" w:hAnsi="Arial" w:cs="Arial"/>
        </w:rPr>
        <w:t xml:space="preserve"> </w:t>
      </w:r>
      <w:r w:rsidR="007F4621" w:rsidRPr="007F4621">
        <w:rPr>
          <w:rFonts w:ascii="Arial" w:hAnsi="Arial" w:cs="Arial"/>
          <w:b/>
          <w:bCs/>
        </w:rPr>
        <w:t>Ri</w:t>
      </w:r>
      <w:r w:rsidR="007F4621" w:rsidRPr="007F4621">
        <w:rPr>
          <w:rFonts w:ascii="Arial" w:hAnsi="Arial" w:cs="Arial"/>
          <w:b/>
          <w:bCs/>
        </w:rPr>
        <w:t>mantė Valkavičienė</w:t>
      </w:r>
      <w:r w:rsidR="00FA508D" w:rsidRPr="006C613F">
        <w:rPr>
          <w:rFonts w:ascii="Arial" w:hAnsi="Arial" w:cs="Arial"/>
          <w:bCs/>
        </w:rPr>
        <w:t>.</w:t>
      </w:r>
    </w:p>
    <w:p w14:paraId="0E3032EA" w14:textId="77777777" w:rsidR="00677D7A" w:rsidRDefault="00677D7A" w:rsidP="002422A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lang w:eastAsia="lt-LT"/>
        </w:rPr>
      </w:pPr>
    </w:p>
    <w:p w14:paraId="788722D7" w14:textId="77777777" w:rsidR="002422A3" w:rsidRDefault="002422A3" w:rsidP="002422A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677D7A">
        <w:rPr>
          <w:rFonts w:ascii="Arial" w:eastAsia="Times New Roman" w:hAnsi="Arial" w:cs="Arial"/>
          <w:b/>
          <w:bCs/>
          <w:color w:val="000000"/>
          <w:lang w:eastAsia="lt-LT"/>
        </w:rPr>
        <w:t>Kontaktiniai duomenys:</w:t>
      </w:r>
    </w:p>
    <w:p w14:paraId="24379133" w14:textId="77777777" w:rsidR="007F4621" w:rsidRDefault="007F4621" w:rsidP="002422A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lang w:eastAsia="lt-LT"/>
        </w:rPr>
      </w:pPr>
    </w:p>
    <w:p w14:paraId="54BA46B8" w14:textId="3D3A45E3" w:rsidR="007F4621" w:rsidRPr="009D423C" w:rsidRDefault="007F4621" w:rsidP="007F46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lang w:eastAsia="lt-LT"/>
        </w:rPr>
      </w:pPr>
      <w:r w:rsidRPr="009D423C">
        <w:rPr>
          <w:rFonts w:ascii="Arial" w:eastAsia="Times New Roman" w:hAnsi="Arial" w:cs="Arial"/>
          <w:bCs/>
          <w:color w:val="000000"/>
          <w:lang w:eastAsia="lt-LT"/>
        </w:rPr>
        <w:t>D. Vasarienė</w:t>
      </w:r>
    </w:p>
    <w:p w14:paraId="0937DD02" w14:textId="77777777" w:rsidR="007F4621" w:rsidRPr="007F4621" w:rsidRDefault="007F4621" w:rsidP="007F46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fr-FR" w:eastAsia="lt-LT"/>
        </w:rPr>
      </w:pPr>
      <w:r w:rsidRPr="009D423C">
        <w:rPr>
          <w:rFonts w:ascii="Arial" w:eastAsia="Times New Roman" w:hAnsi="Arial" w:cs="Arial"/>
          <w:color w:val="000000"/>
          <w:lang w:eastAsia="lt-LT"/>
        </w:rPr>
        <w:t>El. paštas:</w:t>
      </w:r>
      <w:r w:rsidRPr="009D423C">
        <w:rPr>
          <w:rFonts w:ascii="Arial" w:hAnsi="Arial" w:cs="Arial"/>
          <w:bCs/>
        </w:rPr>
        <w:t xml:space="preserve"> </w:t>
      </w:r>
      <w:hyperlink r:id="rId5" w:history="1">
        <w:r w:rsidRPr="009D423C">
          <w:rPr>
            <w:rStyle w:val="Hyperlink"/>
            <w:rFonts w:ascii="Arial" w:hAnsi="Arial" w:cs="Arial"/>
            <w:bCs/>
          </w:rPr>
          <w:t>d.vasariene@lat.lt</w:t>
        </w:r>
      </w:hyperlink>
    </w:p>
    <w:p w14:paraId="1E5C4470" w14:textId="77777777" w:rsidR="007F4621" w:rsidRPr="00677D7A" w:rsidRDefault="007F4621" w:rsidP="002422A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lang w:eastAsia="lt-LT"/>
        </w:rPr>
      </w:pPr>
    </w:p>
    <w:p w14:paraId="73509CDF" w14:textId="77777777" w:rsidR="002422A3" w:rsidRPr="009D423C" w:rsidRDefault="002422A3" w:rsidP="002422A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lang w:eastAsia="lt-LT"/>
        </w:rPr>
      </w:pPr>
    </w:p>
    <w:p w14:paraId="65B6DA15" w14:textId="77777777" w:rsidR="007F4621" w:rsidRDefault="007F4621" w:rsidP="007F46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lang w:eastAsia="lt-LT"/>
        </w:rPr>
      </w:pPr>
      <w:r w:rsidRPr="007F4621">
        <w:rPr>
          <w:rFonts w:ascii="Arial" w:eastAsia="Times New Roman" w:hAnsi="Arial" w:cs="Arial"/>
          <w:b/>
          <w:bCs/>
          <w:color w:val="000000"/>
          <w:lang w:eastAsia="lt-LT"/>
        </w:rPr>
        <w:lastRenderedPageBreak/>
        <w:t>Rimantė Valkavičienė</w:t>
      </w:r>
    </w:p>
    <w:p w14:paraId="1E3972FC" w14:textId="0ADDEC7A" w:rsidR="002422A3" w:rsidRPr="007F4621" w:rsidRDefault="002422A3" w:rsidP="007F46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eastAsia="lt-LT"/>
        </w:rPr>
      </w:pPr>
      <w:r w:rsidRPr="009D423C">
        <w:rPr>
          <w:rFonts w:ascii="Arial" w:eastAsia="Times New Roman" w:hAnsi="Arial" w:cs="Arial"/>
          <w:color w:val="000000"/>
          <w:lang w:eastAsia="lt-LT"/>
        </w:rPr>
        <w:t>El. paštas</w:t>
      </w:r>
      <w:r w:rsidRPr="007F4621">
        <w:rPr>
          <w:rFonts w:asciiTheme="minorBidi" w:eastAsia="Times New Roman" w:hAnsiTheme="minorBidi"/>
          <w:color w:val="000000"/>
          <w:lang w:eastAsia="lt-LT"/>
        </w:rPr>
        <w:t xml:space="preserve">: </w:t>
      </w:r>
      <w:hyperlink r:id="rId6" w:history="1">
        <w:r w:rsidR="007F4621" w:rsidRPr="007F4621">
          <w:rPr>
            <w:rFonts w:asciiTheme="minorBidi" w:hAnsiTheme="minorBidi"/>
            <w:color w:val="0000FF"/>
            <w:u w:val="single"/>
          </w:rPr>
          <w:t>rimante.valkaviciene@teismai.lt</w:t>
        </w:r>
      </w:hyperlink>
      <w:r w:rsidR="007F4621" w:rsidRPr="007F4621">
        <w:t> </w:t>
      </w:r>
    </w:p>
    <w:p w14:paraId="0C4604AB" w14:textId="77777777" w:rsidR="00804DF8" w:rsidRPr="002C2D05" w:rsidRDefault="00FF1CA6" w:rsidP="00794A4D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Pagrindinės ETT</w:t>
      </w:r>
      <w:r w:rsidR="00804DF8" w:rsidRPr="002C2D05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civilinėse ir komercinėse</w:t>
      </w:r>
      <w:r w:rsidRPr="00FF1CA6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 xml:space="preserve"> </w:t>
      </w:r>
      <w:r w:rsidR="00804DF8" w:rsidRPr="002C2D05">
        <w:rPr>
          <w:rFonts w:ascii="Arial" w:eastAsia="Times New Roman" w:hAnsi="Arial" w:cs="Arial"/>
          <w:b/>
          <w:bCs/>
          <w:color w:val="000000"/>
          <w:u w:val="single"/>
          <w:lang w:eastAsia="lt-LT"/>
        </w:rPr>
        <w:t>bylose kontaktinių asmenų funkcijos</w:t>
      </w:r>
    </w:p>
    <w:p w14:paraId="752DB95C" w14:textId="77777777" w:rsidR="00C474A7" w:rsidRDefault="00C474A7" w:rsidP="007F4621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9D423C">
        <w:rPr>
          <w:rFonts w:ascii="Arial" w:hAnsi="Arial" w:cs="Arial"/>
          <w:bCs/>
        </w:rPr>
        <w:t>Teikia Lietuvos teisminės valdžios institucijo</w:t>
      </w:r>
      <w:r w:rsidR="00FF1CA6">
        <w:rPr>
          <w:rFonts w:ascii="Arial" w:hAnsi="Arial" w:cs="Arial"/>
          <w:bCs/>
        </w:rPr>
        <w:t>ms</w:t>
      </w:r>
      <w:r w:rsidRPr="009D423C">
        <w:rPr>
          <w:rFonts w:ascii="Arial" w:hAnsi="Arial" w:cs="Arial"/>
          <w:bCs/>
        </w:rPr>
        <w:t xml:space="preserve"> informaciją, būtiną patikimam valstybių narių tarpusavio teisminiam bendradarbiavimui, kad</w:t>
      </w:r>
      <w:r w:rsidR="00FF1CA6">
        <w:rPr>
          <w:rFonts w:ascii="Arial" w:hAnsi="Arial" w:cs="Arial"/>
          <w:bCs/>
        </w:rPr>
        <w:t xml:space="preserve"> joms būtų lengviau parengti tinkamus</w:t>
      </w:r>
      <w:r w:rsidRPr="009D423C">
        <w:rPr>
          <w:rFonts w:ascii="Arial" w:hAnsi="Arial" w:cs="Arial"/>
          <w:bCs/>
        </w:rPr>
        <w:t xml:space="preserve"> prašymus dėl teisminio bendradarbiavimo ir užmegzti tinkamiausius tiesioginius ryšius;</w:t>
      </w:r>
    </w:p>
    <w:p w14:paraId="762CE2D3" w14:textId="77777777" w:rsidR="008F5E6D" w:rsidRPr="009D423C" w:rsidRDefault="008F5E6D" w:rsidP="007F4621">
      <w:pPr>
        <w:pStyle w:val="ListParagraph"/>
        <w:spacing w:after="120"/>
        <w:ind w:left="714"/>
        <w:jc w:val="both"/>
        <w:rPr>
          <w:rFonts w:ascii="Arial" w:hAnsi="Arial" w:cs="Arial"/>
          <w:bCs/>
        </w:rPr>
      </w:pPr>
    </w:p>
    <w:p w14:paraId="3306A1C7" w14:textId="77777777" w:rsidR="008F5E6D" w:rsidRDefault="00C474A7" w:rsidP="007F4621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9D423C">
        <w:rPr>
          <w:rFonts w:ascii="Arial" w:hAnsi="Arial" w:cs="Arial"/>
          <w:bCs/>
        </w:rPr>
        <w:t>Padeda spręsti problemas, jeigu tokios iškyla pateikus prašymą</w:t>
      </w:r>
      <w:r w:rsidR="008F5E6D">
        <w:rPr>
          <w:rFonts w:ascii="Arial" w:hAnsi="Arial" w:cs="Arial"/>
          <w:bCs/>
        </w:rPr>
        <w:t xml:space="preserve"> dėl teisminio bendradarbiavimo;</w:t>
      </w:r>
    </w:p>
    <w:p w14:paraId="20792324" w14:textId="77777777" w:rsidR="008F5E6D" w:rsidRPr="008F5E6D" w:rsidRDefault="008F5E6D" w:rsidP="007F4621">
      <w:pPr>
        <w:spacing w:after="0"/>
        <w:jc w:val="both"/>
        <w:rPr>
          <w:rFonts w:ascii="Arial" w:hAnsi="Arial" w:cs="Arial"/>
          <w:bCs/>
        </w:rPr>
      </w:pPr>
    </w:p>
    <w:p w14:paraId="6245D95E" w14:textId="77777777" w:rsidR="00C474A7" w:rsidRPr="009D423C" w:rsidRDefault="00FF1CA6" w:rsidP="007F4621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Padeda koordinuoti prašymus</w:t>
      </w:r>
      <w:r w:rsidR="00C474A7" w:rsidRPr="009D423C">
        <w:rPr>
          <w:rFonts w:ascii="Arial" w:hAnsi="Arial" w:cs="Arial"/>
          <w:bCs/>
        </w:rPr>
        <w:t xml:space="preserve"> dėl teisminio bendradarbiavimo atitinkamoje valstybėje narėje, y</w:t>
      </w:r>
      <w:r>
        <w:rPr>
          <w:rFonts w:ascii="Arial" w:hAnsi="Arial" w:cs="Arial"/>
          <w:bCs/>
        </w:rPr>
        <w:t>pač tada, kai tos valstybės narė</w:t>
      </w:r>
      <w:r w:rsidR="00C474A7" w:rsidRPr="009D423C">
        <w:rPr>
          <w:rFonts w:ascii="Arial" w:hAnsi="Arial" w:cs="Arial"/>
          <w:bCs/>
        </w:rPr>
        <w:t>s teisminės valdžios institucijų paduoti keli prašymai turi būti vykdomi kitoje valstybėje narėje.</w:t>
      </w:r>
    </w:p>
    <w:p w14:paraId="2CB0DB51" w14:textId="77777777" w:rsidR="006B0864" w:rsidRPr="009D423C" w:rsidRDefault="006B0864" w:rsidP="00794A4D">
      <w:pPr>
        <w:jc w:val="both"/>
        <w:rPr>
          <w:rFonts w:ascii="Arial" w:hAnsi="Arial" w:cs="Arial"/>
        </w:rPr>
      </w:pPr>
    </w:p>
    <w:sectPr w:rsidR="006B0864" w:rsidRPr="009D42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A527B6"/>
    <w:multiLevelType w:val="hybridMultilevel"/>
    <w:tmpl w:val="43242C5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53618"/>
    <w:multiLevelType w:val="multilevel"/>
    <w:tmpl w:val="81F4F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819771">
    <w:abstractNumId w:val="2"/>
  </w:num>
  <w:num w:numId="2" w16cid:durableId="1977833229">
    <w:abstractNumId w:val="1"/>
  </w:num>
  <w:num w:numId="3" w16cid:durableId="186351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85"/>
    <w:rsid w:val="00002AC3"/>
    <w:rsid w:val="000311E0"/>
    <w:rsid w:val="0013746D"/>
    <w:rsid w:val="0014792C"/>
    <w:rsid w:val="002422A3"/>
    <w:rsid w:val="00261EF2"/>
    <w:rsid w:val="00277144"/>
    <w:rsid w:val="002C2D05"/>
    <w:rsid w:val="003B7804"/>
    <w:rsid w:val="004263EE"/>
    <w:rsid w:val="00457844"/>
    <w:rsid w:val="00485DD7"/>
    <w:rsid w:val="00511316"/>
    <w:rsid w:val="0051547F"/>
    <w:rsid w:val="00521E91"/>
    <w:rsid w:val="00555526"/>
    <w:rsid w:val="00557CD0"/>
    <w:rsid w:val="00570883"/>
    <w:rsid w:val="005964FE"/>
    <w:rsid w:val="006134D9"/>
    <w:rsid w:val="00632ECC"/>
    <w:rsid w:val="00647EAE"/>
    <w:rsid w:val="00677D7A"/>
    <w:rsid w:val="006B0864"/>
    <w:rsid w:val="006C613F"/>
    <w:rsid w:val="00794A4D"/>
    <w:rsid w:val="007F4621"/>
    <w:rsid w:val="00800D7C"/>
    <w:rsid w:val="00804DF8"/>
    <w:rsid w:val="008F5E6D"/>
    <w:rsid w:val="0092333A"/>
    <w:rsid w:val="009819EF"/>
    <w:rsid w:val="009A7B1B"/>
    <w:rsid w:val="009D11ED"/>
    <w:rsid w:val="009D423C"/>
    <w:rsid w:val="00A049BD"/>
    <w:rsid w:val="00B3351E"/>
    <w:rsid w:val="00B9689C"/>
    <w:rsid w:val="00BF46D5"/>
    <w:rsid w:val="00C474A7"/>
    <w:rsid w:val="00C75185"/>
    <w:rsid w:val="00CA31BA"/>
    <w:rsid w:val="00CF6737"/>
    <w:rsid w:val="00D53D23"/>
    <w:rsid w:val="00DB5F24"/>
    <w:rsid w:val="00DD0913"/>
    <w:rsid w:val="00E1440B"/>
    <w:rsid w:val="00E3324D"/>
    <w:rsid w:val="00E426F1"/>
    <w:rsid w:val="00EF10DB"/>
    <w:rsid w:val="00F3592F"/>
    <w:rsid w:val="00FA508D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E961"/>
  <w15:docId w15:val="{9451A5C6-2FDB-478E-B3B5-7E850B5D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rsid w:val="006B086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Normal"/>
    <w:rsid w:val="006B0864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8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AC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91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5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D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4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71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06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3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32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90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mante.valkaviciene@teismai.lt" TargetMode="External"/><Relationship Id="rId5" Type="http://schemas.openxmlformats.org/officeDocument/2006/relationships/hyperlink" Target="mailto:d.vasariene@la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Bernotienė</dc:creator>
  <cp:lastModifiedBy>Vilija Nemunytė-Ročė</cp:lastModifiedBy>
  <cp:revision>22</cp:revision>
  <dcterms:created xsi:type="dcterms:W3CDTF">2015-05-08T05:26:00Z</dcterms:created>
  <dcterms:modified xsi:type="dcterms:W3CDTF">2026-03-19T06:38:00Z</dcterms:modified>
</cp:coreProperties>
</file>